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</w:t>
      </w:r>
    </w:p>
    <w:p>
      <w:pPr>
        <w:pStyle w:val="Heading1"/>
      </w:pPr>
      <w:r>
        <w:t>Antigravity Sports Venue Booking Platform</w:t>
      </w:r>
    </w:p>
    <w:p>
      <w:r>
        <w:t>Version 1.0</w:t>
      </w:r>
    </w:p>
    <w:p>
      <w:pPr>
        <w:pStyle w:val="Heading1"/>
      </w:pPr>
      <w:r>
        <w:t>Architecture</w:t>
      </w:r>
    </w:p>
    <w:p>
      <w:r>
        <w:t>Browser → Next.js/TypeScript → application/domain services → Supabase Auth/PostgreSQL/Storage → scheduler/jobs → notification provider.</w:t>
      </w:r>
    </w:p>
    <w:p>
      <w:r>
        <w:t>Use a modular monolith.</w:t>
      </w:r>
    </w:p>
    <w:p>
      <w:pPr>
        <w:pStyle w:val="Heading1"/>
      </w:pPr>
      <w:r>
        <w:t>Stack</w:t>
      </w:r>
    </w:p>
    <w:p>
      <w:r>
        <w:t>Next.js, TypeScript, Tailwind CSS, Supabase Auth, Supabase PostgreSQL, Supabase Storage, Zod (or equivalent), managed hosting, CI/CD.</w:t>
      </w:r>
    </w:p>
    <w:p>
      <w:pPr>
        <w:pStyle w:val="Heading1"/>
      </w:pPr>
      <w:r>
        <w:t>Application Modules</w:t>
      </w:r>
    </w:p>
    <w:p>
      <w:r>
        <w:t>Auth; tenancy/membership; venues; sports; fields; availability; bookings; pricing; payments; customers; RBAC; notifications; audit; reporting.</w:t>
      </w:r>
    </w:p>
    <w:p>
      <w:pPr>
        <w:pStyle w:val="Heading1"/>
      </w:pPr>
      <w:r>
        <w:t>Booking Engine</w:t>
      </w:r>
    </w:p>
    <w:p>
      <w:r>
        <w:t>Generate 30-minute slots. Validate hours and blocks. Calculate price. Create booking and historical booking_slots. Insert every required active_slot_reservations row in one PostgreSQL transaction. UNIQUE(field_id, slot_start) is the final conflict guard.</w:t>
      </w:r>
    </w:p>
    <w:p>
      <w:pPr>
        <w:pStyle w:val="Heading1"/>
      </w:pPr>
      <w:r>
        <w:t>Expiry</w:t>
      </w:r>
    </w:p>
    <w:p>
      <w:r>
        <w:t>Use guarded state transitions. Approval and expiry must be mutually exclusive. Release active reservations in the same transaction as expiry/rejection/cancellation.</w:t>
      </w:r>
    </w:p>
    <w:p>
      <w:pPr>
        <w:pStyle w:val="Heading1"/>
      </w:pPr>
      <w:r>
        <w:t>Identity</w:t>
      </w:r>
    </w:p>
    <w:p>
      <w:r>
        <w:t>Global profile plus scoped memberships. Company-wide or venue-scoped membership. Never trust client-selected tenant context.</w:t>
      </w:r>
    </w:p>
    <w:p>
      <w:pPr>
        <w:pStyle w:val="Heading1"/>
      </w:pPr>
      <w:r>
        <w:t>RLS</w:t>
      </w:r>
    </w:p>
    <w:p>
      <w:r>
        <w:t>Every tenant-scoped table receives RLS policies. Server-side services also enforce permission and scope.</w:t>
      </w:r>
    </w:p>
    <w:p>
      <w:pPr>
        <w:pStyle w:val="Heading1"/>
      </w:pPr>
      <w:r>
        <w:t>Async Work</w:t>
      </w:r>
    </w:p>
    <w:p>
      <w:r>
        <w:t>Use an outbox/event record or database-backed job table. Notification delivery and retries occur outside the booking transaction.</w:t>
      </w:r>
    </w:p>
    <w:p>
      <w:pPr>
        <w:pStyle w:val="Heading1"/>
      </w:pPr>
      <w:r>
        <w:t>Storage</w:t>
      </w:r>
    </w:p>
    <w:p>
      <w:r>
        <w:t>Private bucket for payment proof. Authorised signed URLs only.</w:t>
      </w:r>
    </w:p>
    <w:p>
      <w:pPr>
        <w:pStyle w:val="Heading1"/>
      </w:pPr>
      <w:r>
        <w:t>Dashboard</w:t>
      </w:r>
    </w:p>
    <w:p>
      <w:r>
        <w:t>Independent query endpoints/services for today, revenue, pending payments, field overview and calendar.</w:t>
      </w:r>
    </w:p>
    <w:p>
      <w:pPr>
        <w:pStyle w:val="Heading1"/>
      </w:pPr>
      <w:r>
        <w:t>Deployment</w:t>
      </w:r>
    </w:p>
    <w:p>
      <w:r>
        <w:t>Development, staging and production. Versioned migrations. CI lint/typecheck/test/build. Backups and restore runbook.</w:t>
      </w:r>
    </w:p>
    <w:p>
      <w:pPr>
        <w:pStyle w:val="Heading1"/>
      </w:pPr>
      <w:r>
        <w:t>Scaling</w:t>
      </w:r>
    </w:p>
    <w:p>
      <w:r>
        <w:t>Optimise PostgreSQL first. Add Redis/cache/read replicas only when measurement justifies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