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0D0D0D"/>
          <w:sz w:val="36"/>
          <w:szCs w:val="36"/>
        </w:rPr>
        <w:t xml:space="preserve">CarbonSync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™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8"/>
          <w:szCs w:val="28"/>
        </w:rPr>
        <w:t xml:space="preserve">   Live Intelligence Platform</w:t>
      </w:r>
    </w:p>
    <w:p>
      <w:pPr>
        <w:pBdr>
          <w:bottom w:val="single" w:color="0D0D0D" w:sz="6" w:space="8"/>
        </w:pBd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18"/>
          <w:szCs w:val="18"/>
        </w:rPr>
        <w:t xml:space="preserve">by Daxem Labs   ·   Patent Filed GB2602946.2   ·   February 2026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00"/>
          <w:szCs w:val="100"/>
        </w:rPr>
        <w:t xml:space="preserve"/>
      </w:r>
    </w:p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The first platform to directly measure, verify, and tokenise emissions reductions from UK HGV fleets in real time.</w:t>
      </w:r>
    </w:p>
    <w:p>
      <w:pPr>
        <w:pBdr>
          <w:bottom w:val="single" w:color="0D0D0D" w:sz="6" w:space="5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pacing w:val="60"/>
          <w:sz w:val="19"/>
          <w:szCs w:val="19"/>
        </w:rPr>
        <w:t xml:space="preserve">LIVE DEMO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80"/>
          <w:szCs w:val="80"/>
        </w:rP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1"/>
          <w:szCs w:val="21"/>
        </w:rPr>
        <w:t xml:space="preserve">Main dashboard:  </w:t>
      </w:r>
      <w:hyperlink w:history="1" r:id="rIdl5kgdh9vsztkvhd-7cwgi">
        <w:r>
          <w:rPr>
            <w:rFonts w:ascii="Arial" w:cs="Arial" w:eastAsia="Arial" w:hAnsi="Arial"/>
            <w:color w:val="0563C1"/>
            <w:sz w:val="21"/>
            <w:szCs w:val="21"/>
            <w:u w:val="single"/>
          </w:rPr>
          <w:t xml:space="preserve">jojibhatia.github.io/CarbonSync-Sandbox/carbonsync-demo.html</w:t>
        </w:r>
      </w:hyperlink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80"/>
          <w:szCs w:val="80"/>
        </w:rP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86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Client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Pre-Configured Link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Pickfords — 700 vehicles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carbonsync-demo.html?company=Pickfords&amp;fleet=700&amp;sector=removals&amp;autolaunch=true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O'Donovan Waste — 85 vehicles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carbonsync-demo.html?company=O%27Donovan+Waste&amp;fleet=85&amp;sector=waste&amp;autolaunch=true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Generic — any fleet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carbonsync-demo.html   (shows login screen)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60"/>
          <w:szCs w:val="160"/>
        </w:rPr>
        <w:t xml:space="preserve"/>
      </w:r>
    </w:p>
    <w:p>
      <w:pPr>
        <w:pBdr>
          <w:bottom w:val="single" w:color="0D0D0D" w:sz="6" w:space="5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pacing w:val="60"/>
          <w:sz w:val="19"/>
          <w:szCs w:val="19"/>
        </w:rPr>
        <w:t xml:space="preserve">PLATFORM OVERVIEW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00"/>
          <w:szCs w:val="100"/>
        </w:rP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86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6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Shows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Overview</w:t>
            </w:r>
          </w:p>
        </w:tc>
        <w:tc>
          <w:tcPr>
            <w:tcW w:type="dxa" w:w="6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Live credits, fuel savings, revenue, and the full verification pipeline from sensor to blockchain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Live Telemetry</w:t>
            </w:r>
          </w:p>
        </w:tc>
        <w:tc>
          <w:tcPr>
            <w:tcW w:type="dxa" w:w="6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Per-vehicle data feed — fuel flow, CO₂, OBD-II signals, cryptographic signatures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Carbon Credits</w:t>
            </w:r>
          </w:p>
        </w:tc>
        <w:tc>
          <w:tcPr>
            <w:tcW w:type="dxa" w:w="6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Credit breakdown by source, Verra VCS methodology, CBAM alignment status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Blockchain Ledger</w:t>
            </w:r>
          </w:p>
        </w:tc>
        <w:tc>
          <w:tcPr>
            <w:tcW w:type="dxa" w:w="6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Real-time ERC-1155 minting events on Polygon — transaction hashes, block numbers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Revenue</w:t>
            </w:r>
          </w:p>
        </w:tc>
        <w:tc>
          <w:tcPr>
            <w:tcW w:type="dxa" w:w="6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3-year financial projection, 70/15/10/5 revenue split, hardware payback period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⚠ CBAM Exposure</w:t>
            </w:r>
          </w:p>
        </w:tc>
        <w:tc>
          <w:tcPr>
            <w:tcW w:type="dxa" w:w="6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UK Carbon Border Adjustment Mechanism liability calculator — live from 1 January 2027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60"/>
          <w:szCs w:val="160"/>
        </w:rPr>
        <w:t xml:space="preserve"/>
      </w:r>
    </w:p>
    <w:p>
      <w:pPr>
        <w:pBdr>
          <w:bottom w:val="single" w:color="0D0D0D" w:sz="6" w:space="5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pacing w:val="60"/>
          <w:sz w:val="19"/>
          <w:szCs w:val="19"/>
        </w:rPr>
        <w:t xml:space="preserve">HOW IT WORKS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00"/>
          <w:szCs w:val="100"/>
        </w:rPr>
        <w:t xml:space="preserve"/>
      </w:r>
    </w:p>
    <w:p>
      <w:pPr>
        <w:pBdr>
          <w:top w:val="single" w:color="DDDDDD" w:sz="1"/>
          <w:bottom w:val="single" w:color="DDDDDD" w:sz="1"/>
          <w:left w:val="single" w:color="AAAAAA" w:sz="8"/>
          <w:right w:val="single" w:color="DDDDDD" w:sz="1"/>
        </w:pBdr>
        <w:shd w:fill="F4F4F4" w:val="clear"/>
        <w:spacing w:before="80" w:after="8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Sentinel Rig  →  MQTT/4G  →  Dataloom™ AI  →  CarbonSync™ Ledger  →  Polygon  →  Carbon Market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20"/>
          <w:szCs w:val="120"/>
        </w:rPr>
        <w:t xml:space="preserve"/>
      </w:r>
    </w:p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/>
          <w:iCs/>
          <w:color w:val="3A3A3A"/>
          <w:sz w:val="21"/>
          <w:szCs w:val="21"/>
        </w:rPr>
        <w:t xml:space="preserve">When a real Sentinel Rig connects, nothing in the UI changes. The simulation data is simply replaced with live packets.</w:t>
      </w:r>
    </w:p>
    <w:p>
      <w:pPr>
        <w:pBdr>
          <w:bottom w:val="single" w:color="0D0D0D" w:sz="6" w:space="5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pacing w:val="60"/>
          <w:sz w:val="19"/>
          <w:szCs w:val="19"/>
        </w:rPr>
        <w:t xml:space="preserve">CONNECTING A REAL SENTINEL RIG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00"/>
          <w:szCs w:val="100"/>
        </w:rPr>
        <w:t xml:space="preserve"/>
      </w:r>
    </w:p>
    <w:p>
      <w:pPr>
        <w:spacing w:before="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Full technical specification for the embedded and backend engineer is in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CarbonSync_Rig_Brief.docx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.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1"/>
          <w:szCs w:val="21"/>
        </w:rPr>
        <w:t xml:space="preserve">WebSocket endpoint: 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11111"/>
          <w:sz w:val="21"/>
          <w:szCs w:val="21"/>
        </w:rPr>
        <w:t xml:space="preserve">wss://api.daxem.ai/rigs/live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1"/>
          <w:szCs w:val="21"/>
        </w:rPr>
        <w:t xml:space="preserve">Developer Mode: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Press Ctrl+D inside the dashboard — shows WebSocket status, live connection log, packet schema, and computation constants. Simulation mode is on by default.</w:t>
      </w:r>
    </w:p>
    <w:p>
      <w:pPr>
        <w:pBdr>
          <w:bottom w:val="single" w:color="0D0D0D" w:sz="6" w:space="5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pacing w:val="60"/>
          <w:sz w:val="19"/>
          <w:szCs w:val="19"/>
        </w:rPr>
        <w:t xml:space="preserve">FINANCIAL MODEL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00"/>
          <w:szCs w:val="100"/>
        </w:rP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86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1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CO₂ emission factor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2.68 kg/litre</w:t>
            </w:r>
          </w:p>
        </w:tc>
        <w:tc>
          <w:tcPr>
            <w:tcW w:type="dxa" w:w="31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DEFRA 2024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Efficiency baseline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18% improvement</w:t>
            </w:r>
          </w:p>
        </w:tc>
        <w:tc>
          <w:tcPr>
            <w:tcW w:type="dxa" w:w="31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Verified methodology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Carbon credit price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£72/tCO₂e</w:t>
            </w:r>
          </w:p>
        </w:tc>
        <w:tc>
          <w:tcPr>
            <w:tcW w:type="dxa" w:w="31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ACX voluntary market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Fleet revenue share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70%</w:t>
            </w:r>
          </w:p>
        </w:tc>
        <w:tc>
          <w:tcPr>
            <w:tcW w:type="dxa" w:w="31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CarbonSync™ standard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Platform fee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15%</w:t>
            </w:r>
          </w:p>
        </w:tc>
        <w:tc>
          <w:tcPr>
            <w:tcW w:type="dxa" w:w="31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Daxem Labs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Driver incentives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10%</w:t>
            </w:r>
          </w:p>
        </w:tc>
        <w:tc>
          <w:tcPr>
            <w:tcW w:type="dxa" w:w="31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Fleet operator distributed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Reserve fund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5%</w:t>
            </w:r>
          </w:p>
        </w:tc>
        <w:tc>
          <w:tcPr>
            <w:tcW w:type="dxa" w:w="31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Buffer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Hardware cost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£250/vehicle</w:t>
            </w:r>
          </w:p>
        </w:tc>
        <w:tc>
          <w:tcPr>
            <w:tcW w:type="dxa" w:w="31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Sentinel Rig inc. installation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60"/>
          <w:szCs w:val="160"/>
        </w:rPr>
        <w:t xml:space="preserve"/>
      </w:r>
    </w:p>
    <w:p>
      <w:pPr>
        <w:pBdr>
          <w:bottom w:val="single" w:color="0D0D0D" w:sz="6" w:space="5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pacing w:val="60"/>
          <w:sz w:val="19"/>
          <w:szCs w:val="19"/>
        </w:rPr>
        <w:t xml:space="preserve">CBAM COMPLIANCE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00"/>
          <w:szCs w:val="100"/>
        </w:rP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The </w:t>
      </w:r>
      <w:r>
        <w:rPr>
          <w:rFonts w:ascii="Arial" w:cs="Arial" w:eastAsia="Arial" w:hAnsi="Arial"/>
          <w:b/>
          <w:bCs/>
          <w:i w:val="false"/>
          <w:iCs w:val="false"/>
          <w:color w:val="2C2C2C"/>
          <w:sz w:val="21"/>
          <w:szCs w:val="21"/>
        </w:rPr>
        <w:t xml:space="preserve">⚠ CBAM Exposure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 tab calculates each fleet's liability under the UK Carbon Border Adjustment Mechanism, effective </w:t>
      </w:r>
      <w:r>
        <w:rPr>
          <w:rFonts w:ascii="Arial" w:cs="Arial" w:eastAsia="Arial" w:hAnsi="Arial"/>
          <w:b/>
          <w:bCs/>
          <w:i w:val="false"/>
          <w:iCs w:val="false"/>
          <w:color w:val="2C2C2C"/>
          <w:sz w:val="21"/>
          <w:szCs w:val="21"/>
        </w:rPr>
        <w:t xml:space="preserve">1 January 2027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.</w:t>
      </w:r>
    </w:p>
    <w:p>
      <w:pPr>
        <w:spacing w:before="60" w:after="100"/>
        <w:ind w:left="44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21"/>
          <w:szCs w:val="21"/>
        </w:rPr>
        <w:t xml:space="preserve">—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Without verified data: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HMRC default penalty rates applied to all emissions — highest possible charge</w:t>
      </w:r>
    </w:p>
    <w:p>
      <w:pPr>
        <w:spacing w:before="60" w:after="100"/>
        <w:ind w:left="44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21"/>
          <w:szCs w:val="21"/>
        </w:rPr>
        <w:t xml:space="preserve">—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With CarbonSync™: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Verified actual data = lowest possible CBAM charge + carbon credit income offsets liability</w:t>
      </w:r>
    </w:p>
    <w:p>
      <w:pPr>
        <w:spacing w:before="60" w:after="100"/>
        <w:ind w:left="44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21"/>
          <w:szCs w:val="21"/>
        </w:rPr>
        <w:t xml:space="preserve">—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UK ETS rate: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£40–£100/tonne — adjustable in the dashboard calculator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60"/>
          <w:szCs w:val="160"/>
        </w:rPr>
        <w:t xml:space="preserve"/>
      </w:r>
    </w:p>
    <w:p>
      <w:pPr>
        <w:pBdr>
          <w:bottom w:val="single" w:color="0D0D0D" w:sz="6" w:space="5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pacing w:val="60"/>
          <w:sz w:val="19"/>
          <w:szCs w:val="19"/>
        </w:rPr>
        <w:t xml:space="preserve">TECHNOLOGY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00"/>
          <w:szCs w:val="100"/>
        </w:rP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86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Hardware</w:t>
            </w:r>
          </w:p>
        </w:tc>
        <w:tc>
          <w:tcPr>
            <w:tcW w:type="dxa" w:w="6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Sentinel Rig — fuel flow sensor, OBD-II, GPS, 4G (Quectel BG96)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Data capture</w:t>
            </w:r>
          </w:p>
        </w:tc>
        <w:tc>
          <w:tcPr>
            <w:tcW w:type="dxa" w:w="6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MQTT over TLS, SHA-256 signed at source, SD card local backup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AI validation</w:t>
            </w:r>
          </w:p>
        </w:tc>
        <w:tc>
          <w:tcPr>
            <w:tcW w:type="dxa" w:w="6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Dataloom™ — anomaly detection, efficiency scoring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Blockchain</w:t>
            </w:r>
          </w:p>
        </w:tc>
        <w:tc>
          <w:tcPr>
            <w:tcW w:type="dxa" w:w="6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Polygon Mainnet — ERC-1155 tokens, gas-efficient minting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Verification</w:t>
            </w:r>
          </w:p>
        </w:tc>
        <w:tc>
          <w:tcPr>
            <w:tcW w:type="dxa" w:w="6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Verra VCS methodology, DEFRA 2024 emission factors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Frontend</w:t>
            </w:r>
          </w:p>
        </w:tc>
        <w:tc>
          <w:tcPr>
            <w:tcW w:type="dxa" w:w="6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Vanilla JS, no dependencies, WebSocket live data layer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60"/>
          <w:szCs w:val="160"/>
        </w:rPr>
        <w:t xml:space="preserve"/>
      </w:r>
    </w:p>
    <w:p>
      <w:pPr>
        <w:pBdr>
          <w:bottom w:val="single" w:color="0D0D0D" w:sz="6" w:space="5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pacing w:val="60"/>
          <w:sz w:val="19"/>
          <w:szCs w:val="19"/>
        </w:rPr>
        <w:t xml:space="preserve">ABOUT DAXEM LABS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00"/>
          <w:szCs w:val="100"/>
        </w:rPr>
        <w:t xml:space="preserve"/>
      </w:r>
    </w:p>
    <w:p>
      <w:pPr>
        <w:spacing w:before="60" w:after="100"/>
        <w:ind w:left="44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21"/>
          <w:szCs w:val="21"/>
        </w:rPr>
        <w:t xml:space="preserve">—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Stage: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Pre-pilot · Q2 2026 launch</w:t>
      </w:r>
    </w:p>
    <w:p>
      <w:pPr>
        <w:spacing w:before="60" w:after="100"/>
        <w:ind w:left="44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21"/>
          <w:szCs w:val="21"/>
        </w:rPr>
        <w:t xml:space="preserve">—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Pilot partner: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O'Donovan Waste Management</w:t>
      </w:r>
    </w:p>
    <w:p>
      <w:pPr>
        <w:spacing w:before="60" w:after="100"/>
        <w:ind w:left="44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21"/>
          <w:szCs w:val="21"/>
        </w:rPr>
        <w:t xml:space="preserve">—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Target market: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UK HGV fleet operators — waste, logistics, construction, removals</w:t>
      </w:r>
    </w:p>
    <w:p>
      <w:pPr>
        <w:spacing w:before="60" w:after="100"/>
        <w:ind w:left="44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21"/>
          <w:szCs w:val="21"/>
        </w:rPr>
        <w:t xml:space="preserve">—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Patent: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GB2602946.2 — filed February 2026</w:t>
      </w:r>
    </w:p>
    <w:p>
      <w:pPr>
        <w:spacing w:before="60" w:after="100"/>
        <w:ind w:left="44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21"/>
          <w:szCs w:val="21"/>
        </w:rPr>
        <w:t xml:space="preserve">—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Contact: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daxem.ai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0"/>
          <w:szCs w:val="200"/>
        </w:rPr>
        <w:t xml:space="preserve"/>
      </w:r>
    </w:p>
    <w:p>
      <w:pPr>
        <w:pBdr>
          <w:top w:val="single" w:color="CCCCCC" w:sz="4" w:space="8"/>
        </w:pBdr>
        <w:spacing w:before="0" w:after="0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8"/>
          <w:szCs w:val="18"/>
        </w:rPr>
        <w:t xml:space="preserve">CarbonSync™ and FerroGuard AI are trademarks of Daxem Labs. All rights reserved.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l5kgdh9vsztkvhd-7cwgi" Type="http://schemas.openxmlformats.org/officeDocument/2006/relationships/hyperlink" Target="https://jojibhatia.github.io/CarbonSync-Sandbox/carbonsync-demo.html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2026-02-19T11:43:45.772Z</dcterms:created>
  <dcterms:modified xsi:type="dcterms:W3CDTF">2026-02-19T11:43:45.773Z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