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36AE7" w14:textId="77777777" w:rsidR="00AE0D58" w:rsidRPr="000A0253" w:rsidRDefault="00AE0D58" w:rsidP="00AE0D58">
      <w:pPr>
        <w:spacing w:after="0"/>
        <w:rPr>
          <w:lang w:val="es-MX"/>
        </w:rPr>
      </w:pPr>
      <w:r>
        <w:rPr>
          <w:b/>
          <w:color w:val="0D2238"/>
          <w:sz w:val="26"/>
          <w:lang w:val="es-MX"/>
        </w:rPr>
        <w:t>UNIVERSIDAD AUTÓNOMA DE NUEVO LEÓN</w:t>
      </w:r>
    </w:p>
    <w:p w14:paraId="1CC90107" w14:textId="77777777" w:rsidR="00AE0D58" w:rsidRPr="000A0253" w:rsidRDefault="00AE0D58" w:rsidP="00AE0D58">
      <w:pPr>
        <w:spacing w:after="0"/>
        <w:rPr>
          <w:lang w:val="es-MX"/>
        </w:rPr>
      </w:pPr>
      <w:r>
        <w:rPr>
          <w:color w:val="0D2238"/>
          <w:sz w:val="22"/>
          <w:lang w:val="es-MX"/>
        </w:rPr>
        <w:t>Facultad de Ingeniería Mecánica y Eléctrica (FIME)</w:t>
      </w:r>
    </w:p>
    <w:p w14:paraId="66392C9A" w14:textId="77777777" w:rsidR="00AE0D58" w:rsidRPr="000A0253" w:rsidRDefault="00AE0D58" w:rsidP="00AE0D58">
      <w:pPr>
        <w:spacing w:after="0"/>
        <w:rPr>
          <w:lang w:val="es-MX"/>
        </w:rPr>
      </w:pPr>
      <w:r>
        <w:rPr>
          <w:color w:val="5F6B76"/>
          <w:sz w:val="22"/>
          <w:lang w:val="es-MX"/>
        </w:rPr>
        <w:t>Componentes de Lógica de Negocios</w:t>
      </w:r>
    </w:p>
    <w:p w14:paraId="3A70FF97" w14:textId="506045FA" w:rsidR="00AE0D58" w:rsidRPr="00AE0D58" w:rsidRDefault="00AE0D58" w:rsidP="00AE0D58">
      <w:pPr>
        <w:spacing w:after="0"/>
        <w:rPr>
          <w:lang w:val="es-MX"/>
        </w:rPr>
      </w:pPr>
      <w:r>
        <w:rPr>
          <w:color w:val="5F6B76"/>
          <w:sz w:val="22"/>
          <w:lang w:val="es-MX"/>
        </w:rPr>
        <w:t xml:space="preserve">Docente: </w:t>
      </w:r>
      <w:r>
        <w:rPr>
          <w:color w:val="5F6B76"/>
          <w:sz w:val="22"/>
          <w:lang w:val="es-MX"/>
        </w:rPr>
        <w:t>ING</w:t>
      </w:r>
      <w:r>
        <w:rPr>
          <w:color w:val="5F6B76"/>
          <w:sz w:val="22"/>
          <w:lang w:val="es-MX"/>
        </w:rPr>
        <w:t>. Miguel Ángel Gómez Marroquín</w:t>
      </w:r>
    </w:p>
    <w:p w14:paraId="1C0A100F" w14:textId="77777777" w:rsidR="00AE0D58" w:rsidRPr="00F370E2" w:rsidRDefault="00AE0D58" w:rsidP="00AE0D58">
      <w:pPr>
        <w:spacing w:before="900"/>
        <w:rPr>
          <w:lang w:val="es-MX"/>
        </w:rPr>
      </w:pPr>
      <w:r w:rsidRPr="00F370E2">
        <w:rPr>
          <w:b/>
          <w:color w:val="D8A33B"/>
          <w:sz w:val="24"/>
          <w:lang w:val="es-MX"/>
        </w:rPr>
        <w:t>ACTIVIDAD PRACTICA</w:t>
      </w:r>
    </w:p>
    <w:p w14:paraId="4916DEDF" w14:textId="446A2532" w:rsidR="00AE0D58" w:rsidRPr="00AE0D58" w:rsidRDefault="00AE0D58" w:rsidP="00AE0D58">
      <w:pPr>
        <w:pStyle w:val="Ttulo2"/>
        <w:rPr>
          <w:rFonts w:ascii="Aptos" w:hAnsi="Aptos"/>
          <w:sz w:val="72"/>
          <w:szCs w:val="56"/>
          <w:lang w:val="es-MX"/>
        </w:rPr>
      </w:pPr>
      <w:r w:rsidRPr="00AE0D58">
        <w:rPr>
          <w:rFonts w:ascii="Aptos" w:hAnsi="Aptos"/>
          <w:sz w:val="72"/>
          <w:szCs w:val="56"/>
          <w:lang w:val="es-MX"/>
        </w:rPr>
        <w:t>ARCHITECTURE DECISION RECORDS</w:t>
      </w:r>
    </w:p>
    <w:p w14:paraId="1F700DDD" w14:textId="77777777" w:rsidR="00AE0D58" w:rsidRPr="00F370E2" w:rsidRDefault="00AE0D58" w:rsidP="00AE0D58">
      <w:pPr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632"/>
      </w:tblGrid>
      <w:tr w:rsidR="00AE0D58" w14:paraId="43C99B01" w14:textId="77777777" w:rsidTr="0037375D">
        <w:trPr>
          <w:cantSplit/>
          <w:trHeight w:val="518"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099D3" w14:textId="77777777" w:rsidR="00AE0D58" w:rsidRDefault="00AE0D58" w:rsidP="0037375D">
            <w:pPr>
              <w:spacing w:after="0" w:line="252" w:lineRule="auto"/>
            </w:pPr>
            <w:r>
              <w:rPr>
                <w:b/>
                <w:sz w:val="20"/>
                <w:lang w:val="es-MX"/>
              </w:rPr>
              <w:t>Empresa asignada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9F284" w14:textId="77777777" w:rsidR="00AE0D58" w:rsidRDefault="00AE0D58" w:rsidP="0037375D">
            <w:pPr>
              <w:spacing w:after="0" w:line="252" w:lineRule="auto"/>
            </w:pPr>
            <w:proofErr w:type="spellStart"/>
            <w:r>
              <w:rPr>
                <w:sz w:val="20"/>
                <w:lang w:val="es-MX"/>
              </w:rPr>
              <w:t>RutaNorte</w:t>
            </w:r>
            <w:proofErr w:type="spellEnd"/>
            <w:r>
              <w:rPr>
                <w:sz w:val="20"/>
                <w:lang w:val="es-MX"/>
              </w:rPr>
              <w:t xml:space="preserve"> </w:t>
            </w:r>
            <w:proofErr w:type="spellStart"/>
            <w:r>
              <w:rPr>
                <w:sz w:val="20"/>
                <w:lang w:val="es-MX"/>
              </w:rPr>
              <w:t>Logistics</w:t>
            </w:r>
            <w:proofErr w:type="spellEnd"/>
          </w:p>
        </w:tc>
      </w:tr>
      <w:tr w:rsidR="00AE0D58" w:rsidRPr="000A0253" w14:paraId="19AC8219" w14:textId="77777777" w:rsidTr="0037375D">
        <w:trPr>
          <w:cantSplit/>
          <w:trHeight w:val="518"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C422B" w14:textId="77777777" w:rsidR="00AE0D58" w:rsidRDefault="00AE0D58" w:rsidP="0037375D">
            <w:pPr>
              <w:spacing w:after="0" w:line="252" w:lineRule="auto"/>
            </w:pPr>
            <w:r>
              <w:rPr>
                <w:b/>
                <w:sz w:val="20"/>
                <w:lang w:val="es-MX"/>
              </w:rPr>
              <w:t>Integrantes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32612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20"/>
                <w:lang w:val="es-MX"/>
              </w:rPr>
              <w:t>Jorge Alberto Cárdenas Almeda — Matrícula 2095849 — ITS</w:t>
            </w:r>
          </w:p>
          <w:p w14:paraId="782827B9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20"/>
                <w:lang w:val="es-MX"/>
              </w:rPr>
              <w:t>Santiago Barboza Valero — Matrícula 2095602 — ITS</w:t>
            </w:r>
          </w:p>
          <w:p w14:paraId="3788E456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20"/>
                <w:lang w:val="es-MX"/>
              </w:rPr>
              <w:t>Omar Alejandro Álvarez Chávez — Matrícula 2097224 — ITS</w:t>
            </w:r>
          </w:p>
        </w:tc>
      </w:tr>
      <w:tr w:rsidR="00AE0D58" w:rsidRPr="000A0253" w14:paraId="2494D076" w14:textId="77777777" w:rsidTr="0037375D">
        <w:trPr>
          <w:cantSplit/>
          <w:trHeight w:val="518"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7BE2B" w14:textId="77777777" w:rsidR="00AE0D58" w:rsidRDefault="00AE0D58" w:rsidP="0037375D">
            <w:pPr>
              <w:spacing w:after="0" w:line="252" w:lineRule="auto"/>
            </w:pPr>
            <w:r>
              <w:rPr>
                <w:b/>
                <w:sz w:val="20"/>
                <w:lang w:val="es-MX"/>
              </w:rPr>
              <w:t>Equipo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73D3A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20"/>
                <w:lang w:val="es-MX"/>
              </w:rPr>
              <w:t>Equipo #2 | Grupo: 003 | Hora: M6 | Salón: 4213</w:t>
            </w:r>
          </w:p>
        </w:tc>
      </w:tr>
      <w:tr w:rsidR="00AE0D58" w14:paraId="5741248E" w14:textId="77777777" w:rsidTr="0037375D">
        <w:trPr>
          <w:cantSplit/>
          <w:trHeight w:val="518"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DF20A" w14:textId="77777777" w:rsidR="00AE0D58" w:rsidRDefault="00AE0D58" w:rsidP="0037375D">
            <w:pPr>
              <w:spacing w:after="0" w:line="252" w:lineRule="auto"/>
            </w:pPr>
            <w:r>
              <w:rPr>
                <w:b/>
                <w:sz w:val="20"/>
                <w:lang w:val="es-MX"/>
              </w:rPr>
              <w:t>Fecha de entrega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B6C29" w14:textId="77777777" w:rsidR="00AE0D58" w:rsidRDefault="00AE0D58" w:rsidP="0037375D">
            <w:pPr>
              <w:spacing w:after="0" w:line="252" w:lineRule="auto"/>
            </w:pPr>
            <w:r>
              <w:rPr>
                <w:sz w:val="20"/>
                <w:lang w:val="es-MX"/>
              </w:rPr>
              <w:t>Octubre de 2026</w:t>
            </w:r>
          </w:p>
        </w:tc>
      </w:tr>
    </w:tbl>
    <w:p w14:paraId="7924363F" w14:textId="77777777" w:rsidR="00AE0D58" w:rsidRDefault="00AE0D58" w:rsidP="00AE0D58">
      <w:r>
        <w:br w:type="page"/>
      </w:r>
    </w:p>
    <w:p w14:paraId="456DA697" w14:textId="77777777" w:rsidR="00AE0D58" w:rsidRPr="00F370E2" w:rsidRDefault="00AE0D58" w:rsidP="00AE0D58">
      <w:pPr>
        <w:pStyle w:val="Ttulo2"/>
        <w:rPr>
          <w:lang w:val="es-MX"/>
        </w:rPr>
      </w:pPr>
      <w:proofErr w:type="spellStart"/>
      <w:r w:rsidRPr="00F370E2">
        <w:rPr>
          <w:lang w:val="es-MX"/>
        </w:rPr>
        <w:lastRenderedPageBreak/>
        <w:t>Architecture</w:t>
      </w:r>
      <w:proofErr w:type="spellEnd"/>
      <w:r w:rsidRPr="00F370E2">
        <w:rPr>
          <w:lang w:val="es-MX"/>
        </w:rPr>
        <w:t xml:space="preserve"> </w:t>
      </w:r>
      <w:proofErr w:type="spellStart"/>
      <w:r w:rsidRPr="00F370E2">
        <w:rPr>
          <w:lang w:val="es-MX"/>
        </w:rPr>
        <w:t>Decision</w:t>
      </w:r>
      <w:proofErr w:type="spellEnd"/>
      <w:r w:rsidRPr="00F370E2">
        <w:rPr>
          <w:lang w:val="es-MX"/>
        </w:rPr>
        <w:t xml:space="preserve"> </w:t>
      </w:r>
      <w:proofErr w:type="spellStart"/>
      <w:r w:rsidRPr="00F370E2">
        <w:rPr>
          <w:lang w:val="es-MX"/>
        </w:rPr>
        <w:t>Records</w:t>
      </w:r>
      <w:proofErr w:type="spellEnd"/>
    </w:p>
    <w:p w14:paraId="1A9CC7CC" w14:textId="77777777" w:rsidR="00AE0D58" w:rsidRPr="00F370E2" w:rsidRDefault="00AE0D58" w:rsidP="00AE0D58">
      <w:pPr>
        <w:rPr>
          <w:lang w:val="es-MX"/>
        </w:rPr>
      </w:pPr>
      <w:r w:rsidRPr="00F370E2">
        <w:rPr>
          <w:lang w:val="es-MX"/>
        </w:rPr>
        <w:t>Elaboren al menos tres ADR. Cada ADR documentará una decisión que tenga consecuencias para el diseño. Como mínimo, registren la selección del patrón de lógica de negocio y dos decisiones adicionales tomadas durante la actividad.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AE0D58" w:rsidRPr="000A0253" w14:paraId="732A74A4" w14:textId="77777777" w:rsidTr="0037375D">
        <w:trPr>
          <w:cantSplit/>
          <w:trHeight w:val="518"/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9A7E4" w14:textId="77777777" w:rsidR="00AE0D58" w:rsidRDefault="00AE0D58" w:rsidP="0037375D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Campo del ADR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A93F3" w14:textId="77777777" w:rsidR="00AE0D58" w:rsidRPr="00F370E2" w:rsidRDefault="00AE0D58" w:rsidP="0037375D">
            <w:pPr>
              <w:spacing w:after="0" w:line="252" w:lineRule="auto"/>
              <w:rPr>
                <w:lang w:val="es-MX"/>
              </w:rPr>
            </w:pPr>
            <w:r w:rsidRPr="00F370E2">
              <w:rPr>
                <w:b/>
                <w:color w:val="FFFFFF"/>
                <w:sz w:val="19"/>
                <w:lang w:val="es-MX"/>
              </w:rPr>
              <w:t>Contenido que debe redactar el equipo</w:t>
            </w:r>
          </w:p>
        </w:tc>
      </w:tr>
      <w:tr w:rsidR="00AE0D58" w:rsidRPr="000A0253" w14:paraId="7FB71FA4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9AD97" w14:textId="77777777" w:rsidR="00AE0D58" w:rsidRDefault="00AE0D58" w:rsidP="0037375D">
            <w:pPr>
              <w:spacing w:after="0" w:line="252" w:lineRule="auto"/>
            </w:pPr>
            <w:proofErr w:type="spellStart"/>
            <w:r>
              <w:rPr>
                <w:sz w:val="19"/>
              </w:rPr>
              <w:t>Titulo</w:t>
            </w:r>
            <w:proofErr w:type="spellEnd"/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556FD" w14:textId="77777777" w:rsidR="00AE0D58" w:rsidRPr="00F370E2" w:rsidRDefault="00AE0D58" w:rsidP="0037375D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 xml:space="preserve">Nombre breve de la </w:t>
            </w:r>
            <w:proofErr w:type="spellStart"/>
            <w:r w:rsidRPr="00F370E2">
              <w:rPr>
                <w:sz w:val="19"/>
                <w:lang w:val="es-MX"/>
              </w:rPr>
              <w:t>decision</w:t>
            </w:r>
            <w:proofErr w:type="spellEnd"/>
            <w:r w:rsidRPr="00F370E2">
              <w:rPr>
                <w:sz w:val="19"/>
                <w:lang w:val="es-MX"/>
              </w:rPr>
              <w:t>.</w:t>
            </w:r>
          </w:p>
        </w:tc>
      </w:tr>
      <w:tr w:rsidR="00AE0D58" w:rsidRPr="000A0253" w14:paraId="6352251F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5E0D2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</w:rPr>
              <w:t>Estado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EB713" w14:textId="77777777" w:rsidR="00AE0D58" w:rsidRPr="00F370E2" w:rsidRDefault="00AE0D58" w:rsidP="0037375D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Propuesta, aceptada, reemplazada o descartada.</w:t>
            </w:r>
          </w:p>
        </w:tc>
      </w:tr>
      <w:tr w:rsidR="00AE0D58" w:rsidRPr="000A0253" w14:paraId="1AD688FF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71291" w14:textId="77777777" w:rsidR="00AE0D58" w:rsidRDefault="00AE0D58" w:rsidP="0037375D">
            <w:pPr>
              <w:spacing w:after="0" w:line="252" w:lineRule="auto"/>
            </w:pPr>
            <w:proofErr w:type="spellStart"/>
            <w:r>
              <w:rPr>
                <w:sz w:val="19"/>
              </w:rPr>
              <w:t>Contexto</w:t>
            </w:r>
            <w:proofErr w:type="spellEnd"/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02BA0" w14:textId="77777777" w:rsidR="00AE0D58" w:rsidRPr="00F370E2" w:rsidRDefault="00AE0D58" w:rsidP="0037375D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Problema, restricciones y evidencia relevante de U2.</w:t>
            </w:r>
          </w:p>
        </w:tc>
      </w:tr>
      <w:tr w:rsidR="00AE0D58" w:rsidRPr="000A0253" w14:paraId="05678E0B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25962" w14:textId="77777777" w:rsidR="00AE0D58" w:rsidRDefault="00AE0D58" w:rsidP="0037375D">
            <w:pPr>
              <w:spacing w:after="0" w:line="252" w:lineRule="auto"/>
            </w:pPr>
            <w:proofErr w:type="spellStart"/>
            <w:r>
              <w:rPr>
                <w:sz w:val="19"/>
              </w:rPr>
              <w:t>Alternativas</w:t>
            </w:r>
            <w:proofErr w:type="spellEnd"/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BC7A9" w14:textId="77777777" w:rsidR="00AE0D58" w:rsidRPr="00F370E2" w:rsidRDefault="00AE0D58" w:rsidP="0037375D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Opciones consideradas y sus consecuencias.</w:t>
            </w:r>
          </w:p>
        </w:tc>
      </w:tr>
      <w:tr w:rsidR="00AE0D58" w:rsidRPr="000A0253" w14:paraId="4CE173B5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0E1FB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</w:rPr>
              <w:t>Decision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A5DE9" w14:textId="77777777" w:rsidR="00AE0D58" w:rsidRPr="00F370E2" w:rsidRDefault="00AE0D58" w:rsidP="0037375D">
            <w:pPr>
              <w:spacing w:after="0" w:line="252" w:lineRule="auto"/>
              <w:rPr>
                <w:lang w:val="es-MX"/>
              </w:rPr>
            </w:pPr>
            <w:proofErr w:type="spellStart"/>
            <w:r w:rsidRPr="00F370E2">
              <w:rPr>
                <w:sz w:val="19"/>
                <w:lang w:val="es-MX"/>
              </w:rPr>
              <w:t>Opcion</w:t>
            </w:r>
            <w:proofErr w:type="spellEnd"/>
            <w:r w:rsidRPr="00F370E2">
              <w:rPr>
                <w:sz w:val="19"/>
                <w:lang w:val="es-MX"/>
              </w:rPr>
              <w:t xml:space="preserve"> elegida y razon concreta.</w:t>
            </w:r>
          </w:p>
        </w:tc>
      </w:tr>
      <w:tr w:rsidR="00AE0D58" w:rsidRPr="000A0253" w14:paraId="0BC61946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0CC36" w14:textId="77777777" w:rsidR="00AE0D58" w:rsidRDefault="00AE0D58" w:rsidP="0037375D">
            <w:pPr>
              <w:spacing w:after="0" w:line="252" w:lineRule="auto"/>
            </w:pPr>
            <w:proofErr w:type="spellStart"/>
            <w:r>
              <w:rPr>
                <w:sz w:val="19"/>
              </w:rPr>
              <w:t>Consecuencias</w:t>
            </w:r>
            <w:proofErr w:type="spellEnd"/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6E4D9" w14:textId="77777777" w:rsidR="00AE0D58" w:rsidRPr="00F370E2" w:rsidRDefault="00AE0D58" w:rsidP="0037375D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Beneficios, costos, riesgos y trabajo posterior.</w:t>
            </w:r>
          </w:p>
        </w:tc>
      </w:tr>
      <w:tr w:rsidR="00AE0D58" w:rsidRPr="000A0253" w14:paraId="7E7A6D6B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45C5F" w14:textId="77777777" w:rsidR="00AE0D58" w:rsidRDefault="00AE0D58" w:rsidP="0037375D">
            <w:pPr>
              <w:spacing w:after="0" w:line="252" w:lineRule="auto"/>
            </w:pPr>
            <w:proofErr w:type="spellStart"/>
            <w:r>
              <w:rPr>
                <w:sz w:val="19"/>
              </w:rPr>
              <w:t>Trazabilidad</w:t>
            </w:r>
            <w:proofErr w:type="spellEnd"/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8762E" w14:textId="77777777" w:rsidR="00AE0D58" w:rsidRPr="00F370E2" w:rsidRDefault="00AE0D58" w:rsidP="0037375D">
            <w:pPr>
              <w:spacing w:after="0" w:line="252" w:lineRule="auto"/>
              <w:rPr>
                <w:lang w:val="es-MX"/>
              </w:rPr>
            </w:pPr>
            <w:proofErr w:type="spellStart"/>
            <w:r w:rsidRPr="00F370E2">
              <w:rPr>
                <w:sz w:val="19"/>
                <w:lang w:val="es-MX"/>
              </w:rPr>
              <w:t>IDs</w:t>
            </w:r>
            <w:proofErr w:type="spellEnd"/>
            <w:r w:rsidRPr="00F370E2">
              <w:rPr>
                <w:sz w:val="19"/>
                <w:lang w:val="es-MX"/>
              </w:rPr>
              <w:t xml:space="preserve"> de necesidades, reglas, historias o escenarios relacionados.</w:t>
            </w:r>
          </w:p>
        </w:tc>
      </w:tr>
    </w:tbl>
    <w:p w14:paraId="39C4903E" w14:textId="77777777" w:rsidR="00AE0D58" w:rsidRPr="00F370E2" w:rsidRDefault="00AE0D58" w:rsidP="00AE0D58">
      <w:pPr>
        <w:spacing w:after="0"/>
        <w:rPr>
          <w:lang w:val="es-MX"/>
        </w:rPr>
      </w:pPr>
    </w:p>
    <w:p w14:paraId="599C6E17" w14:textId="77777777" w:rsidR="00AE0D58" w:rsidRDefault="00AE0D58" w:rsidP="00AE0D58">
      <w:pPr>
        <w:keepNext/>
        <w:pBdr>
          <w:bottom w:val="single" w:sz="8" w:space="2" w:color="D8A33B"/>
        </w:pBdr>
        <w:spacing w:before="200" w:after="100"/>
        <w:rPr>
          <w:b/>
          <w:color w:val="D8A33B"/>
          <w:lang w:val="es-MX"/>
        </w:rPr>
      </w:pPr>
    </w:p>
    <w:p w14:paraId="48EE0BB4" w14:textId="77777777" w:rsidR="00AE0D58" w:rsidRDefault="00AE0D58" w:rsidP="00AE0D58">
      <w:pPr>
        <w:keepNext/>
        <w:pBdr>
          <w:bottom w:val="single" w:sz="8" w:space="2" w:color="D8A33B"/>
        </w:pBdr>
        <w:spacing w:before="200" w:after="100"/>
        <w:rPr>
          <w:b/>
          <w:color w:val="D8A33B"/>
          <w:lang w:val="es-MX"/>
        </w:rPr>
      </w:pPr>
    </w:p>
    <w:p w14:paraId="17A895D3" w14:textId="77777777" w:rsidR="00AE0D58" w:rsidRDefault="00AE0D58" w:rsidP="00AE0D58">
      <w:pPr>
        <w:keepNext/>
        <w:pBdr>
          <w:bottom w:val="single" w:sz="8" w:space="2" w:color="D8A33B"/>
        </w:pBdr>
        <w:spacing w:before="200" w:after="100"/>
        <w:rPr>
          <w:b/>
          <w:color w:val="D8A33B"/>
          <w:lang w:val="es-MX"/>
        </w:rPr>
      </w:pPr>
    </w:p>
    <w:p w14:paraId="441FBA5D" w14:textId="77777777" w:rsidR="00AE0D58" w:rsidRDefault="00AE0D58" w:rsidP="00AE0D58">
      <w:pPr>
        <w:keepNext/>
        <w:pBdr>
          <w:bottom w:val="single" w:sz="8" w:space="2" w:color="D8A33B"/>
        </w:pBdr>
        <w:spacing w:before="200" w:after="100"/>
        <w:rPr>
          <w:b/>
          <w:color w:val="D8A33B"/>
          <w:lang w:val="es-MX"/>
        </w:rPr>
      </w:pPr>
    </w:p>
    <w:p w14:paraId="1F8BBCCC" w14:textId="77777777" w:rsidR="00AE0D58" w:rsidRDefault="00AE0D58" w:rsidP="00AE0D58">
      <w:pPr>
        <w:keepNext/>
        <w:pBdr>
          <w:bottom w:val="single" w:sz="8" w:space="2" w:color="D8A33B"/>
        </w:pBdr>
        <w:spacing w:before="200" w:after="100"/>
        <w:rPr>
          <w:b/>
          <w:color w:val="D8A33B"/>
          <w:lang w:val="es-MX"/>
        </w:rPr>
      </w:pPr>
    </w:p>
    <w:p w14:paraId="3700ACF9" w14:textId="2FF89F54" w:rsidR="00AE0D58" w:rsidRDefault="00AE0D58" w:rsidP="00AE0D58">
      <w:pPr>
        <w:keepNext/>
        <w:pBdr>
          <w:bottom w:val="single" w:sz="8" w:space="2" w:color="D8A33B"/>
        </w:pBdr>
        <w:spacing w:before="200" w:after="100"/>
        <w:rPr>
          <w:b/>
          <w:color w:val="D8A33B"/>
          <w:lang w:val="es-MX"/>
        </w:rPr>
      </w:pPr>
    </w:p>
    <w:p w14:paraId="70052F4E" w14:textId="77777777" w:rsidR="00AE0D58" w:rsidRDefault="00AE0D58" w:rsidP="00AE0D58">
      <w:pPr>
        <w:keepNext/>
        <w:pBdr>
          <w:bottom w:val="single" w:sz="8" w:space="2" w:color="D8A33B"/>
        </w:pBdr>
        <w:spacing w:before="200" w:after="100"/>
        <w:rPr>
          <w:b/>
          <w:color w:val="D8A33B"/>
          <w:lang w:val="es-MX"/>
        </w:rPr>
      </w:pPr>
    </w:p>
    <w:p w14:paraId="44DE636E" w14:textId="071E787B" w:rsidR="00AE0D58" w:rsidRPr="000A0253" w:rsidRDefault="00AE0D58" w:rsidP="00AE0D58">
      <w:pPr>
        <w:keepNext/>
        <w:pBdr>
          <w:bottom w:val="single" w:sz="8" w:space="2" w:color="D8A33B"/>
        </w:pBdr>
        <w:spacing w:before="200" w:after="100"/>
        <w:rPr>
          <w:lang w:val="es-MX"/>
        </w:rPr>
      </w:pPr>
      <w:r>
        <w:rPr>
          <w:b/>
          <w:color w:val="D8A33B"/>
          <w:lang w:val="es-MX"/>
        </w:rPr>
        <w:t>Desarrollo del equipo</w:t>
      </w:r>
    </w:p>
    <w:p w14:paraId="229942B0" w14:textId="77777777" w:rsidR="00AE0D58" w:rsidRPr="000A0253" w:rsidRDefault="00AE0D58" w:rsidP="00AE0D58">
      <w:pPr>
        <w:pStyle w:val="Ttulo2"/>
        <w:rPr>
          <w:lang w:val="es-MX"/>
        </w:rPr>
      </w:pPr>
      <w:r>
        <w:rPr>
          <w:lang w:val="es-MX"/>
        </w:rPr>
        <w:t xml:space="preserve">ADR-001: Adopción de </w:t>
      </w:r>
      <w:proofErr w:type="spellStart"/>
      <w:r>
        <w:rPr>
          <w:lang w:val="es-MX"/>
        </w:rPr>
        <w:t>Domain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Model</w:t>
      </w:r>
      <w:proofErr w:type="spellEnd"/>
      <w:r>
        <w:rPr>
          <w:lang w:val="es-MX"/>
        </w:rPr>
        <w:t xml:space="preserve"> (DDD) como Patrón de Lógica de Negocio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AE0D58" w:rsidRPr="000A0253" w14:paraId="72E49861" w14:textId="77777777" w:rsidTr="0037375D">
        <w:trPr>
          <w:cantSplit/>
          <w:trHeight w:val="518"/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0179A" w14:textId="77777777" w:rsidR="00AE0D58" w:rsidRDefault="00AE0D58" w:rsidP="0037375D">
            <w:pPr>
              <w:spacing w:after="0" w:line="252" w:lineRule="auto"/>
            </w:pPr>
            <w:r>
              <w:rPr>
                <w:b/>
                <w:color w:val="FFFFFF"/>
                <w:sz w:val="19"/>
                <w:lang w:val="es-MX"/>
              </w:rPr>
              <w:t>Campo del ADR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65B97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b/>
                <w:color w:val="FFFFFF"/>
                <w:sz w:val="19"/>
                <w:lang w:val="es-MX"/>
              </w:rPr>
              <w:t>Contenido redactado por el equipo</w:t>
            </w:r>
          </w:p>
        </w:tc>
      </w:tr>
      <w:tr w:rsidR="00AE0D58" w:rsidRPr="000A0253" w14:paraId="7C60238F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6A9FD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Título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42659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Adopción de </w:t>
            </w:r>
            <w:proofErr w:type="spellStart"/>
            <w:r>
              <w:rPr>
                <w:sz w:val="19"/>
                <w:lang w:val="es-MX"/>
              </w:rPr>
              <w:t>Domain</w:t>
            </w:r>
            <w:proofErr w:type="spellEnd"/>
            <w:r>
              <w:rPr>
                <w:sz w:val="19"/>
                <w:lang w:val="es-MX"/>
              </w:rPr>
              <w:t xml:space="preserve"> </w:t>
            </w:r>
            <w:proofErr w:type="spellStart"/>
            <w:r>
              <w:rPr>
                <w:sz w:val="19"/>
                <w:lang w:val="es-MX"/>
              </w:rPr>
              <w:t>Model</w:t>
            </w:r>
            <w:proofErr w:type="spellEnd"/>
            <w:r>
              <w:rPr>
                <w:sz w:val="19"/>
                <w:lang w:val="es-MX"/>
              </w:rPr>
              <w:t xml:space="preserve"> (DDD) como Patrón de Lógica de Negocio</w:t>
            </w:r>
          </w:p>
        </w:tc>
      </w:tr>
      <w:tr w:rsidR="00AE0D58" w14:paraId="3EA6C783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10F20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Estado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E00F0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Aceptada</w:t>
            </w:r>
          </w:p>
        </w:tc>
      </w:tr>
      <w:tr w:rsidR="00AE0D58" w:rsidRPr="000A0253" w14:paraId="5CA5FEFC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0BBA4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Contexto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B4E42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proofErr w:type="spellStart"/>
            <w:r>
              <w:rPr>
                <w:sz w:val="19"/>
                <w:lang w:val="es-MX"/>
              </w:rPr>
              <w:t>RutaNorte</w:t>
            </w:r>
            <w:proofErr w:type="spellEnd"/>
            <w:r>
              <w:rPr>
                <w:sz w:val="19"/>
                <w:lang w:val="es-MX"/>
              </w:rPr>
              <w:t xml:space="preserve"> </w:t>
            </w:r>
            <w:proofErr w:type="spellStart"/>
            <w:r>
              <w:rPr>
                <w:sz w:val="19"/>
                <w:lang w:val="es-MX"/>
              </w:rPr>
              <w:t>Logistics</w:t>
            </w:r>
            <w:proofErr w:type="spellEnd"/>
            <w:r>
              <w:rPr>
                <w:sz w:val="19"/>
                <w:lang w:val="es-MX"/>
              </w:rPr>
              <w:t xml:space="preserve"> gestiona un ciclo de vida complejo de transporte de mercancías con reglas interconectadas (validación estricta de discrepancias de peso en origen superior al 15%, control de créditos corporativos con morosidad a 30 días, y gestión de incidencias viales). Dispersar estas reglas en procedimientos aislados generaría duplicidad y alto riesgo de inconsistencias operativas.</w:t>
            </w:r>
          </w:p>
        </w:tc>
      </w:tr>
      <w:tr w:rsidR="00AE0D58" w:rsidRPr="000A0253" w14:paraId="03AB2195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3EE8C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Alternativas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36B5E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1. </w:t>
            </w:r>
            <w:proofErr w:type="spellStart"/>
            <w:r>
              <w:rPr>
                <w:b/>
                <w:sz w:val="19"/>
                <w:lang w:val="es-MX"/>
              </w:rPr>
              <w:t>Transaction</w:t>
            </w:r>
            <w:proofErr w:type="spellEnd"/>
            <w:r>
              <w:rPr>
                <w:b/>
                <w:sz w:val="19"/>
                <w:lang w:val="es-MX"/>
              </w:rPr>
              <w:t xml:space="preserve"> Script:</w:t>
            </w:r>
            <w:r>
              <w:rPr>
                <w:sz w:val="19"/>
                <w:lang w:val="es-MX"/>
              </w:rPr>
              <w:t xml:space="preserve"> Fácil de implementar, pero duplica validaciones y lógica entre los diferentes casos de uso (CU-01 a CU-05).</w:t>
            </w:r>
          </w:p>
          <w:p w14:paraId="714ACE4F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2. </w:t>
            </w:r>
            <w:r>
              <w:rPr>
                <w:b/>
                <w:sz w:val="19"/>
                <w:lang w:val="es-MX"/>
              </w:rPr>
              <w:t>Table Module:</w:t>
            </w:r>
            <w:r>
              <w:rPr>
                <w:sz w:val="19"/>
                <w:lang w:val="es-MX"/>
              </w:rPr>
              <w:t xml:space="preserve"> Agrupa lógica por tablas, pero carece de un control estricto del ciclo de vida y protección de invariantes por entidad.</w:t>
            </w:r>
          </w:p>
          <w:p w14:paraId="5DD9B2BF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3. </w:t>
            </w:r>
            <w:proofErr w:type="spellStart"/>
            <w:r>
              <w:rPr>
                <w:b/>
                <w:sz w:val="19"/>
                <w:lang w:val="es-MX"/>
              </w:rPr>
              <w:t>Domain</w:t>
            </w:r>
            <w:proofErr w:type="spellEnd"/>
            <w:r>
              <w:rPr>
                <w:b/>
                <w:sz w:val="19"/>
                <w:lang w:val="es-MX"/>
              </w:rPr>
              <w:t xml:space="preserve"> </w:t>
            </w:r>
            <w:proofErr w:type="spellStart"/>
            <w:r>
              <w:rPr>
                <w:b/>
                <w:sz w:val="19"/>
                <w:lang w:val="es-MX"/>
              </w:rPr>
              <w:t>Model</w:t>
            </w:r>
            <w:proofErr w:type="spellEnd"/>
            <w:r>
              <w:rPr>
                <w:b/>
                <w:sz w:val="19"/>
                <w:lang w:val="es-MX"/>
              </w:rPr>
              <w:t>:</w:t>
            </w:r>
            <w:r>
              <w:rPr>
                <w:sz w:val="19"/>
                <w:lang w:val="es-MX"/>
              </w:rPr>
              <w:t xml:space="preserve"> Mayor esfuerzo inicial de diseño, pero centraliza la lógica y protege las invariantes en objetos de dominio ricos.</w:t>
            </w:r>
          </w:p>
        </w:tc>
      </w:tr>
      <w:tr w:rsidR="00AE0D58" w:rsidRPr="000A0253" w14:paraId="14495746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3FC96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Decisión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DEDD3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Seleccionar </w:t>
            </w:r>
            <w:proofErr w:type="spellStart"/>
            <w:r>
              <w:rPr>
                <w:sz w:val="19"/>
                <w:lang w:val="es-MX"/>
              </w:rPr>
              <w:t>Domain</w:t>
            </w:r>
            <w:proofErr w:type="spellEnd"/>
            <w:r>
              <w:rPr>
                <w:sz w:val="19"/>
                <w:lang w:val="es-MX"/>
              </w:rPr>
              <w:t xml:space="preserve"> </w:t>
            </w:r>
            <w:proofErr w:type="spellStart"/>
            <w:r>
              <w:rPr>
                <w:sz w:val="19"/>
                <w:lang w:val="es-MX"/>
              </w:rPr>
              <w:t>Model</w:t>
            </w:r>
            <w:proofErr w:type="spellEnd"/>
            <w:r>
              <w:rPr>
                <w:sz w:val="19"/>
                <w:lang w:val="es-MX"/>
              </w:rPr>
              <w:t xml:space="preserve"> como patrón principal de lógica de negocio, encapsulando las reglas y transiciones de estado dentro de la raíz del agregado </w:t>
            </w:r>
            <w:proofErr w:type="spellStart"/>
            <w:r>
              <w:rPr>
                <w:sz w:val="19"/>
                <w:lang w:val="es-MX"/>
              </w:rPr>
              <w:t>OrdenServicio</w:t>
            </w:r>
            <w:proofErr w:type="spellEnd"/>
            <w:r>
              <w:rPr>
                <w:sz w:val="19"/>
                <w:lang w:val="es-MX"/>
              </w:rPr>
              <w:t xml:space="preserve"> y sus componentes asociados.</w:t>
            </w:r>
          </w:p>
        </w:tc>
      </w:tr>
      <w:tr w:rsidR="00AE0D58" w:rsidRPr="000A0253" w14:paraId="52B1FE87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5E4EE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Consecuencias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C7542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• </w:t>
            </w:r>
            <w:r>
              <w:rPr>
                <w:b/>
                <w:sz w:val="19"/>
                <w:lang w:val="es-MX"/>
              </w:rPr>
              <w:t>Beneficios:</w:t>
            </w:r>
            <w:r>
              <w:rPr>
                <w:sz w:val="19"/>
                <w:lang w:val="es-MX"/>
              </w:rPr>
              <w:t xml:space="preserve"> Protección estricta de invariantes en un solo lugar, lenguaje ubicuo reflejado en el código y alta </w:t>
            </w:r>
            <w:proofErr w:type="spellStart"/>
            <w:r>
              <w:rPr>
                <w:sz w:val="19"/>
                <w:lang w:val="es-MX"/>
              </w:rPr>
              <w:t>testabilidad</w:t>
            </w:r>
            <w:proofErr w:type="spellEnd"/>
            <w:r>
              <w:rPr>
                <w:sz w:val="19"/>
                <w:lang w:val="es-MX"/>
              </w:rPr>
              <w:t xml:space="preserve"> unitaria sin base de datos.</w:t>
            </w:r>
          </w:p>
          <w:p w14:paraId="073B51A0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• </w:t>
            </w:r>
            <w:r>
              <w:rPr>
                <w:b/>
                <w:sz w:val="19"/>
                <w:lang w:val="es-MX"/>
              </w:rPr>
              <w:t>Costos:</w:t>
            </w:r>
            <w:r>
              <w:rPr>
                <w:sz w:val="19"/>
                <w:lang w:val="es-MX"/>
              </w:rPr>
              <w:t xml:space="preserve"> Mayor curva de aprendizaje y mayor cantidad de clases iniciales.</w:t>
            </w:r>
          </w:p>
          <w:p w14:paraId="09B72924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• </w:t>
            </w:r>
            <w:r>
              <w:rPr>
                <w:b/>
                <w:sz w:val="19"/>
                <w:lang w:val="es-MX"/>
              </w:rPr>
              <w:t>Riesgos:</w:t>
            </w:r>
            <w:r>
              <w:rPr>
                <w:sz w:val="19"/>
                <w:lang w:val="es-MX"/>
              </w:rPr>
              <w:t xml:space="preserve"> </w:t>
            </w:r>
            <w:proofErr w:type="spellStart"/>
            <w:r>
              <w:rPr>
                <w:sz w:val="19"/>
                <w:lang w:val="es-MX"/>
              </w:rPr>
              <w:t>Sobrediseño</w:t>
            </w:r>
            <w:proofErr w:type="spellEnd"/>
            <w:r>
              <w:rPr>
                <w:sz w:val="19"/>
                <w:lang w:val="es-MX"/>
              </w:rPr>
              <w:t xml:space="preserve"> de entidades; mitigado modelando únicamente conceptos con identidad y ciclo de vida real.</w:t>
            </w:r>
          </w:p>
        </w:tc>
      </w:tr>
      <w:tr w:rsidR="00AE0D58" w14:paraId="50A83202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E6094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Trazabilidad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BD7F2" w14:textId="77777777" w:rsidR="00AE0D58" w:rsidRDefault="00AE0D58" w:rsidP="0037375D">
            <w:pPr>
              <w:spacing w:after="0" w:line="252" w:lineRule="auto"/>
            </w:pPr>
            <w:r w:rsidRPr="000A0253">
              <w:rPr>
                <w:sz w:val="19"/>
              </w:rPr>
              <w:t>US-01, US-03, HU-08, US-13; RN-01 a RN-10; CU-01 a CU-05</w:t>
            </w:r>
          </w:p>
        </w:tc>
      </w:tr>
    </w:tbl>
    <w:p w14:paraId="5F93616C" w14:textId="77777777" w:rsidR="00AE0D58" w:rsidRDefault="00AE0D58" w:rsidP="00AE0D58">
      <w:pPr>
        <w:spacing w:after="0"/>
      </w:pPr>
    </w:p>
    <w:p w14:paraId="340D5F40" w14:textId="77777777" w:rsidR="00AE0D58" w:rsidRPr="000A0253" w:rsidRDefault="00AE0D58" w:rsidP="00AE0D58">
      <w:pPr>
        <w:pStyle w:val="Ttulo2"/>
        <w:rPr>
          <w:lang w:val="es-MX"/>
        </w:rPr>
      </w:pPr>
      <w:r>
        <w:rPr>
          <w:lang w:val="es-MX"/>
        </w:rPr>
        <w:t>ADR-002: Aplicación de CQRS Básico sobre Almacén Único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AE0D58" w:rsidRPr="000A0253" w14:paraId="3300B61A" w14:textId="77777777" w:rsidTr="0037375D">
        <w:trPr>
          <w:cantSplit/>
          <w:trHeight w:val="518"/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BED20" w14:textId="77777777" w:rsidR="00AE0D58" w:rsidRDefault="00AE0D58" w:rsidP="0037375D">
            <w:pPr>
              <w:spacing w:after="0" w:line="252" w:lineRule="auto"/>
            </w:pPr>
            <w:r>
              <w:rPr>
                <w:b/>
                <w:color w:val="FFFFFF"/>
                <w:sz w:val="19"/>
                <w:lang w:val="es-MX"/>
              </w:rPr>
              <w:t>Campo del ADR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4940D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b/>
                <w:color w:val="FFFFFF"/>
                <w:sz w:val="19"/>
                <w:lang w:val="es-MX"/>
              </w:rPr>
              <w:t>Contenido redactado por el equipo</w:t>
            </w:r>
          </w:p>
        </w:tc>
      </w:tr>
      <w:tr w:rsidR="00AE0D58" w:rsidRPr="000A0253" w14:paraId="0738CC1A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6E2D4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Título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8C19F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>Aplicación de CQRS básico sobre un único almacén de datos</w:t>
            </w:r>
          </w:p>
        </w:tc>
      </w:tr>
      <w:tr w:rsidR="00AE0D58" w14:paraId="4F75C4AA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AC508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Estado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5979A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Aceptada</w:t>
            </w:r>
          </w:p>
        </w:tc>
      </w:tr>
      <w:tr w:rsidR="00AE0D58" w:rsidRPr="000A0253" w14:paraId="1C9CF487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67FCD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Contexto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1D7B4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>El sistema logístico requiere procesar operaciones transaccionales estrictas de escritura (como confirmar cotizaciones y registrar entregas) y, por separado, consultas frecuentes de lectura optimizada para el rastreo público de envíos y el tablero de monitoreo de flota en tiempo real de Atención al Cliente.</w:t>
            </w:r>
          </w:p>
        </w:tc>
      </w:tr>
      <w:tr w:rsidR="00AE0D58" w:rsidRPr="000A0253" w14:paraId="423FC9C4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D943E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Alternativas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CE704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1. </w:t>
            </w:r>
            <w:r>
              <w:rPr>
                <w:b/>
                <w:sz w:val="19"/>
                <w:lang w:val="es-MX"/>
              </w:rPr>
              <w:t>Modelo CRUD unificado:</w:t>
            </w:r>
            <w:r>
              <w:rPr>
                <w:sz w:val="19"/>
                <w:lang w:val="es-MX"/>
              </w:rPr>
              <w:t xml:space="preserve"> Mezcla operaciones de lectura y escritura usando las mismas estructuras de datos (expone el modelo de dominio a las vistas y sobrecarga la operación).</w:t>
            </w:r>
          </w:p>
          <w:p w14:paraId="33074BC9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2. </w:t>
            </w:r>
            <w:r>
              <w:rPr>
                <w:b/>
                <w:sz w:val="19"/>
                <w:lang w:val="es-MX"/>
              </w:rPr>
              <w:t>CQRS completo con bases separadas y proyecciones:</w:t>
            </w:r>
            <w:r>
              <w:rPr>
                <w:sz w:val="19"/>
                <w:lang w:val="es-MX"/>
              </w:rPr>
              <w:t xml:space="preserve"> Demasiado </w:t>
            </w:r>
            <w:proofErr w:type="gramStart"/>
            <w:r>
              <w:rPr>
                <w:sz w:val="19"/>
                <w:lang w:val="es-MX"/>
              </w:rPr>
              <w:t>potente</w:t>
            </w:r>
            <w:proofErr w:type="gramEnd"/>
            <w:r>
              <w:rPr>
                <w:sz w:val="19"/>
                <w:lang w:val="es-MX"/>
              </w:rPr>
              <w:t xml:space="preserve"> pero representa una </w:t>
            </w:r>
            <w:proofErr w:type="spellStart"/>
            <w:r>
              <w:rPr>
                <w:sz w:val="19"/>
                <w:lang w:val="es-MX"/>
              </w:rPr>
              <w:t>sobreingeniería</w:t>
            </w:r>
            <w:proofErr w:type="spellEnd"/>
            <w:r>
              <w:rPr>
                <w:sz w:val="19"/>
                <w:lang w:val="es-MX"/>
              </w:rPr>
              <w:t xml:space="preserve"> injustificada para la escala actual del proyecto.</w:t>
            </w:r>
          </w:p>
          <w:p w14:paraId="39F334DD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3. </w:t>
            </w:r>
            <w:r>
              <w:rPr>
                <w:b/>
                <w:sz w:val="19"/>
                <w:lang w:val="es-MX"/>
              </w:rPr>
              <w:t>CQRS básico:</w:t>
            </w:r>
            <w:r>
              <w:rPr>
                <w:sz w:val="19"/>
                <w:lang w:val="es-MX"/>
              </w:rPr>
              <w:t xml:space="preserve"> Separación lógica explícita de </w:t>
            </w:r>
            <w:proofErr w:type="spellStart"/>
            <w:r>
              <w:rPr>
                <w:sz w:val="19"/>
                <w:lang w:val="es-MX"/>
              </w:rPr>
              <w:t>Commands</w:t>
            </w:r>
            <w:proofErr w:type="spellEnd"/>
            <w:r>
              <w:rPr>
                <w:sz w:val="19"/>
                <w:lang w:val="es-MX"/>
              </w:rPr>
              <w:t xml:space="preserve"> y </w:t>
            </w:r>
            <w:proofErr w:type="spellStart"/>
            <w:r>
              <w:rPr>
                <w:sz w:val="19"/>
                <w:lang w:val="es-MX"/>
              </w:rPr>
              <w:t>Queries</w:t>
            </w:r>
            <w:proofErr w:type="spellEnd"/>
            <w:r>
              <w:rPr>
                <w:sz w:val="19"/>
                <w:lang w:val="es-MX"/>
              </w:rPr>
              <w:t xml:space="preserve"> utilizando </w:t>
            </w:r>
            <w:proofErr w:type="spellStart"/>
            <w:r>
              <w:rPr>
                <w:sz w:val="19"/>
                <w:lang w:val="es-MX"/>
              </w:rPr>
              <w:t>DTOs</w:t>
            </w:r>
            <w:proofErr w:type="spellEnd"/>
            <w:r>
              <w:rPr>
                <w:sz w:val="19"/>
                <w:lang w:val="es-MX"/>
              </w:rPr>
              <w:t xml:space="preserve"> de lectura dedicados sobre la misma base de datos.</w:t>
            </w:r>
          </w:p>
        </w:tc>
      </w:tr>
      <w:tr w:rsidR="00AE0D58" w:rsidRPr="000A0253" w14:paraId="4BBCC68C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C48FC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Decisión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8AAC9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Adoptar CQRS básico en la capa de aplicación. Los </w:t>
            </w:r>
            <w:proofErr w:type="spellStart"/>
            <w:r>
              <w:rPr>
                <w:sz w:val="19"/>
                <w:lang w:val="es-MX"/>
              </w:rPr>
              <w:t>Commands</w:t>
            </w:r>
            <w:proofErr w:type="spellEnd"/>
            <w:r>
              <w:rPr>
                <w:sz w:val="19"/>
                <w:lang w:val="es-MX"/>
              </w:rPr>
              <w:t xml:space="preserve"> mutan el estado a través del dominio y el </w:t>
            </w:r>
            <w:proofErr w:type="spellStart"/>
            <w:r>
              <w:rPr>
                <w:sz w:val="19"/>
                <w:lang w:val="es-MX"/>
              </w:rPr>
              <w:t>Unit</w:t>
            </w:r>
            <w:proofErr w:type="spellEnd"/>
            <w:r>
              <w:rPr>
                <w:sz w:val="19"/>
                <w:lang w:val="es-MX"/>
              </w:rPr>
              <w:t xml:space="preserve"> </w:t>
            </w:r>
            <w:proofErr w:type="spellStart"/>
            <w:r>
              <w:rPr>
                <w:sz w:val="19"/>
                <w:lang w:val="es-MX"/>
              </w:rPr>
              <w:t>of</w:t>
            </w:r>
            <w:proofErr w:type="spellEnd"/>
            <w:r>
              <w:rPr>
                <w:sz w:val="19"/>
                <w:lang w:val="es-MX"/>
              </w:rPr>
              <w:t xml:space="preserve"> </w:t>
            </w:r>
            <w:proofErr w:type="spellStart"/>
            <w:r>
              <w:rPr>
                <w:sz w:val="19"/>
                <w:lang w:val="es-MX"/>
              </w:rPr>
              <w:t>Work</w:t>
            </w:r>
            <w:proofErr w:type="spellEnd"/>
            <w:r>
              <w:rPr>
                <w:sz w:val="19"/>
                <w:lang w:val="es-MX"/>
              </w:rPr>
              <w:t xml:space="preserve">, mientras que las </w:t>
            </w:r>
            <w:proofErr w:type="spellStart"/>
            <w:r>
              <w:rPr>
                <w:sz w:val="19"/>
                <w:lang w:val="es-MX"/>
              </w:rPr>
              <w:t>Queries</w:t>
            </w:r>
            <w:proofErr w:type="spellEnd"/>
            <w:r>
              <w:rPr>
                <w:sz w:val="19"/>
                <w:lang w:val="es-MX"/>
              </w:rPr>
              <w:t xml:space="preserve"> devuelven </w:t>
            </w:r>
            <w:proofErr w:type="spellStart"/>
            <w:r>
              <w:rPr>
                <w:sz w:val="19"/>
                <w:lang w:val="es-MX"/>
              </w:rPr>
              <w:t>DTOs</w:t>
            </w:r>
            <w:proofErr w:type="spellEnd"/>
            <w:r>
              <w:rPr>
                <w:sz w:val="19"/>
                <w:lang w:val="es-MX"/>
              </w:rPr>
              <w:t xml:space="preserve"> ligeros de lectura optimizada sin cargar agregados completos.</w:t>
            </w:r>
          </w:p>
        </w:tc>
      </w:tr>
      <w:tr w:rsidR="00AE0D58" w:rsidRPr="000A0253" w14:paraId="10274816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9C76C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Consecuencias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4368E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• </w:t>
            </w:r>
            <w:r>
              <w:rPr>
                <w:b/>
                <w:sz w:val="19"/>
                <w:lang w:val="es-MX"/>
              </w:rPr>
              <w:t>Beneficios:</w:t>
            </w:r>
            <w:r>
              <w:rPr>
                <w:sz w:val="19"/>
                <w:lang w:val="es-MX"/>
              </w:rPr>
              <w:t xml:space="preserve"> Responsabilidades claramente segregadas, </w:t>
            </w:r>
            <w:proofErr w:type="spellStart"/>
            <w:r>
              <w:rPr>
                <w:sz w:val="19"/>
                <w:lang w:val="es-MX"/>
              </w:rPr>
              <w:t>DTOs</w:t>
            </w:r>
            <w:proofErr w:type="spellEnd"/>
            <w:r>
              <w:rPr>
                <w:sz w:val="19"/>
                <w:lang w:val="es-MX"/>
              </w:rPr>
              <w:t xml:space="preserve"> de lectura propios y camino evolutivo hacia proyecciones si las métricas de gerencia crecen.</w:t>
            </w:r>
          </w:p>
          <w:p w14:paraId="18ADA188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• </w:t>
            </w:r>
            <w:r>
              <w:rPr>
                <w:b/>
                <w:sz w:val="19"/>
                <w:lang w:val="es-MX"/>
              </w:rPr>
              <w:t>Costos:</w:t>
            </w:r>
            <w:r>
              <w:rPr>
                <w:sz w:val="19"/>
                <w:lang w:val="es-MX"/>
              </w:rPr>
              <w:t xml:space="preserve"> Incremento en la cantidad de clases auxiliares (</w:t>
            </w:r>
            <w:proofErr w:type="spellStart"/>
            <w:r>
              <w:rPr>
                <w:sz w:val="19"/>
                <w:lang w:val="es-MX"/>
              </w:rPr>
              <w:t>Commands</w:t>
            </w:r>
            <w:proofErr w:type="spellEnd"/>
            <w:r>
              <w:rPr>
                <w:sz w:val="19"/>
                <w:lang w:val="es-MX"/>
              </w:rPr>
              <w:t xml:space="preserve">, </w:t>
            </w:r>
            <w:proofErr w:type="spellStart"/>
            <w:r>
              <w:rPr>
                <w:sz w:val="19"/>
                <w:lang w:val="es-MX"/>
              </w:rPr>
              <w:t>Handlers</w:t>
            </w:r>
            <w:proofErr w:type="spellEnd"/>
            <w:r>
              <w:rPr>
                <w:sz w:val="19"/>
                <w:lang w:val="es-MX"/>
              </w:rPr>
              <w:t xml:space="preserve">, </w:t>
            </w:r>
            <w:proofErr w:type="spellStart"/>
            <w:r>
              <w:rPr>
                <w:sz w:val="19"/>
                <w:lang w:val="es-MX"/>
              </w:rPr>
              <w:t>Queries</w:t>
            </w:r>
            <w:proofErr w:type="spellEnd"/>
            <w:r>
              <w:rPr>
                <w:sz w:val="19"/>
                <w:lang w:val="es-MX"/>
              </w:rPr>
              <w:t xml:space="preserve">, </w:t>
            </w:r>
            <w:proofErr w:type="spellStart"/>
            <w:r>
              <w:rPr>
                <w:sz w:val="19"/>
                <w:lang w:val="es-MX"/>
              </w:rPr>
              <w:t>DTOs</w:t>
            </w:r>
            <w:proofErr w:type="spellEnd"/>
            <w:r>
              <w:rPr>
                <w:sz w:val="19"/>
                <w:lang w:val="es-MX"/>
              </w:rPr>
              <w:t>).</w:t>
            </w:r>
          </w:p>
          <w:p w14:paraId="581A9DDF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• </w:t>
            </w:r>
            <w:r>
              <w:rPr>
                <w:b/>
                <w:sz w:val="19"/>
                <w:lang w:val="es-MX"/>
              </w:rPr>
              <w:t>Riesgos:</w:t>
            </w:r>
            <w:r>
              <w:rPr>
                <w:sz w:val="19"/>
                <w:lang w:val="es-MX"/>
              </w:rPr>
              <w:t xml:space="preserve"> Sincronización de responsabilidades; mitigado manteniendo la lectura acotada a consultas específicas.</w:t>
            </w:r>
          </w:p>
        </w:tc>
      </w:tr>
      <w:tr w:rsidR="00AE0D58" w14:paraId="407DF13F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51FD3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Trazabilidad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2C575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HU-05, HU-10, US-16; CU-01 a CU-05</w:t>
            </w:r>
          </w:p>
        </w:tc>
      </w:tr>
    </w:tbl>
    <w:p w14:paraId="3A9CCC43" w14:textId="77777777" w:rsidR="00AE0D58" w:rsidRDefault="00AE0D58" w:rsidP="00AE0D58">
      <w:pPr>
        <w:spacing w:after="0"/>
      </w:pPr>
    </w:p>
    <w:p w14:paraId="75DEB839" w14:textId="77777777" w:rsidR="00AE0D58" w:rsidRDefault="00AE0D58" w:rsidP="00AE0D58">
      <w:pPr>
        <w:pStyle w:val="Ttulo2"/>
        <w:rPr>
          <w:lang w:val="es-MX"/>
        </w:rPr>
      </w:pPr>
    </w:p>
    <w:p w14:paraId="672F6B36" w14:textId="77777777" w:rsidR="00AE0D58" w:rsidRDefault="00AE0D58" w:rsidP="00AE0D58">
      <w:pPr>
        <w:pStyle w:val="Ttulo2"/>
        <w:rPr>
          <w:lang w:val="es-MX"/>
        </w:rPr>
      </w:pPr>
    </w:p>
    <w:p w14:paraId="6E852771" w14:textId="77777777" w:rsidR="00AE0D58" w:rsidRDefault="00AE0D58" w:rsidP="00AE0D58">
      <w:pPr>
        <w:pStyle w:val="Ttulo2"/>
        <w:rPr>
          <w:lang w:val="es-MX"/>
        </w:rPr>
      </w:pPr>
    </w:p>
    <w:p w14:paraId="2C550008" w14:textId="2130F71F" w:rsidR="00AE0D58" w:rsidRPr="000A0253" w:rsidRDefault="00AE0D58" w:rsidP="00AE0D58">
      <w:pPr>
        <w:pStyle w:val="Ttulo2"/>
        <w:rPr>
          <w:lang w:val="es-MX"/>
        </w:rPr>
      </w:pPr>
      <w:r>
        <w:rPr>
          <w:lang w:val="es-MX"/>
        </w:rPr>
        <w:t xml:space="preserve">ADR-003: Uso de Repositorios por Agregado con </w:t>
      </w:r>
      <w:proofErr w:type="spellStart"/>
      <w:r>
        <w:rPr>
          <w:lang w:val="es-MX"/>
        </w:rPr>
        <w:t>Unit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Work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AE0D58" w:rsidRPr="000A0253" w14:paraId="634B8C17" w14:textId="77777777" w:rsidTr="0037375D">
        <w:trPr>
          <w:cantSplit/>
          <w:trHeight w:val="518"/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EF6A4" w14:textId="77777777" w:rsidR="00AE0D58" w:rsidRDefault="00AE0D58" w:rsidP="0037375D">
            <w:pPr>
              <w:spacing w:after="0" w:line="252" w:lineRule="auto"/>
            </w:pPr>
            <w:r>
              <w:rPr>
                <w:b/>
                <w:color w:val="FFFFFF"/>
                <w:sz w:val="19"/>
                <w:lang w:val="es-MX"/>
              </w:rPr>
              <w:t>Campo del ADR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8D336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b/>
                <w:color w:val="FFFFFF"/>
                <w:sz w:val="19"/>
                <w:lang w:val="es-MX"/>
              </w:rPr>
              <w:t>Contenido redactado por el equipo</w:t>
            </w:r>
          </w:p>
        </w:tc>
      </w:tr>
      <w:tr w:rsidR="00AE0D58" w:rsidRPr="000A0253" w14:paraId="5A01EC6D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A4783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Título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661C8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Uso de Repositorios por Agregado con </w:t>
            </w:r>
            <w:proofErr w:type="spellStart"/>
            <w:r>
              <w:rPr>
                <w:sz w:val="19"/>
                <w:lang w:val="es-MX"/>
              </w:rPr>
              <w:t>Unit</w:t>
            </w:r>
            <w:proofErr w:type="spellEnd"/>
            <w:r>
              <w:rPr>
                <w:sz w:val="19"/>
                <w:lang w:val="es-MX"/>
              </w:rPr>
              <w:t xml:space="preserve"> </w:t>
            </w:r>
            <w:proofErr w:type="spellStart"/>
            <w:r>
              <w:rPr>
                <w:sz w:val="19"/>
                <w:lang w:val="es-MX"/>
              </w:rPr>
              <w:t>of</w:t>
            </w:r>
            <w:proofErr w:type="spellEnd"/>
            <w:r>
              <w:rPr>
                <w:sz w:val="19"/>
                <w:lang w:val="es-MX"/>
              </w:rPr>
              <w:t xml:space="preserve"> </w:t>
            </w:r>
            <w:proofErr w:type="spellStart"/>
            <w:r>
              <w:rPr>
                <w:sz w:val="19"/>
                <w:lang w:val="es-MX"/>
              </w:rPr>
              <w:t>Work</w:t>
            </w:r>
            <w:proofErr w:type="spellEnd"/>
            <w:r>
              <w:rPr>
                <w:sz w:val="19"/>
                <w:lang w:val="es-MX"/>
              </w:rPr>
              <w:t xml:space="preserve"> como Frontera Transaccional</w:t>
            </w:r>
          </w:p>
        </w:tc>
      </w:tr>
      <w:tr w:rsidR="00AE0D58" w14:paraId="667D222F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80956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Estado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AE5C1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Aceptada</w:t>
            </w:r>
          </w:p>
        </w:tc>
      </w:tr>
      <w:tr w:rsidR="00AE0D58" w:rsidRPr="000A0253" w14:paraId="61A9735C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555B0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Contexto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5415E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El núcleo del dominio debe permanecer completamente desacoplado de los detalles de infraestructura (SQL, ORM). Asimismo, las operaciones de los casos de uso deben completarse de forma atómica: abrir una orden y registrar sus recursos asociados debe confirmarse íntegramente o aplicar un </w:t>
            </w:r>
            <w:proofErr w:type="spellStart"/>
            <w:r>
              <w:rPr>
                <w:sz w:val="19"/>
                <w:lang w:val="es-MX"/>
              </w:rPr>
              <w:t>rollback</w:t>
            </w:r>
            <w:proofErr w:type="spellEnd"/>
            <w:r>
              <w:rPr>
                <w:sz w:val="19"/>
                <w:lang w:val="es-MX"/>
              </w:rPr>
              <w:t xml:space="preserve"> estricto ante fallos.</w:t>
            </w:r>
          </w:p>
        </w:tc>
      </w:tr>
      <w:tr w:rsidR="00AE0D58" w:rsidRPr="000A0253" w14:paraId="2335F0B1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B83D0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Alternativas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C91EA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1. </w:t>
            </w:r>
            <w:r>
              <w:rPr>
                <w:b/>
                <w:sz w:val="19"/>
                <w:lang w:val="es-MX"/>
              </w:rPr>
              <w:t>Acceso directo a base de datos desde los servicios:</w:t>
            </w:r>
            <w:r>
              <w:rPr>
                <w:sz w:val="19"/>
                <w:lang w:val="es-MX"/>
              </w:rPr>
              <w:t xml:space="preserve"> Acopla fuertemente la aplicación y el dominio a la tecnología de persistencia.</w:t>
            </w:r>
          </w:p>
          <w:p w14:paraId="5D367F32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2. </w:t>
            </w:r>
            <w:r>
              <w:rPr>
                <w:b/>
                <w:sz w:val="19"/>
                <w:lang w:val="es-MX"/>
              </w:rPr>
              <w:t xml:space="preserve">Repositorios aislados sin </w:t>
            </w:r>
            <w:proofErr w:type="spellStart"/>
            <w:r>
              <w:rPr>
                <w:b/>
                <w:sz w:val="19"/>
                <w:lang w:val="es-MX"/>
              </w:rPr>
              <w:t>Unit</w:t>
            </w:r>
            <w:proofErr w:type="spellEnd"/>
            <w:r>
              <w:rPr>
                <w:b/>
                <w:sz w:val="19"/>
                <w:lang w:val="es-MX"/>
              </w:rPr>
              <w:t xml:space="preserve"> </w:t>
            </w:r>
            <w:proofErr w:type="spellStart"/>
            <w:r>
              <w:rPr>
                <w:b/>
                <w:sz w:val="19"/>
                <w:lang w:val="es-MX"/>
              </w:rPr>
              <w:t>of</w:t>
            </w:r>
            <w:proofErr w:type="spellEnd"/>
            <w:r>
              <w:rPr>
                <w:b/>
                <w:sz w:val="19"/>
                <w:lang w:val="es-MX"/>
              </w:rPr>
              <w:t xml:space="preserve"> </w:t>
            </w:r>
            <w:proofErr w:type="spellStart"/>
            <w:r>
              <w:rPr>
                <w:b/>
                <w:sz w:val="19"/>
                <w:lang w:val="es-MX"/>
              </w:rPr>
              <w:t>Work</w:t>
            </w:r>
            <w:proofErr w:type="spellEnd"/>
            <w:r>
              <w:rPr>
                <w:b/>
                <w:sz w:val="19"/>
                <w:lang w:val="es-MX"/>
              </w:rPr>
              <w:t>:</w:t>
            </w:r>
            <w:r>
              <w:rPr>
                <w:sz w:val="19"/>
                <w:lang w:val="es-MX"/>
              </w:rPr>
              <w:t xml:space="preserve"> Cada guardado confirma transacciones por separado, dejando estados parciales inconsistentes ante errores de red.</w:t>
            </w:r>
          </w:p>
          <w:p w14:paraId="0EBA7C0E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3. </w:t>
            </w:r>
            <w:r>
              <w:rPr>
                <w:b/>
                <w:sz w:val="19"/>
                <w:lang w:val="es-MX"/>
              </w:rPr>
              <w:t xml:space="preserve">Repositorios por agregado + </w:t>
            </w:r>
            <w:proofErr w:type="spellStart"/>
            <w:r>
              <w:rPr>
                <w:b/>
                <w:sz w:val="19"/>
                <w:lang w:val="es-MX"/>
              </w:rPr>
              <w:t>Unit</w:t>
            </w:r>
            <w:proofErr w:type="spellEnd"/>
            <w:r>
              <w:rPr>
                <w:b/>
                <w:sz w:val="19"/>
                <w:lang w:val="es-MX"/>
              </w:rPr>
              <w:t xml:space="preserve"> </w:t>
            </w:r>
            <w:proofErr w:type="spellStart"/>
            <w:r>
              <w:rPr>
                <w:b/>
                <w:sz w:val="19"/>
                <w:lang w:val="es-MX"/>
              </w:rPr>
              <w:t>of</w:t>
            </w:r>
            <w:proofErr w:type="spellEnd"/>
            <w:r>
              <w:rPr>
                <w:b/>
                <w:sz w:val="19"/>
                <w:lang w:val="es-MX"/>
              </w:rPr>
              <w:t xml:space="preserve"> </w:t>
            </w:r>
            <w:proofErr w:type="spellStart"/>
            <w:r>
              <w:rPr>
                <w:b/>
                <w:sz w:val="19"/>
                <w:lang w:val="es-MX"/>
              </w:rPr>
              <w:t>Work</w:t>
            </w:r>
            <w:proofErr w:type="spellEnd"/>
            <w:r>
              <w:rPr>
                <w:b/>
                <w:sz w:val="19"/>
                <w:lang w:val="es-MX"/>
              </w:rPr>
              <w:t>:</w:t>
            </w:r>
            <w:r>
              <w:rPr>
                <w:sz w:val="19"/>
                <w:lang w:val="es-MX"/>
              </w:rPr>
              <w:t xml:space="preserve"> Interfaces puros expresados en el lenguaje del dominio con una única transacción por caso de uso.</w:t>
            </w:r>
          </w:p>
        </w:tc>
      </w:tr>
      <w:tr w:rsidR="00AE0D58" w:rsidRPr="000A0253" w14:paraId="7C17D7B3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F7457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Decisión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F16BB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>Definir interfaces de repositorio por entidad raíz (</w:t>
            </w:r>
            <w:proofErr w:type="spellStart"/>
            <w:r>
              <w:rPr>
                <w:sz w:val="19"/>
                <w:lang w:val="es-MX"/>
              </w:rPr>
              <w:t>OrdenServicioRepository</w:t>
            </w:r>
            <w:proofErr w:type="spellEnd"/>
            <w:r>
              <w:rPr>
                <w:sz w:val="19"/>
                <w:lang w:val="es-MX"/>
              </w:rPr>
              <w:t xml:space="preserve">, </w:t>
            </w:r>
            <w:proofErr w:type="spellStart"/>
            <w:r>
              <w:rPr>
                <w:sz w:val="19"/>
                <w:lang w:val="es-MX"/>
              </w:rPr>
              <w:t>ClienteRepository</w:t>
            </w:r>
            <w:proofErr w:type="spellEnd"/>
            <w:r>
              <w:rPr>
                <w:sz w:val="19"/>
                <w:lang w:val="es-MX"/>
              </w:rPr>
              <w:t xml:space="preserve">, etc.) dentro del dominio, implementándolas en infraestructura. Integrar </w:t>
            </w:r>
            <w:proofErr w:type="spellStart"/>
            <w:r>
              <w:rPr>
                <w:sz w:val="19"/>
                <w:lang w:val="es-MX"/>
              </w:rPr>
              <w:t>Unit</w:t>
            </w:r>
            <w:proofErr w:type="spellEnd"/>
            <w:r>
              <w:rPr>
                <w:sz w:val="19"/>
                <w:lang w:val="es-MX"/>
              </w:rPr>
              <w:t xml:space="preserve"> </w:t>
            </w:r>
            <w:proofErr w:type="spellStart"/>
            <w:r>
              <w:rPr>
                <w:sz w:val="19"/>
                <w:lang w:val="es-MX"/>
              </w:rPr>
              <w:t>of</w:t>
            </w:r>
            <w:proofErr w:type="spellEnd"/>
            <w:r>
              <w:rPr>
                <w:sz w:val="19"/>
                <w:lang w:val="es-MX"/>
              </w:rPr>
              <w:t xml:space="preserve"> </w:t>
            </w:r>
            <w:proofErr w:type="spellStart"/>
            <w:r>
              <w:rPr>
                <w:sz w:val="19"/>
                <w:lang w:val="es-MX"/>
              </w:rPr>
              <w:t>Work</w:t>
            </w:r>
            <w:proofErr w:type="spellEnd"/>
            <w:r>
              <w:rPr>
                <w:sz w:val="19"/>
                <w:lang w:val="es-MX"/>
              </w:rPr>
              <w:t xml:space="preserve"> para coordinar el inicio (BEGIN), confirmación (COMMIT) y reversión (ROLLBACK) transaccional por caso de uso.</w:t>
            </w:r>
          </w:p>
        </w:tc>
      </w:tr>
      <w:tr w:rsidR="00AE0D58" w:rsidRPr="000A0253" w14:paraId="63D6D22A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AF114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Consecuencias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F5A44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• </w:t>
            </w:r>
            <w:r>
              <w:rPr>
                <w:b/>
                <w:sz w:val="19"/>
                <w:lang w:val="es-MX"/>
              </w:rPr>
              <w:t>Beneficios:</w:t>
            </w:r>
            <w:r>
              <w:rPr>
                <w:sz w:val="19"/>
                <w:lang w:val="es-MX"/>
              </w:rPr>
              <w:t xml:space="preserve"> Inversión de dependencias tecnológica, pruebas unitarias con repositorios en memoria y consistencia transaccional absoluta.</w:t>
            </w:r>
          </w:p>
          <w:p w14:paraId="6EF6BFE9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• </w:t>
            </w:r>
            <w:r>
              <w:rPr>
                <w:b/>
                <w:sz w:val="19"/>
                <w:lang w:val="es-MX"/>
              </w:rPr>
              <w:t>Costos:</w:t>
            </w:r>
            <w:r>
              <w:rPr>
                <w:sz w:val="19"/>
                <w:lang w:val="es-MX"/>
              </w:rPr>
              <w:t xml:space="preserve"> Mayor rigor en la gestión de sesiones de base de datos.</w:t>
            </w:r>
          </w:p>
          <w:p w14:paraId="0B2D4C5A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• </w:t>
            </w:r>
            <w:r>
              <w:rPr>
                <w:b/>
                <w:sz w:val="19"/>
                <w:lang w:val="es-MX"/>
              </w:rPr>
              <w:t>Riesgos:</w:t>
            </w:r>
            <w:r>
              <w:rPr>
                <w:sz w:val="19"/>
                <w:lang w:val="es-MX"/>
              </w:rPr>
              <w:t xml:space="preserve"> Concurrencia sobre un mismo envío; mitigado mediante control de versiones optimista.</w:t>
            </w:r>
          </w:p>
        </w:tc>
      </w:tr>
      <w:tr w:rsidR="00AE0D58" w14:paraId="78FEA8AD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97B4F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Trazabilidad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C6EAC" w14:textId="77777777" w:rsidR="00AE0D58" w:rsidRDefault="00AE0D58" w:rsidP="0037375D">
            <w:pPr>
              <w:spacing w:after="0" w:line="252" w:lineRule="auto"/>
            </w:pPr>
            <w:r w:rsidRPr="000A0253">
              <w:rPr>
                <w:sz w:val="19"/>
              </w:rPr>
              <w:t>CU-01 a CU-05; US-01, US-03, HU-08</w:t>
            </w:r>
          </w:p>
        </w:tc>
      </w:tr>
    </w:tbl>
    <w:p w14:paraId="5C9A0023" w14:textId="77777777" w:rsidR="00AE0D58" w:rsidRDefault="00AE0D58" w:rsidP="00AE0D58">
      <w:pPr>
        <w:spacing w:after="0"/>
      </w:pPr>
    </w:p>
    <w:p w14:paraId="1B043255" w14:textId="77777777" w:rsidR="00AE0D58" w:rsidRPr="000A0253" w:rsidRDefault="00AE0D58" w:rsidP="00AE0D58">
      <w:pPr>
        <w:pStyle w:val="Ttulo2"/>
        <w:rPr>
          <w:lang w:val="es-MX"/>
        </w:rPr>
      </w:pPr>
      <w:r>
        <w:rPr>
          <w:lang w:val="es-MX"/>
        </w:rPr>
        <w:lastRenderedPageBreak/>
        <w:t xml:space="preserve">ADR-004: Ubicación Estricta de Reglas en el Dominio y Capa de Servicio </w:t>
      </w:r>
      <w:proofErr w:type="gramStart"/>
      <w:r>
        <w:rPr>
          <w:lang w:val="es-MX"/>
        </w:rPr>
        <w:t>Delegada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AE0D58" w:rsidRPr="000A0253" w14:paraId="64066C20" w14:textId="77777777" w:rsidTr="0037375D">
        <w:trPr>
          <w:cantSplit/>
          <w:trHeight w:val="518"/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BA4C6" w14:textId="77777777" w:rsidR="00AE0D58" w:rsidRDefault="00AE0D58" w:rsidP="0037375D">
            <w:pPr>
              <w:spacing w:after="0" w:line="252" w:lineRule="auto"/>
            </w:pPr>
            <w:r>
              <w:rPr>
                <w:b/>
                <w:color w:val="FFFFFF"/>
                <w:sz w:val="19"/>
                <w:lang w:val="es-MX"/>
              </w:rPr>
              <w:t>Campo del ADR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CF4C1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b/>
                <w:color w:val="FFFFFF"/>
                <w:sz w:val="19"/>
                <w:lang w:val="es-MX"/>
              </w:rPr>
              <w:t>Contenido redactado por el equipo</w:t>
            </w:r>
          </w:p>
        </w:tc>
      </w:tr>
      <w:tr w:rsidR="00AE0D58" w:rsidRPr="000A0253" w14:paraId="70D5033E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EE38F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Título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CE047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Ubicación estricta de reglas en el Dominio y limitación de la </w:t>
            </w:r>
            <w:proofErr w:type="spellStart"/>
            <w:r>
              <w:rPr>
                <w:sz w:val="19"/>
                <w:lang w:val="es-MX"/>
              </w:rPr>
              <w:t>Service</w:t>
            </w:r>
            <w:proofErr w:type="spellEnd"/>
            <w:r>
              <w:rPr>
                <w:sz w:val="19"/>
                <w:lang w:val="es-MX"/>
              </w:rPr>
              <w:t xml:space="preserve"> </w:t>
            </w:r>
            <w:proofErr w:type="spellStart"/>
            <w:r>
              <w:rPr>
                <w:sz w:val="19"/>
                <w:lang w:val="es-MX"/>
              </w:rPr>
              <w:t>Layer</w:t>
            </w:r>
            <w:proofErr w:type="spellEnd"/>
            <w:r>
              <w:rPr>
                <w:sz w:val="19"/>
                <w:lang w:val="es-MX"/>
              </w:rPr>
              <w:t xml:space="preserve"> a la coordinación</w:t>
            </w:r>
          </w:p>
        </w:tc>
      </w:tr>
      <w:tr w:rsidR="00AE0D58" w14:paraId="13A7658E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A609A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Estado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8D02E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Aceptada</w:t>
            </w:r>
          </w:p>
        </w:tc>
      </w:tr>
      <w:tr w:rsidR="00AE0D58" w:rsidRPr="000A0253" w14:paraId="3C8B1A9B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FC132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Contexto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34F03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Si las condiciones y validaciones de negocio se acumulan en los </w:t>
            </w:r>
            <w:proofErr w:type="spellStart"/>
            <w:r>
              <w:rPr>
                <w:sz w:val="19"/>
                <w:lang w:val="es-MX"/>
              </w:rPr>
              <w:t>Application</w:t>
            </w:r>
            <w:proofErr w:type="spellEnd"/>
            <w:r>
              <w:rPr>
                <w:sz w:val="19"/>
                <w:lang w:val="es-MX"/>
              </w:rPr>
              <w:t xml:space="preserve"> </w:t>
            </w:r>
            <w:proofErr w:type="spellStart"/>
            <w:r>
              <w:rPr>
                <w:sz w:val="19"/>
                <w:lang w:val="es-MX"/>
              </w:rPr>
              <w:t>Services</w:t>
            </w:r>
            <w:proofErr w:type="spellEnd"/>
            <w:r>
              <w:rPr>
                <w:sz w:val="19"/>
                <w:lang w:val="es-MX"/>
              </w:rPr>
              <w:t xml:space="preserve"> o en los controladores, el dominio se reduce a contenedores anémicos de datos y las reglas tienden a duplicarse entre los diferentes casos de uso del sistema.</w:t>
            </w:r>
          </w:p>
        </w:tc>
      </w:tr>
      <w:tr w:rsidR="00AE0D58" w:rsidRPr="000A0253" w14:paraId="0DF6B709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87118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Alternativas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775D1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1. </w:t>
            </w:r>
            <w:r>
              <w:rPr>
                <w:b/>
                <w:sz w:val="19"/>
                <w:lang w:val="es-MX"/>
              </w:rPr>
              <w:t xml:space="preserve">Reglas en la capa de aplicación o </w:t>
            </w:r>
            <w:proofErr w:type="spellStart"/>
            <w:r>
              <w:rPr>
                <w:b/>
                <w:sz w:val="19"/>
                <w:lang w:val="es-MX"/>
              </w:rPr>
              <w:t>Handlers</w:t>
            </w:r>
            <w:proofErr w:type="spellEnd"/>
            <w:r>
              <w:rPr>
                <w:b/>
                <w:sz w:val="19"/>
                <w:lang w:val="es-MX"/>
              </w:rPr>
              <w:t>:</w:t>
            </w:r>
            <w:r>
              <w:rPr>
                <w:sz w:val="19"/>
                <w:lang w:val="es-MX"/>
              </w:rPr>
              <w:t xml:space="preserve"> Fácil de escribir inicialmente, pero dispersa las validaciones y dificulta las pruebas sin infraestructura.</w:t>
            </w:r>
          </w:p>
          <w:p w14:paraId="4C1FB36F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2. </w:t>
            </w:r>
            <w:r>
              <w:rPr>
                <w:b/>
                <w:sz w:val="19"/>
                <w:lang w:val="es-MX"/>
              </w:rPr>
              <w:t>Reglas exclusivamente en entidades individuales:</w:t>
            </w:r>
            <w:r>
              <w:rPr>
                <w:sz w:val="19"/>
                <w:lang w:val="es-MX"/>
              </w:rPr>
              <w:t xml:space="preserve"> Adecuadas para invariantes simples, pero insuficientes para políticas </w:t>
            </w:r>
            <w:proofErr w:type="spellStart"/>
            <w:r>
              <w:rPr>
                <w:sz w:val="19"/>
                <w:lang w:val="es-MX"/>
              </w:rPr>
              <w:t>multi-entidad</w:t>
            </w:r>
            <w:proofErr w:type="spellEnd"/>
            <w:r>
              <w:rPr>
                <w:sz w:val="19"/>
                <w:lang w:val="es-MX"/>
              </w:rPr>
              <w:t xml:space="preserve"> complejas.</w:t>
            </w:r>
          </w:p>
          <w:p w14:paraId="7733815D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3. </w:t>
            </w:r>
            <w:r>
              <w:rPr>
                <w:b/>
                <w:sz w:val="19"/>
                <w:lang w:val="es-MX"/>
              </w:rPr>
              <w:t xml:space="preserve">Invariantes en la raíz del agregado y políticas cruzadas en </w:t>
            </w:r>
            <w:proofErr w:type="spellStart"/>
            <w:r>
              <w:rPr>
                <w:b/>
                <w:sz w:val="19"/>
                <w:lang w:val="es-MX"/>
              </w:rPr>
              <w:t>Domain</w:t>
            </w:r>
            <w:proofErr w:type="spellEnd"/>
            <w:r>
              <w:rPr>
                <w:b/>
                <w:sz w:val="19"/>
                <w:lang w:val="es-MX"/>
              </w:rPr>
              <w:t xml:space="preserve"> </w:t>
            </w:r>
            <w:proofErr w:type="spellStart"/>
            <w:r>
              <w:rPr>
                <w:b/>
                <w:sz w:val="19"/>
                <w:lang w:val="es-MX"/>
              </w:rPr>
              <w:t>Services</w:t>
            </w:r>
            <w:proofErr w:type="spellEnd"/>
            <w:r>
              <w:rPr>
                <w:b/>
                <w:sz w:val="19"/>
                <w:lang w:val="es-MX"/>
              </w:rPr>
              <w:t>:</w:t>
            </w:r>
            <w:r>
              <w:rPr>
                <w:sz w:val="19"/>
                <w:lang w:val="es-MX"/>
              </w:rPr>
              <w:t xml:space="preserve"> Cada regla se ubica exactamente </w:t>
            </w:r>
            <w:proofErr w:type="spellStart"/>
            <w:r>
              <w:rPr>
                <w:sz w:val="19"/>
                <w:lang w:val="es-MX"/>
              </w:rPr>
              <w:t>donde</w:t>
            </w:r>
            <w:proofErr w:type="spellEnd"/>
            <w:r>
              <w:rPr>
                <w:sz w:val="19"/>
                <w:lang w:val="es-MX"/>
              </w:rPr>
              <w:t xml:space="preserve"> debe protegerse.</w:t>
            </w:r>
          </w:p>
        </w:tc>
      </w:tr>
      <w:tr w:rsidR="00AE0D58" w:rsidRPr="000A0253" w14:paraId="52E0ECE9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89DA0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Decisión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3D64C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>Establecer que las invariantes operativas y transiciones de estado residen en la raíz del agregado (</w:t>
            </w:r>
            <w:proofErr w:type="spellStart"/>
            <w:r>
              <w:rPr>
                <w:sz w:val="19"/>
                <w:lang w:val="es-MX"/>
              </w:rPr>
              <w:t>OrdenServicio</w:t>
            </w:r>
            <w:proofErr w:type="spellEnd"/>
            <w:r>
              <w:rPr>
                <w:sz w:val="19"/>
                <w:lang w:val="es-MX"/>
              </w:rPr>
              <w:t xml:space="preserve">), mientras que las políticas complejas que cruzan múltiples entidades residen en </w:t>
            </w:r>
            <w:proofErr w:type="spellStart"/>
            <w:r>
              <w:rPr>
                <w:sz w:val="19"/>
                <w:lang w:val="es-MX"/>
              </w:rPr>
              <w:t>Domain</w:t>
            </w:r>
            <w:proofErr w:type="spellEnd"/>
            <w:r>
              <w:rPr>
                <w:sz w:val="19"/>
                <w:lang w:val="es-MX"/>
              </w:rPr>
              <w:t xml:space="preserve"> </w:t>
            </w:r>
            <w:proofErr w:type="spellStart"/>
            <w:r>
              <w:rPr>
                <w:sz w:val="19"/>
                <w:lang w:val="es-MX"/>
              </w:rPr>
              <w:t>Services</w:t>
            </w:r>
            <w:proofErr w:type="spellEnd"/>
            <w:r>
              <w:rPr>
                <w:sz w:val="19"/>
                <w:lang w:val="es-MX"/>
              </w:rPr>
              <w:t xml:space="preserve"> puros sin estado. Los </w:t>
            </w:r>
            <w:proofErr w:type="spellStart"/>
            <w:r>
              <w:rPr>
                <w:sz w:val="19"/>
                <w:lang w:val="es-MX"/>
              </w:rPr>
              <w:t>Application</w:t>
            </w:r>
            <w:proofErr w:type="spellEnd"/>
            <w:r>
              <w:rPr>
                <w:sz w:val="19"/>
                <w:lang w:val="es-MX"/>
              </w:rPr>
              <w:t xml:space="preserve"> </w:t>
            </w:r>
            <w:proofErr w:type="spellStart"/>
            <w:r>
              <w:rPr>
                <w:sz w:val="19"/>
                <w:lang w:val="es-MX"/>
              </w:rPr>
              <w:t>Services</w:t>
            </w:r>
            <w:proofErr w:type="spellEnd"/>
            <w:r>
              <w:rPr>
                <w:sz w:val="19"/>
                <w:lang w:val="es-MX"/>
              </w:rPr>
              <w:t xml:space="preserve"> y </w:t>
            </w:r>
            <w:proofErr w:type="spellStart"/>
            <w:r>
              <w:rPr>
                <w:sz w:val="19"/>
                <w:lang w:val="es-MX"/>
              </w:rPr>
              <w:t>Handlers</w:t>
            </w:r>
            <w:proofErr w:type="spellEnd"/>
            <w:r>
              <w:rPr>
                <w:sz w:val="19"/>
                <w:lang w:val="es-MX"/>
              </w:rPr>
              <w:t xml:space="preserve"> actúan únicamente como fachadas coordinadoras.</w:t>
            </w:r>
          </w:p>
        </w:tc>
      </w:tr>
      <w:tr w:rsidR="00AE0D58" w:rsidRPr="000A0253" w14:paraId="0DF87EA0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D958B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Consecuencias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EA261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• </w:t>
            </w:r>
            <w:r>
              <w:rPr>
                <w:b/>
                <w:sz w:val="19"/>
                <w:lang w:val="es-MX"/>
              </w:rPr>
              <w:t>Beneficios:</w:t>
            </w:r>
            <w:r>
              <w:rPr>
                <w:sz w:val="19"/>
                <w:lang w:val="es-MX"/>
              </w:rPr>
              <w:t xml:space="preserve"> Alta capacidad de prueba sin base de datos, servicios de aplicación delgados y errores de negocio expresados en lenguaje ubicuo.</w:t>
            </w:r>
          </w:p>
          <w:p w14:paraId="5CF83582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• </w:t>
            </w:r>
            <w:r>
              <w:rPr>
                <w:b/>
                <w:sz w:val="19"/>
                <w:lang w:val="es-MX"/>
              </w:rPr>
              <w:t>Costos:</w:t>
            </w:r>
            <w:r>
              <w:rPr>
                <w:sz w:val="19"/>
                <w:lang w:val="es-MX"/>
              </w:rPr>
              <w:t xml:space="preserve"> La raíz del agregado puede requerir la inyección puntual de servicios de dominio como parámetros en sus métodos.</w:t>
            </w:r>
          </w:p>
          <w:p w14:paraId="3929A700" w14:textId="77777777" w:rsidR="00AE0D58" w:rsidRPr="000A0253" w:rsidRDefault="00AE0D58" w:rsidP="0037375D">
            <w:pPr>
              <w:spacing w:after="0" w:line="252" w:lineRule="auto"/>
              <w:rPr>
                <w:lang w:val="es-MX"/>
              </w:rPr>
            </w:pPr>
            <w:r>
              <w:rPr>
                <w:sz w:val="19"/>
                <w:lang w:val="es-MX"/>
              </w:rPr>
              <w:t xml:space="preserve">• </w:t>
            </w:r>
            <w:r>
              <w:rPr>
                <w:b/>
                <w:sz w:val="19"/>
                <w:lang w:val="es-MX"/>
              </w:rPr>
              <w:t>Riesgos:</w:t>
            </w:r>
            <w:r>
              <w:rPr>
                <w:sz w:val="19"/>
                <w:lang w:val="es-MX"/>
              </w:rPr>
              <w:t xml:space="preserve"> Intento de colocar reglas por comodidad en los </w:t>
            </w:r>
            <w:proofErr w:type="spellStart"/>
            <w:r>
              <w:rPr>
                <w:sz w:val="19"/>
                <w:lang w:val="es-MX"/>
              </w:rPr>
              <w:t>Handlers</w:t>
            </w:r>
            <w:proofErr w:type="spellEnd"/>
            <w:r>
              <w:rPr>
                <w:sz w:val="19"/>
                <w:lang w:val="es-MX"/>
              </w:rPr>
              <w:t>; mitigado mediante la revisión rigurosa SOLID.</w:t>
            </w:r>
          </w:p>
        </w:tc>
      </w:tr>
      <w:tr w:rsidR="00AE0D58" w14:paraId="4346CAF8" w14:textId="77777777" w:rsidTr="0037375D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E6884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Trazabilidad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C3FC2" w14:textId="77777777" w:rsidR="00AE0D58" w:rsidRDefault="00AE0D58" w:rsidP="0037375D">
            <w:pPr>
              <w:spacing w:after="0" w:line="252" w:lineRule="auto"/>
            </w:pPr>
            <w:r>
              <w:rPr>
                <w:sz w:val="19"/>
                <w:lang w:val="es-MX"/>
              </w:rPr>
              <w:t>US-01, US-03, HU-08, US-13; Etapas 4 y 7</w:t>
            </w:r>
          </w:p>
        </w:tc>
      </w:tr>
    </w:tbl>
    <w:p w14:paraId="017ABDF2" w14:textId="77777777" w:rsidR="00DF5CBE" w:rsidRDefault="00DF5CBE"/>
    <w:sectPr w:rsidR="00DF5C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58"/>
    <w:rsid w:val="00AE0D58"/>
    <w:rsid w:val="00DF5CBE"/>
    <w:rsid w:val="00E0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69D23"/>
  <w15:chartTrackingRefBased/>
  <w15:docId w15:val="{A6A8A391-ED61-46DF-8744-9FA539DA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D58"/>
    <w:pPr>
      <w:spacing w:after="120" w:line="269" w:lineRule="auto"/>
    </w:pPr>
    <w:rPr>
      <w:rFonts w:ascii="Aptos" w:eastAsiaTheme="minorEastAsia" w:hAnsi="Aptos"/>
      <w:color w:val="000000"/>
      <w:sz w:val="21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0D58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AE0D58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E0D58"/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AE0D58"/>
    <w:rPr>
      <w:rFonts w:asciiTheme="majorHAnsi" w:eastAsiaTheme="majorEastAsia" w:hAnsiTheme="majorHAnsi" w:cstheme="majorBidi"/>
      <w:b/>
      <w:bCs/>
      <w:color w:val="000000"/>
      <w:sz w:val="28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6</Pages>
  <Words>1220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BARBOZA VALERO</dc:creator>
  <cp:keywords/>
  <dc:description/>
  <cp:lastModifiedBy>SANTIAGO BARBOZA VALERO</cp:lastModifiedBy>
  <cp:revision>1</cp:revision>
  <dcterms:created xsi:type="dcterms:W3CDTF">2026-10-16T07:00:00Z</dcterms:created>
  <dcterms:modified xsi:type="dcterms:W3CDTF">2026-10-17T06:01:00Z</dcterms:modified>
</cp:coreProperties>
</file>