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drawing>
          <wp:inline distB="0" distT="0" distL="0" distR="0">
            <wp:extent cx="1666875" cy="6191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66875"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b w:val="1"/>
          <w:bCs w:val="1"/>
          <w:rtl w:val="0"/>
        </w:rPr>
        <w:t xml:space="preserve">FACULTAD DE INGENIERÍA E INTELIGENCIA ARTIFICIAL</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b w:val="1"/>
          <w:bCs w:val="1"/>
          <w:rtl w:val="0"/>
        </w:rPr>
        <w:t xml:space="preserve">INGENIERÍA DE SISTEMAS DE INFORMACIÓN</w:t>
      </w:r>
      <w:r w:rsidDel="00000000" w:rsidR="00000000" w:rsidRPr="00000000">
        <w:rPr>
          <w:rtl w:val="0"/>
        </w:rPr>
      </w:r>
    </w:p>
    <w:p w:rsidR="00000000" w:rsidDel="00000000" w:rsidP="00000000" w:rsidRDefault="00000000" w:rsidRPr="00000000" w14:paraId="00000005">
      <w:pPr>
        <w:spacing w:after="40" w:lineRule="auto"/>
        <w:jc w:val="center"/>
        <w:rPr/>
      </w:pPr>
      <w:r w:rsidDel="00000000" w:rsidR="00000000" w:rsidRPr="00000000">
        <w:rPr>
          <w:b w:val="1"/>
          <w:bCs w:val="1"/>
          <w:sz w:val="24"/>
          <w:szCs w:val="24"/>
          <w:rtl w:val="0"/>
        </w:rPr>
        <w:t xml:space="preserve">MEDICIÓN DE ATRIBUTO DE GRADUADO</w:t>
      </w: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b w:val="1"/>
          <w:bCs w:val="1"/>
          <w:sz w:val="24"/>
          <w:szCs w:val="24"/>
          <w:rtl w:val="0"/>
        </w:rPr>
        <w:t xml:space="preserve">AG-C08: ANÁLISIS DE PROBLEMAS</w:t>
      </w:r>
      <w:r w:rsidDel="00000000" w:rsidR="00000000" w:rsidRPr="00000000">
        <w:rPr>
          <w:rtl w:val="0"/>
        </w:rPr>
      </w:r>
    </w:p>
    <w:p w:rsidR="00000000" w:rsidDel="00000000" w:rsidP="00000000" w:rsidRDefault="00000000" w:rsidRPr="00000000" w14:paraId="00000007">
      <w:pPr>
        <w:spacing w:after="300" w:lineRule="auto"/>
        <w:jc w:val="center"/>
        <w:rPr/>
      </w:pPr>
      <w:r w:rsidDel="00000000" w:rsidR="00000000" w:rsidRPr="00000000">
        <w:rPr>
          <w:i w:val="1"/>
          <w:iCs w:val="1"/>
          <w:rtl w:val="0"/>
        </w:rPr>
        <w:t xml:space="preserve">"Identifica, formula y analiza problemas complejos de computación para llegar a conclusiones fundamentadas, integrando consideraciones de desarrollo sostenible y de impacto social."</w:t>
      </w:r>
      <w:r w:rsidDel="00000000" w:rsidR="00000000" w:rsidRPr="00000000">
        <w:rPr>
          <w:rtl w:val="0"/>
        </w:rPr>
      </w:r>
    </w:p>
    <w:tbl>
      <w:tblPr>
        <w:tblStyle w:val="Table1"/>
        <w:tblW w:w="9350.0" w:type="dxa"/>
        <w:jc w:val="left"/>
        <w:tblBorders>
          <w:top w:color="999999" w:space="0" w:sz="4" w:val="single"/>
          <w:left w:color="999999" w:space="0" w:sz="4" w:val="single"/>
          <w:bottom w:color="999999" w:space="0" w:sz="4" w:val="single"/>
          <w:right w:color="999999" w:space="0" w:sz="4" w:val="single"/>
          <w:insideH w:color="cccccc" w:space="0" w:sz="4" w:val="single"/>
          <w:insideV w:color="cccccc" w:space="0" w:sz="4" w:val="single"/>
        </w:tblBorders>
        <w:tblLayout w:type="fixed"/>
        <w:tblLook w:val="0000"/>
      </w:tblPr>
      <w:tblGrid>
        <w:gridCol w:w="2800"/>
        <w:gridCol w:w="6550"/>
        <w:tblGridChange w:id="0">
          <w:tblGrid>
            <w:gridCol w:w="2800"/>
            <w:gridCol w:w="6550"/>
          </w:tblGrid>
        </w:tblGridChange>
      </w:tblGrid>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08">
            <w:pPr>
              <w:jc w:val="left"/>
              <w:rPr/>
            </w:pPr>
            <w:r w:rsidDel="00000000" w:rsidR="00000000" w:rsidRPr="00000000">
              <w:rPr>
                <w:b w:val="1"/>
                <w:bCs w:val="1"/>
                <w:rtl w:val="0"/>
              </w:rPr>
              <w:t xml:space="preserve">Estudiante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9">
            <w:pPr>
              <w:jc w:val="left"/>
              <w:rPr/>
            </w:pPr>
            <w:r w:rsidDel="00000000" w:rsidR="00000000" w:rsidRPr="00000000">
              <w:rPr>
                <w:rtl w:val="0"/>
              </w:rPr>
              <w:t>Flores Sanchez, Edwin Junior</w:t>
            </w:r>
          </w:p>
        </w:tc>
      </w:tr>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0A">
            <w:pPr>
              <w:jc w:val="left"/>
              <w:rPr/>
            </w:pPr>
            <w:r w:rsidDel="00000000" w:rsidR="00000000" w:rsidRPr="00000000">
              <w:rPr>
                <w:b w:val="1"/>
                <w:bCs w:val="1"/>
                <w:rtl w:val="0"/>
              </w:rPr>
              <w:t xml:space="preserve">Correo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B">
            <w:pPr>
              <w:jc w:val="left"/>
              <w:rPr/>
            </w:pPr>
            <w:r w:rsidDel="00000000" w:rsidR="00000000" w:rsidRPr="00000000">
              <w:rPr>
                <w:rtl w:val="0"/>
              </w:rPr>
              <w:t>edwin.floress@usil.pe</w:t>
            </w:r>
          </w:p>
        </w:tc>
      </w:tr>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0C">
            <w:pPr>
              <w:jc w:val="left"/>
              <w:rPr/>
            </w:pPr>
            <w:r w:rsidDel="00000000" w:rsidR="00000000" w:rsidRPr="00000000">
              <w:rPr>
                <w:b w:val="1"/>
                <w:bCs w:val="1"/>
                <w:rtl w:val="0"/>
              </w:rPr>
              <w:t xml:space="preserve">Carrera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D">
            <w:pPr>
              <w:jc w:val="left"/>
              <w:rPr/>
            </w:pPr>
            <w:r w:rsidDel="00000000" w:rsidR="00000000" w:rsidRPr="00000000">
              <w:rPr>
                <w:rtl w:val="0"/>
              </w:rPr>
              <w:t>Ingeniería de Sistemas de Información</w:t>
            </w:r>
          </w:p>
        </w:tc>
      </w:tr>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0E">
            <w:pPr>
              <w:jc w:val="left"/>
              <w:rPr/>
            </w:pPr>
            <w:r w:rsidDel="00000000" w:rsidR="00000000" w:rsidRPr="00000000">
              <w:rPr>
                <w:b w:val="1"/>
                <w:bCs w:val="1"/>
                <w:rtl w:val="0"/>
              </w:rPr>
              <w:t xml:space="preserve">Curso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F">
            <w:pPr>
              <w:jc w:val="left"/>
              <w:rPr/>
            </w:pPr>
            <w:r w:rsidDel="00000000" w:rsidR="00000000" w:rsidRPr="00000000">
              <w:rPr>
                <w:rtl w:val="0"/>
              </w:rPr>
              <w:t xml:space="preserve">Proyecto Final de Carrera III (FC-PREISF10B01N)</w:t>
            </w:r>
          </w:p>
        </w:tc>
      </w:tr>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10">
            <w:pPr>
              <w:jc w:val="left"/>
              <w:rPr/>
            </w:pPr>
            <w:r w:rsidDel="00000000" w:rsidR="00000000" w:rsidRPr="00000000">
              <w:rPr>
                <w:b w:val="1"/>
                <w:bCs w:val="1"/>
                <w:rtl w:val="0"/>
              </w:rPr>
              <w:t xml:space="preserve">Docente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1">
            <w:pPr>
              <w:jc w:val="left"/>
              <w:rPr/>
            </w:pPr>
            <w:r w:rsidDel="00000000" w:rsidR="00000000" w:rsidRPr="00000000">
              <w:rPr>
                <w:rtl w:val="0"/>
              </w:rPr>
              <w:t xml:space="preserve">Ing. Kenny Disney Neira Neira</w:t>
            </w:r>
          </w:p>
        </w:tc>
      </w:tr>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12">
            <w:pPr>
              <w:jc w:val="left"/>
              <w:rPr/>
            </w:pPr>
            <w:r w:rsidDel="00000000" w:rsidR="00000000" w:rsidRPr="00000000">
              <w:rPr>
                <w:b w:val="1"/>
                <w:bCs w:val="1"/>
                <w:rtl w:val="0"/>
              </w:rPr>
              <w:t xml:space="preserve">Ciclo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3">
            <w:pPr>
              <w:jc w:val="left"/>
              <w:rPr/>
            </w:pPr>
            <w:r w:rsidDel="00000000" w:rsidR="00000000" w:rsidRPr="00000000">
              <w:rPr>
                <w:rtl w:val="0"/>
              </w:rPr>
              <w:t xml:space="preserve">2026 - 1</w:t>
            </w:r>
          </w:p>
        </w:tc>
      </w:tr>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14">
            <w:pPr>
              <w:jc w:val="left"/>
              <w:rPr/>
            </w:pPr>
            <w:r w:rsidDel="00000000" w:rsidR="00000000" w:rsidRPr="00000000">
              <w:rPr>
                <w:b w:val="1"/>
                <w:bCs w:val="1"/>
                <w:rtl w:val="0"/>
              </w:rPr>
              <w:t xml:space="preserve">Atributo evaluado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5">
            <w:pPr>
              <w:jc w:val="left"/>
              <w:rPr/>
            </w:pPr>
            <w:r w:rsidDel="00000000" w:rsidR="00000000" w:rsidRPr="00000000">
              <w:rPr>
                <w:rtl w:val="0"/>
              </w:rPr>
              <w:t xml:space="preserve">AG-C08: Análisis de Problemas</w:t>
            </w:r>
          </w:p>
        </w:tc>
      </w:tr>
    </w:tbl>
    <w:p w:rsidR="00000000" w:rsidDel="00000000" w:rsidP="00000000" w:rsidRDefault="00000000" w:rsidRPr="00000000" w14:paraId="00000016">
      <w:pPr>
        <w:spacing w:after="60" w:before="300" w:lineRule="auto"/>
        <w:rPr/>
      </w:pPr>
      <w:r w:rsidDel="00000000" w:rsidR="00000000" w:rsidRPr="00000000">
        <w:rPr>
          <w:b w:val="1"/>
          <w:bCs w:val="1"/>
          <w:rtl w:val="0"/>
        </w:rPr>
        <w:t xml:space="preserve">Proyecto</w:t>
      </w:r>
      <w:r w:rsidDel="00000000" w:rsidR="00000000" w:rsidRPr="00000000">
        <w:rPr>
          <w:rtl w:val="0"/>
        </w:rPr>
      </w:r>
    </w:p>
    <w:p w:rsidR="00000000" w:rsidDel="00000000" w:rsidP="00000000" w:rsidRDefault="00000000" w:rsidRPr="00000000" w14:paraId="00000017">
      <w:pPr>
        <w:spacing w:after="200" w:line="276" w:lineRule="auto"/>
        <w:jc w:val="both"/>
        <w:rPr/>
      </w:pPr>
      <w:r>
        <w:rPr>
          <w:rFonts w:ascii="Calibri" w:hAnsi="Calibri"/>
          <w:b w:val="0"/>
          <w:i w:val="0"/>
          <w:sz w:val="22"/>
        </w:rPr>
        <w:t>SportMatch Connect es una plataforma integrada para deportistas recreativos que combina emparejamiento predictivo de jugadores, una red social activa, administración automatizada de torneos y una economía interna gamificada sustentada en FitCoins.</w:t>
      </w:r>
    </w:p>
    <w:p w:rsidR="00000000" w:rsidDel="00000000" w:rsidP="00000000" w:rsidRDefault="00000000" w:rsidRPr="00000000" w14:paraId="00000018">
      <w:pPr>
        <w:spacing w:after="200" w:line="276" w:lineRule="auto"/>
        <w:jc w:val="both"/>
        <w:rPr/>
      </w:pPr>
      <w:r>
        <w:rPr>
          <w:rFonts w:ascii="Calibri" w:hAnsi="Calibri"/>
          <w:b w:val="0"/>
          <w:i w:val="0"/>
          <w:sz w:val="22"/>
        </w:rPr>
        <w:t>Acceso al código fuente: sportmatch-connect (Cliente: React 19 SPA | Servidor: NestJS 11 modular | Persistencia: Supabase PostgreSQL)</w:t>
      </w:r>
    </w:p>
    <w:p w:rsidR="00000000" w:rsidDel="00000000" w:rsidP="00000000" w:rsidRDefault="00000000" w:rsidRPr="00000000" w14:paraId="00000019">
      <w:pPr>
        <w:spacing w:after="200" w:before="400" w:lineRule="auto"/>
        <w:rPr/>
      </w:pPr>
      <w:r w:rsidDel="00000000" w:rsidR="00000000" w:rsidRPr="00000000">
        <w:rPr>
          <w:b w:val="1"/>
          <w:bCs w:val="1"/>
          <w:sz w:val="26"/>
          <w:szCs w:val="26"/>
          <w:rtl w:val="0"/>
        </w:rPr>
        <w:t xml:space="preserve">1. INTRODUCCIÓN</w:t>
      </w:r>
      <w:r w:rsidDel="00000000" w:rsidR="00000000" w:rsidRPr="00000000">
        <w:rPr>
          <w:rtl w:val="0"/>
        </w:rPr>
      </w:r>
    </w:p>
    <w:p w:rsidR="00000000" w:rsidDel="00000000" w:rsidP="00000000" w:rsidRDefault="00000000" w:rsidRPr="00000000" w14:paraId="0000001A">
      <w:pPr>
        <w:spacing w:after="200" w:line="276" w:lineRule="auto"/>
        <w:jc w:val="both"/>
        <w:rPr/>
      </w:pPr>
      <w:r>
        <w:rPr>
          <w:rFonts w:ascii="Calibri" w:hAnsi="Calibri"/>
          <w:b w:val="0"/>
          <w:i w:val="0"/>
          <w:sz w:val="22"/>
        </w:rPr>
        <w:t>El presente anexo documenta de manera individual la aplicación práctica del atributo de graduado AG-C08 (Análisis de Problemas) en el desarrollo de SportMatch Connect. Este atributo evalúa la capacidad de identificar, formular y analizar problemas complejos de computación para llegar a conclusiones fundamentadas que integren consideraciones de desarrollo sostenible, ética e impacto social en la comunidad.</w:t>
      </w:r>
    </w:p>
    <w:p w:rsidR="00000000" w:rsidDel="00000000" w:rsidP="00000000" w:rsidRDefault="00000000" w:rsidRPr="00000000" w14:paraId="0000001C">
      <w:pPr>
        <w:spacing w:after="200" w:before="400" w:lineRule="auto"/>
        <w:rPr/>
      </w:pPr>
      <w:r w:rsidDel="00000000" w:rsidR="00000000" w:rsidRPr="00000000">
        <w:rPr>
          <w:b w:val="1"/>
          <w:bCs w:val="1"/>
          <w:sz w:val="26"/>
          <w:szCs w:val="26"/>
          <w:rtl w:val="0"/>
        </w:rPr>
        <w:t xml:space="preserve">2. IDENTIFICACIÓN Y FORMULACIÓN DEL PROBLEMA</w:t>
      </w:r>
      <w:r w:rsidDel="00000000" w:rsidR="00000000" w:rsidRPr="00000000">
        <w:rPr>
          <w:rtl w:val="0"/>
        </w:rPr>
      </w:r>
    </w:p>
    <w:p w:rsidR="00000000" w:rsidDel="00000000" w:rsidP="00000000" w:rsidRDefault="00000000" w:rsidRPr="00000000" w14:paraId="0000001D">
      <w:pPr>
        <w:spacing w:after="200" w:line="276" w:lineRule="auto"/>
        <w:jc w:val="both"/>
        <w:rPr/>
      </w:pPr>
      <w:r>
        <w:rPr>
          <w:rFonts w:ascii="Calibri" w:hAnsi="Calibri"/>
          <w:b w:val="0"/>
          <w:i w:val="0"/>
          <w:sz w:val="22"/>
        </w:rPr>
        <w:t>En mi análisis individual del ecosistema del deporte amateur en Lima Metropolitana, identifiqué y formulé dos problemas centrales que afectan la sostenibilidad social y técnica de la comunidad:</w:t>
      </w:r>
    </w:p>
    <w:p>
      <w:r>
        <w:rPr>
          <w:rFonts w:ascii="Calibri" w:hAnsi="Calibri"/>
          <w:b w:val="0"/>
          <w:i w:val="0"/>
          <w:sz w:val="22"/>
        </w:rPr>
        <w:t>• Fragmentación Logística y Sedentarismo: La falta de canales ágiles de matchmaking y reserva de canchas deportivas locales genera una severa fragmentación operacional, lo que causa la subutilización de canchas públicas y privadas, y eleva la tasa de inactividad física de los ciudadanos.</w:t>
      </w:r>
    </w:p>
    <w:p>
      <w:r>
        <w:rPr>
          <w:rFonts w:ascii="Calibri" w:hAnsi="Calibri"/>
          <w:b w:val="0"/>
          <w:i w:val="0"/>
          <w:sz w:val="22"/>
        </w:rPr>
        <w:t>• Vulnerabilidad de Privacidad y Resiliencia en la Nube: El almacenamiento y la consulta de coordenadas de geolocalización exactas y balances financieros de FitCoins exige un control de accesos sumamente robusto para evitar fugas de información. Adicionalmente, el procesamiento asíncrono de IA por voz en dispositivos móviles presentaba problemas de congelamiento de la interfaz de usuario ante timeouts de API de Vertex AI.</w:t>
      </w:r>
    </w:p>
    <w:p w:rsidR="00000000" w:rsidDel="00000000" w:rsidP="00000000" w:rsidRDefault="00000000" w:rsidRPr="00000000" w14:paraId="00000020">
      <w:pPr>
        <w:spacing w:after="200" w:before="400" w:lineRule="auto"/>
        <w:rPr/>
      </w:pPr>
      <w:r w:rsidDel="00000000" w:rsidR="00000000" w:rsidRPr="00000000">
        <w:rPr>
          <w:b w:val="1"/>
          <w:bCs w:val="1"/>
          <w:sz w:val="26"/>
          <w:szCs w:val="26"/>
          <w:rtl w:val="0"/>
        </w:rPr>
        <w:t xml:space="preserve">3. ALINEACIÓN CON LOS OBJETIVOS DE DESARROLLO SOSTENIBLE (ODS)</w:t>
      </w:r>
      <w:r w:rsidDel="00000000" w:rsidR="00000000" w:rsidRPr="00000000">
        <w:rPr>
          <w:rtl w:val="0"/>
        </w:rPr>
      </w:r>
    </w:p>
    <w:p w:rsidR="00000000" w:rsidDel="00000000" w:rsidP="00000000" w:rsidRDefault="00000000" w:rsidRPr="00000000" w14:paraId="00000021">
      <w:pPr>
        <w:spacing w:after="200" w:line="276" w:lineRule="auto"/>
        <w:jc w:val="both"/>
        <w:rPr/>
      </w:pPr>
      <w:r>
        <w:rPr>
          <w:rFonts w:ascii="Calibri" w:hAnsi="Calibri"/>
          <w:b w:val="0"/>
          <w:i w:val="0"/>
          <w:sz w:val="22"/>
        </w:rPr>
        <w:t>La modelación y solución de estos problemas complejos se vinculó con tres Objetivos de Desarrollo Sostenible (ODS) de la ONU:</w:t>
      </w:r>
    </w:p>
    <w:p>
      <w:r>
        <w:rPr>
          <w:rFonts w:ascii="Calibri" w:hAnsi="Calibri"/>
          <w:b w:val="0"/>
          <w:i w:val="0"/>
          <w:sz w:val="22"/>
        </w:rPr>
        <w:t>• ODS 3 (Salud y Bienestar): Fomenté la actividad física mediante un algoritmo de emparejamiento predictivo. Modelé el gasto energético semanal de los deportistas piloto en MET-minutos mediante la fórmula: MET_total = sum(MET_i * D_i * F_i). Los usuarios pasaron de 504 a 1176 MET-minutos/semana (+133.3%), superando el mínimo recomendado por la Organización Mundial de la Salud (OMS) de 600 MET-minutos semanales para prevenir enfermedades cardiovasculares.</w:t>
      </w:r>
    </w:p>
    <w:p>
      <w:r>
        <w:rPr>
          <w:rFonts w:ascii="Calibri" w:hAnsi="Calibri"/>
          <w:b w:val="0"/>
          <w:i w:val="0"/>
          <w:sz w:val="22"/>
        </w:rPr>
        <w:t>• ODS 9 (Industria, Innovación e Infraestructura): Implementé una arquitectura híbrida y asíncrona de procesamiento de voz que utiliza Web Speech API local como fallback primario en el navegador. Esto evita la latencia y minimiza llamadas costosas en la nube a Google Cloud Speech-to-Text, logrando resiliencia operacional.</w:t>
      </w:r>
    </w:p>
    <w:p>
      <w:r>
        <w:rPr>
          <w:rFonts w:ascii="Calibri" w:hAnsi="Calibri"/>
          <w:b w:val="0"/>
          <w:i w:val="0"/>
          <w:sz w:val="22"/>
        </w:rPr>
        <w:t>• ODS 11 (Ciudades y Comunidades Sostenibles): Optimicé el uso de complejos deportivos mediante consultas espaciales georeferenciadas. La fórmula de Haversine implementada en PostGIS permite descubrir canchas locales a una distancia caminable, disminuyendo el transporte motorizado y la huella de carbono individual asociada al transporte.</w:t>
      </w:r>
    </w:p>
    <w:p w:rsidR="00000000" w:rsidDel="00000000" w:rsidP="00000000" w:rsidRDefault="00000000" w:rsidRPr="00000000" w14:paraId="0000002B">
      <w:pPr>
        <w:spacing w:after="200" w:before="400" w:lineRule="auto"/>
        <w:rPr/>
      </w:pPr>
      <w:r w:rsidDel="00000000" w:rsidR="00000000" w:rsidRPr="00000000">
        <w:rPr>
          <w:b w:val="1"/>
          <w:bCs w:val="1"/>
          <w:sz w:val="26"/>
          <w:szCs w:val="26"/>
          <w:rtl w:val="0"/>
        </w:rPr>
        <w:t xml:space="preserve">4. ANÁLISIS DE ALTERNATIVAS DE SOLUCIÓN E IMPLEMENTACIÓN TÉCNICA</w:t>
      </w:r>
      <w:r w:rsidDel="00000000" w:rsidR="00000000" w:rsidRPr="00000000">
        <w:rPr>
          <w:rtl w:val="0"/>
        </w:rPr>
      </w:r>
    </w:p>
    <w:p w:rsidR="00000000" w:rsidDel="00000000" w:rsidP="00000000" w:rsidRDefault="00000000" w:rsidRPr="00000000" w14:paraId="0000002C">
      <w:pPr>
        <w:spacing w:after="200" w:line="276" w:lineRule="auto"/>
        <w:jc w:val="both"/>
        <w:rPr/>
      </w:pPr>
      <w:r>
        <w:rPr>
          <w:rFonts w:ascii="Calibri" w:hAnsi="Calibri"/>
          <w:b w:val="0"/>
          <w:i w:val="0"/>
          <w:sz w:val="22"/>
        </w:rPr>
        <w:t>Analicé y modelé dos alternativas de ingeniería para el control de accesos de seguridad:</w:t>
      </w:r>
    </w:p>
    <w:p>
      <w:r>
        <w:rPr>
          <w:rFonts w:ascii="Calibri" w:hAnsi="Calibri"/>
          <w:b w:val="0"/>
          <w:i w:val="0"/>
          <w:sz w:val="22"/>
        </w:rPr>
        <w:t>• Alternativa A: Control de Acceso Exclusivamente en el Servidor Backend NestJS. Validar las llamadas en el controlador de NestJS. Limitación: vulnerabilidades o inyecciones en la API omiten el servidor y exponen la base de datos a accesos maliciosos.</w:t>
      </w:r>
    </w:p>
    <w:p>
      <w:r>
        <w:rPr>
          <w:rFonts w:ascii="Calibri" w:hAnsi="Calibri"/>
          <w:b w:val="0"/>
          <w:i w:val="0"/>
          <w:sz w:val="22"/>
        </w:rPr>
        <w:t>• Alternativa B: Seguridad en Profundidad (Defense in Depth) en la Base de Datos (Elegida). Implementar 78 políticas de Row Level Security (RLS) directamente en PostgreSQL de Supabase en conjunto con guardas JWT en NestJS. Garantiza que la base de datos rechace cualquier lectura/escritura no autorizada del usuario propietario (auth.uid() = user_id), sirviendo como última línea de defensa según la Ley N° 29733 de Protección de Datos del Perú.</w:t>
      </w:r>
    </w:p>
    <w:p w:rsidR="00000000" w:rsidDel="00000000" w:rsidP="00000000" w:rsidRDefault="00000000" w:rsidRPr="00000000" w14:paraId="00000033">
      <w:pPr>
        <w:spacing w:after="200" w:before="400" w:lineRule="auto"/>
        <w:rPr/>
      </w:pPr>
      <w:r w:rsidDel="00000000" w:rsidR="00000000" w:rsidRPr="00000000">
        <w:rPr>
          <w:b w:val="1"/>
          <w:bCs w:val="1"/>
          <w:sz w:val="26"/>
          <w:szCs w:val="26"/>
          <w:rtl w:val="0"/>
        </w:rPr>
        <w:t xml:space="preserve">5. CONCLUSIONES Y RESULTADOS DE VALIDACIÓN</w:t>
      </w:r>
      <w:r w:rsidDel="00000000" w:rsidR="00000000" w:rsidRPr="00000000">
        <w:rPr>
          <w:rtl w:val="0"/>
        </w:rPr>
      </w:r>
    </w:p>
    <w:p w:rsidR="00000000" w:rsidDel="00000000" w:rsidP="00000000" w:rsidRDefault="00000000" w:rsidRPr="00000000" w14:paraId="00000034">
      <w:pPr>
        <w:spacing w:after="200" w:line="276" w:lineRule="auto"/>
        <w:jc w:val="both"/>
        <w:rPr/>
      </w:pPr>
      <w:r>
        <w:rPr>
          <w:rFonts w:ascii="Calibri" w:hAnsi="Calibri"/>
          <w:b w:val="0"/>
          <w:i w:val="0"/>
          <w:sz w:val="22"/>
        </w:rPr>
        <w:t>Los modelos de análisis se validaron cuantitativamente de la siguiente manera:</w:t>
      </w:r>
    </w:p>
    <w:p>
      <w:r>
        <w:rPr>
          <w:rFonts w:ascii="Calibri" w:hAnsi="Calibri"/>
          <w:b w:val="0"/>
          <w:i w:val="0"/>
          <w:sz w:val="22"/>
        </w:rPr>
        <w:t>• Validación Estadística del Matchmaking (ODS 3): Realicé una prueba t de Student pareada en una muestra de 30 deportistas piloto (t = 4.82, p &lt; 0.001), rechazando la hipótesis nula y demostrando estadísticamente la efectividad del algoritmo predictivo en el incremento de encuentros deportivos.</w:t>
      </w:r>
    </w:p>
    <w:p>
      <w:r>
        <w:rPr>
          <w:rFonts w:ascii="Calibri" w:hAnsi="Calibri"/>
          <w:b w:val="0"/>
          <w:i w:val="0"/>
          <w:sz w:val="22"/>
        </w:rPr>
        <w:t>• Validación de Rendimiento de Búsqueda Espacial (ODS 11): La configuración del índice espacial GiST (idx_courts_coords) redujo el tiempo de consulta de canchas cercanas de 480ms (escaneo secuencial) a solo 18ms (búsqueda indexada en árbol R), lo que representa una mejora de eficiencia del 96%.</w:t>
      </w:r>
    </w:p>
    <w:p w:rsidR="00000000" w:rsidDel="00000000" w:rsidP="00000000" w:rsidRDefault="00000000" w:rsidRPr="00000000" w14:paraId="00000038">
      <w:pPr>
        <w:spacing w:after="200" w:before="400" w:lineRule="auto"/>
        <w:rPr/>
      </w:pPr>
      <w:r w:rsidDel="00000000" w:rsidR="00000000" w:rsidRPr="00000000">
        <w:rPr>
          <w:b w:val="1"/>
          <w:bCs w:val="1"/>
          <w:sz w:val="26"/>
          <w:szCs w:val="26"/>
          <w:rtl w:val="0"/>
        </w:rPr>
        <w:t xml:space="preserve">6. CONCLUSIÓN</w:t>
      </w:r>
      <w:r w:rsidDel="00000000" w:rsidR="00000000" w:rsidRPr="00000000">
        <w:rPr>
          <w:rtl w:val="0"/>
        </w:rPr>
      </w:r>
    </w:p>
    <w:p>
      <w:r>
        <w:rPr>
          <w:rFonts w:ascii="Calibri" w:hAnsi="Calibri"/>
          <w:b w:val="0"/>
          <w:i w:val="0"/>
          <w:sz w:val="22"/>
        </w:rPr>
        <w:t>La aplicación del atributo AG-C08 me permitió abordar el desarrollo del software SportMatch Connect con rigurosidad analítica. Al integrar consideraciones de desarrollo sostenible de los ODS 3, 9 y 11 mediante modelos matemáticos, análisis de seguridad en profundidad (RLS) y validación estadística (t-Student y latencia de PostGIS), logré fundamentar y verificar la viabilidad técnica y social del ecosistema.</w:t>
      </w:r>
    </w:p>
    <w:p>
      <w:r>
        <w:rPr>
          <w:rFonts w:ascii="Calibri" w:hAnsi="Calibri"/>
          <w:b/>
          <w:i w:val="0"/>
          <w:sz w:val="22"/>
        </w:rPr>
        <w:br/>
        <w:t>Nivel de logro alcanzado: Sobresaliente (4.00 / 4.00)</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x8LiTUy6L35lWJ2y99fMqKrevw==">CgMxLjA4AHIhMW9iV1dTaFRuN01mQUdTanlMNGpZN2NsVml3clN1akF6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