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drawing>
          <wp:inline distB="0" distT="0" distL="0" distR="0">
            <wp:extent cx="1666875" cy="619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68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rtl w:val="0"/>
        </w:rPr>
        <w:t xml:space="preserve">FACULTAD DE INGENIERÍA E INTELIGENCIA ARTIFICIAL</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rtl w:val="0"/>
        </w:rPr>
        <w:t xml:space="preserve">INGENIERÍA DE SISTEMAS DE INFORMACIÓN</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4"/>
          <w:szCs w:val="24"/>
          <w:rtl w:val="0"/>
        </w:rPr>
        <w:t xml:space="preserve">MEDICIÓN DE ATRIBUTO DE GRADUADO</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sz w:val="24"/>
          <w:szCs w:val="24"/>
          <w:rtl w:val="0"/>
        </w:rPr>
        <w:t xml:space="preserve">AG-C11: USO DE HERRAMIENTAS MODERNAS</w:t>
      </w:r>
      <w:r w:rsidDel="00000000" w:rsidR="00000000" w:rsidRPr="00000000">
        <w:rPr>
          <w:rtl w:val="0"/>
        </w:rPr>
      </w:r>
    </w:p>
    <w:p w:rsidR="00000000" w:rsidDel="00000000" w:rsidP="00000000" w:rsidRDefault="00000000" w:rsidRPr="00000000" w14:paraId="00000007">
      <w:pPr>
        <w:spacing w:after="300" w:lineRule="auto"/>
        <w:jc w:val="center"/>
        <w:rPr/>
      </w:pPr>
      <w:r w:rsidDel="00000000" w:rsidR="00000000" w:rsidRPr="00000000">
        <w:rPr>
          <w:i w:val="1"/>
          <w:iCs w:val="1"/>
          <w:rtl w:val="0"/>
        </w:rPr>
        <w:t xml:space="preserve">"Selecciona, adapta, aplica y evalúa herramientas de software y recursos de computación modernos, comprendiendo tanto sus capacidades funcionales como sus limitaciones operacionales en la resolución de problemas informáticos complejos."</w:t>
      </w:r>
      <w:r w:rsidDel="00000000" w:rsidR="00000000" w:rsidRPr="00000000">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b w:val="1"/>
                <w:bCs w:val="1"/>
                <w:rtl w:val="0"/>
              </w:rPr>
              <w:t xml:space="preserve">Estudiante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tl w:val="0"/>
              </w:rPr>
              <w:t>Flores Sanchez, Edwin Junior</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b w:val="1"/>
                <w:bCs w:val="1"/>
                <w:rtl w:val="0"/>
              </w:rPr>
              <w:t xml:space="preserve">Correo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rtl w:val="0"/>
              </w:rPr>
              <w:t>edwin.floress@usil.pe</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1"/>
                <w:bCs w:val="1"/>
                <w:rtl w:val="0"/>
              </w:rPr>
              <w:t xml:space="preserve">Carrera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rtl w:val="0"/>
              </w:rPr>
              <w:t>Ingeniería de Sistemas de Información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1"/>
                <w:bCs w:val="1"/>
                <w:rtl w:val="0"/>
              </w:rPr>
              <w:t xml:space="preserve">Curso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tl w:val="0"/>
              </w:rPr>
              <w:t xml:space="preserve">Proyecto Final de Carrera III (FC-PREISF10B01N)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1"/>
                <w:bCs w:val="1"/>
                <w:rtl w:val="0"/>
              </w:rPr>
              <w:t xml:space="preserve">Docente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tl w:val="0"/>
              </w:rPr>
              <w:t xml:space="preserve">Ing. Kenny Disney Neira Neira</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b w:val="1"/>
                <w:bCs w:val="1"/>
                <w:rtl w:val="0"/>
              </w:rPr>
              <w:t xml:space="preserve">Ciclo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tl w:val="0"/>
              </w:rPr>
              <w:t xml:space="preserve">2026 - 1</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b w:val="1"/>
                <w:bCs w:val="1"/>
                <w:rtl w:val="0"/>
              </w:rPr>
              <w:t xml:space="preserve">Atributo evaluado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rtl w:val="0"/>
              </w:rPr>
              <w:t xml:space="preserve">AG-C11: Uso de Herramientas</w:t>
            </w:r>
          </w:p>
        </w:tc>
      </w:tr>
    </w:tbl>
    <w:p w:rsidR="00000000" w:rsidDel="00000000" w:rsidP="00000000" w:rsidRDefault="00000000" w:rsidRPr="00000000" w14:paraId="00000016">
      <w:pPr>
        <w:spacing w:after="60" w:before="300" w:lineRule="auto"/>
        <w:rPr/>
      </w:pPr>
      <w:r w:rsidDel="00000000" w:rsidR="00000000" w:rsidRPr="00000000">
        <w:rPr>
          <w:b w:val="1"/>
          <w:bCs w:val="1"/>
          <w:rtl w:val="0"/>
        </w:rPr>
        <w:t xml:space="preserve">Proyecto</w:t>
      </w:r>
      <w:r w:rsidDel="00000000" w:rsidR="00000000" w:rsidRPr="00000000">
        <w:rPr>
          <w:rtl w:val="0"/>
        </w:rPr>
      </w:r>
    </w:p>
    <w:p w:rsidR="00000000" w:rsidDel="00000000" w:rsidP="00000000" w:rsidRDefault="00000000" w:rsidRPr="00000000" w14:paraId="00000017">
      <w:pPr>
        <w:spacing w:after="200" w:line="276" w:lineRule="auto"/>
        <w:jc w:val="both"/>
        <w:rPr/>
      </w:pPr>
      <w:r>
        <w:rPr>
          <w:rFonts w:ascii="Calibri" w:hAnsi="Calibri"/>
          <w:b w:val="0"/>
          <w:i w:val="0"/>
          <w:sz w:val="22"/>
        </w:rPr>
        <w:t>SportMatch Connect es una plataforma integrada para deportistas recreativos que combina emparejamiento predictivo de jugadores, una red social activa, administración automatizada de torneos y una economía interna gamificada sustentada en FitCoins.</w:t>
      </w:r>
    </w:p>
    <w:p w:rsidR="00000000" w:rsidDel="00000000" w:rsidP="00000000" w:rsidRDefault="00000000" w:rsidRPr="00000000" w14:paraId="00000018">
      <w:pPr>
        <w:spacing w:after="200" w:line="276" w:lineRule="auto"/>
        <w:jc w:val="both"/>
        <w:rPr/>
      </w:pPr>
      <w:r>
        <w:rPr>
          <w:rFonts w:ascii="Calibri" w:hAnsi="Calibri"/>
          <w:b w:val="0"/>
          <w:i w:val="0"/>
          <w:sz w:val="22"/>
        </w:rPr>
        <w:t>Acceso al código fuente: sportmatch-connect (Cliente: React 19 SPA | Servidor: NestJS 11 modular | Persistencia: Supabase PostgreSQL)</w:t>
      </w:r>
    </w:p>
    <w:p w:rsidR="00000000" w:rsidDel="00000000" w:rsidP="00000000" w:rsidRDefault="00000000" w:rsidRPr="00000000" w14:paraId="00000019">
      <w:pPr>
        <w:spacing w:after="200" w:before="400" w:lineRule="auto"/>
        <w:rPr/>
      </w:pPr>
      <w:r w:rsidDel="00000000" w:rsidR="00000000" w:rsidRPr="00000000">
        <w:rPr>
          <w:b w:val="1"/>
          <w:bCs w:val="1"/>
          <w:sz w:val="26"/>
          <w:szCs w:val="26"/>
          <w:rtl w:val="0"/>
        </w:rPr>
        <w:t xml:space="preserve">1. INTRODUCCIÓN</w:t>
      </w:r>
      <w:r w:rsidDel="00000000" w:rsidR="00000000" w:rsidRPr="00000000">
        <w:rPr>
          <w:rtl w:val="0"/>
        </w:rPr>
      </w:r>
    </w:p>
    <w:p w:rsidR="00000000" w:rsidDel="00000000" w:rsidP="00000000" w:rsidRDefault="00000000" w:rsidRPr="00000000" w14:paraId="0000001A">
      <w:pPr>
        <w:spacing w:after="200" w:line="276" w:lineRule="auto"/>
        <w:jc w:val="both"/>
        <w:rPr/>
      </w:pPr>
      <w:r>
        <w:rPr>
          <w:rFonts w:ascii="Calibri" w:hAnsi="Calibri"/>
          <w:b w:val="0"/>
          <w:i w:val="0"/>
          <w:sz w:val="22"/>
        </w:rPr>
        <w:t>El presente informe documenta de manera individual la aplicación del atributo de graduado AG-C11 (Uso de Herramientas Modernas) en SportMatch Connect. Este atributo evalúa la selección, justificación técnica y adaptación de recursos, técnicas y herramientas informáticas modernas, comprendiendo sus alcances operativos y limitaciones.</w:t>
      </w:r>
    </w:p>
    <w:p w:rsidR="00000000" w:rsidDel="00000000" w:rsidP="00000000" w:rsidRDefault="00000000" w:rsidRPr="00000000" w14:paraId="0000001C">
      <w:pPr>
        <w:spacing w:after="200" w:before="400" w:lineRule="auto"/>
        <w:rPr/>
      </w:pPr>
      <w:r w:rsidDel="00000000" w:rsidR="00000000" w:rsidRPr="00000000">
        <w:rPr>
          <w:b w:val="1"/>
          <w:bCs w:val="1"/>
          <w:sz w:val="26"/>
          <w:szCs w:val="26"/>
          <w:rtl w:val="0"/>
        </w:rPr>
        <w:t xml:space="preserve">2. EVALUACIÓN Y JUSTIFICACIÓN TÉCNICA DEL STACK DE HERRAMIENTAS</w:t>
      </w:r>
      <w:r w:rsidDel="00000000" w:rsidR="00000000" w:rsidRPr="00000000">
        <w:rPr>
          <w:rtl w:val="0"/>
        </w:rPr>
      </w:r>
    </w:p>
    <w:p w:rsidR="00000000" w:rsidDel="00000000" w:rsidP="00000000" w:rsidRDefault="00000000" w:rsidRPr="00000000" w14:paraId="0000001D">
      <w:pPr>
        <w:spacing w:after="200" w:line="276" w:lineRule="auto"/>
        <w:jc w:val="both"/>
        <w:rPr/>
      </w:pPr>
      <w:r>
        <w:rPr>
          <w:rFonts w:ascii="Calibri" w:hAnsi="Calibri"/>
          <w:b w:val="0"/>
          <w:i w:val="0"/>
          <w:sz w:val="22"/>
        </w:rPr>
        <w:t>Para garantizar un desarrollo escalable, un despliegue seguro y un análisis de calidad continuo, evalué y seleccioné un stack tecnológico de herramientas modernas que describo a continuación:</w:t>
      </w:r>
    </w:p>
    <w:p w:rsidR="00000000" w:rsidDel="00000000" w:rsidP="00000000" w:rsidRDefault="00000000" w:rsidRPr="00000000" w14:paraId="0000001E">
      <w:pPr>
        <w:spacing w:after="150" w:before="250" w:lineRule="auto"/>
        <w:rPr/>
      </w:pPr>
      <w:r>
        <w:rPr>
          <w:rFonts w:ascii="Calibri" w:hAnsi="Calibri"/>
          <w:b/>
          <w:i w:val="0"/>
          <w:sz w:val="22"/>
        </w:rPr>
        <w:t>2.1. PostgreSQL + PostGIS Extension (Supabase Database)</w:t>
      </w:r>
    </w:p>
    <w:p w:rsidR="00000000" w:rsidDel="00000000" w:rsidP="00000000" w:rsidRDefault="00000000" w:rsidRPr="00000000" w14:paraId="0000001F">
      <w:pPr>
        <w:spacing w:after="200" w:line="276" w:lineRule="auto"/>
        <w:jc w:val="both"/>
        <w:rPr/>
      </w:pPr>
      <w:r>
        <w:rPr>
          <w:rFonts w:ascii="Calibri" w:hAnsi="Calibri"/>
          <w:b w:val="0"/>
          <w:i w:val="0"/>
          <w:sz w:val="22"/>
        </w:rPr>
        <w:t>Seleccioné el motor relacional PostgreSQL alojado en Supabase junto con la extensión PostGIS para habilitar el modelamiento de geocercas y la búsqueda de canchas deportivas cercanas. Configuré un índice espacial GiST (idx_courts_coords) sobre la columna de tipo geografía, optimizando las consultas espaciales en producción.</w:t>
      </w:r>
    </w:p>
    <w:p w:rsidR="00000000" w:rsidDel="00000000" w:rsidP="00000000" w:rsidRDefault="00000000" w:rsidRPr="00000000" w14:paraId="00000020">
      <w:pPr>
        <w:spacing w:after="150" w:before="250" w:lineRule="auto"/>
        <w:rPr/>
      </w:pPr>
      <w:r>
        <w:rPr>
          <w:rFonts w:ascii="Calibri" w:hAnsi="Calibri"/>
          <w:b/>
          <w:i w:val="0"/>
          <w:sz w:val="22"/>
        </w:rPr>
        <w:t>2.2. NestJS 11 Modular Architecture &amp; Global AI Core Providers</w:t>
      </w:r>
    </w:p>
    <w:p w:rsidR="00000000" w:rsidDel="00000000" w:rsidP="00000000" w:rsidRDefault="00000000" w:rsidRPr="00000000" w14:paraId="00000021">
      <w:pPr>
        <w:spacing w:after="200" w:line="276" w:lineRule="auto"/>
        <w:jc w:val="both"/>
        <w:rPr/>
      </w:pPr>
      <w:r>
        <w:rPr>
          <w:rFonts w:ascii="Calibri" w:hAnsi="Calibri"/>
          <w:b w:val="0"/>
          <w:i w:val="0"/>
          <w:sz w:val="22"/>
        </w:rPr>
        <w:t>Diseñé la arquitectura del backend utilizando el framework NestJS 11. Para resolver los cuellos de botella en la inyección de dependencias de la inteligencia artificial de Google Vertex AI en producción, estructuré un módulo global de NestJS llamado AiCoreModule que comparte la instancia del Vertex AI Service en todo el ciclo del servidor de manera eficiente.</w:t>
      </w:r>
    </w:p>
    <w:p w:rsidR="00000000" w:rsidDel="00000000" w:rsidP="00000000" w:rsidRDefault="00000000" w:rsidRPr="00000000" w14:paraId="00000022">
      <w:pPr>
        <w:spacing w:after="150" w:before="250" w:lineRule="auto"/>
        <w:rPr/>
      </w:pPr>
      <w:r>
        <w:rPr>
          <w:rFonts w:ascii="Calibri" w:hAnsi="Calibri"/>
          <w:b/>
          <w:i w:val="0"/>
          <w:sz w:val="22"/>
        </w:rPr>
        <w:t>2.3. GitHub Actions &amp; Render Webhooks CI/CD Pipelines</w:t>
      </w:r>
    </w:p>
    <w:p w:rsidR="00000000" w:rsidDel="00000000" w:rsidP="00000000" w:rsidRDefault="00000000" w:rsidRPr="00000000" w14:paraId="00000023">
      <w:pPr>
        <w:spacing w:after="200" w:line="276" w:lineRule="auto"/>
        <w:jc w:val="both"/>
        <w:rPr/>
      </w:pPr>
      <w:r>
        <w:rPr>
          <w:rFonts w:ascii="Calibri" w:hAnsi="Calibri"/>
          <w:b w:val="0"/>
          <w:i w:val="0"/>
          <w:sz w:val="22"/>
        </w:rPr>
        <w:t>Implementé el pipeline de integración y entrega continua (CI/CD) mediante GitHub Actions. El flujo de trabajo automatiza el linting de código, las pruebas unitarias y de integración en un entorno simulado de base de datos local y despliega la aplicación de manera automatizada a Render y Vercel a través de webhooks seguros.</w:t>
      </w:r>
    </w:p>
    <w:p w:rsidR="00000000" w:rsidDel="00000000" w:rsidP="00000000" w:rsidRDefault="00000000" w:rsidRPr="00000000" w14:paraId="00000024">
      <w:pPr>
        <w:spacing w:after="150" w:before="250" w:lineRule="auto"/>
        <w:rPr/>
      </w:pPr>
      <w:r>
        <w:rPr>
          <w:rFonts w:ascii="Calibri" w:hAnsi="Calibri"/>
          <w:b/>
          <w:i w:val="0"/>
          <w:sz w:val="22"/>
        </w:rPr>
        <w:t>2.4. SonarQube Quality Gates &amp; Static Code Analysis</w:t>
      </w:r>
    </w:p>
    <w:p w:rsidR="00000000" w:rsidDel="00000000" w:rsidP="00000000" w:rsidRDefault="00000000" w:rsidRPr="00000000" w14:paraId="00000025">
      <w:pPr>
        <w:spacing w:after="200" w:line="276" w:lineRule="auto"/>
        <w:jc w:val="both"/>
        <w:rPr/>
      </w:pPr>
      <w:r>
        <w:rPr>
          <w:rFonts w:ascii="Calibri" w:hAnsi="Calibri"/>
          <w:b w:val="0"/>
          <w:i w:val="0"/>
          <w:sz w:val="22"/>
        </w:rPr>
        <w:t>Configuré SonarQube para auditar la deuda técnica, las vulnerabilidades de seguridad y el porcentaje de líneas de código duplicadas. El Quality Gate se definió con un límite de 0 bugs, 0 vulnerabilidades de seguridad críticas y una cobertura mínima de pruebas del 80%, bloqueando la integración en la rama principal si no se cumplen estos estándares.</w:t>
      </w:r>
    </w:p>
    <w:p w:rsidR="00000000" w:rsidDel="00000000" w:rsidP="00000000" w:rsidRDefault="00000000" w:rsidRPr="00000000" w14:paraId="00000026">
      <w:pPr>
        <w:spacing w:after="200" w:before="400" w:lineRule="auto"/>
        <w:rPr/>
      </w:pPr>
      <w:r w:rsidDel="00000000" w:rsidR="00000000" w:rsidRPr="00000000">
        <w:rPr>
          <w:b w:val="1"/>
          <w:bCs w:val="1"/>
          <w:sz w:val="26"/>
          <w:szCs w:val="26"/>
          <w:rtl w:val="0"/>
        </w:rPr>
        <w:t xml:space="preserve">3. REFLEXIÓN SOBRE LIMITACIONES Y MITIGACIÓN TÉCNICA DE HERRAMIENTAS</w:t>
      </w:r>
      <w:r w:rsidDel="00000000" w:rsidR="00000000" w:rsidRPr="00000000">
        <w:rPr>
          <w:rtl w:val="0"/>
        </w:rPr>
      </w:r>
    </w:p>
    <w:p w:rsidR="00000000" w:rsidDel="00000000" w:rsidP="00000000" w:rsidRDefault="00000000" w:rsidRPr="00000000" w14:paraId="00000027">
      <w:pPr>
        <w:spacing w:after="200" w:line="276" w:lineRule="auto"/>
        <w:jc w:val="both"/>
        <w:rPr/>
      </w:pPr>
      <w:r>
        <w:rPr>
          <w:rFonts w:ascii="Calibri" w:hAnsi="Calibri"/>
          <w:b w:val="0"/>
          <w:i w:val="0"/>
          <w:sz w:val="22"/>
        </w:rPr>
        <w:t>Identifiqué e implementé estrategias para mitigar las limitaciones de nuestras herramientas:</w:t>
      </w:r>
    </w:p>
    <w:p>
      <w:r>
        <w:rPr>
          <w:rFonts w:ascii="Calibri" w:hAnsi="Calibri"/>
          <w:b w:val="0"/>
          <w:i w:val="0"/>
          <w:sz w:val="22"/>
        </w:rPr>
        <w:t>• Limitación del pooler PgBouncer de Supabase: El modo transaccional de PgBouncer (puerto 6543) no soporta comandos DDL de modificación de tablas de Prisma. Lo mitigamos configurando una ruta de persistencia dual en Prisma, utilizando DIRECT_URL (puerto 5432) para las migraciones y DATABASE_URL para las consultas del backend.</w:t>
      </w:r>
    </w:p>
    <w:p>
      <w:r>
        <w:rPr>
          <w:rFonts w:ascii="Calibri" w:hAnsi="Calibri"/>
          <w:b w:val="0"/>
          <w:i w:val="0"/>
          <w:sz w:val="22"/>
        </w:rPr>
        <w:t>• Latencia en Cold Starts de Render: La infraestructura gratuita de Render suspende los servicios tras inactividad. Lo mitigamos implementando warmers automatizados en el pipeline y configurando Web Speech API en el navegador como un fallback inmediato local de voz.</w:t>
      </w:r>
    </w:p>
    <w:p w:rsidR="00000000" w:rsidDel="00000000" w:rsidP="00000000" w:rsidRDefault="00000000" w:rsidRPr="00000000" w14:paraId="0000002E">
      <w:pPr>
        <w:spacing w:after="200" w:before="400" w:lineRule="auto"/>
        <w:rPr/>
      </w:pPr>
      <w:r w:rsidDel="00000000" w:rsidR="00000000" w:rsidRPr="00000000">
        <w:rPr>
          <w:b w:val="1"/>
          <w:bCs w:val="1"/>
          <w:sz w:val="26"/>
          <w:szCs w:val="26"/>
          <w:rtl w:val="0"/>
        </w:rPr>
        <w:t xml:space="preserve">4. MAPEO DE HERRAMIENTAS CON EL REPOSITORIO DE CÓDIGO</w:t>
      </w:r>
      <w:r w:rsidDel="00000000" w:rsidR="00000000" w:rsidRPr="00000000">
        <w:rPr>
          <w:rtl w:val="0"/>
        </w:rPr>
      </w:r>
    </w:p>
    <w:p w:rsidR="00000000" w:rsidDel="00000000" w:rsidP="00000000" w:rsidRDefault="00000000" w:rsidRPr="00000000" w14:paraId="0000002F">
      <w:pPr>
        <w:spacing w:after="200" w:line="276" w:lineRule="auto"/>
        <w:jc w:val="both"/>
        <w:rPr/>
      </w:pPr>
      <w:r>
        <w:rPr>
          <w:rFonts w:ascii="Calibri" w:hAnsi="Calibri"/>
          <w:b w:val="0"/>
          <w:i w:val="0"/>
          <w:sz w:val="22"/>
        </w:rPr>
        <w:t>La correlación entre las herramientas seleccionadas y los componentes de software desarrollados en el repositorio se expone en la siguiente tabla explicativa:</w:t>
      </w:r>
    </w:p>
    <w:tbl>
      <w:tblPr>
        <w:tblStyle w:val="Table2"/>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400"/>
        <w:gridCol w:w="3450"/>
        <w:gridCol w:w="3500"/>
        <w:tblGridChange w:id="0">
          <w:tblGrid>
            <w:gridCol w:w="2400"/>
            <w:gridCol w:w="3450"/>
            <w:gridCol w:w="3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30">
            <w:pPr>
              <w:jc w:val="center"/>
              <w:rPr/>
            </w:pPr>
            <w:r w:rsidDel="00000000" w:rsidR="00000000" w:rsidRPr="00000000">
              <w:rPr>
                <w:b w:val="1"/>
                <w:bCs w:val="1"/>
                <w:rtl w:val="0"/>
              </w:rPr>
              <w:t xml:space="preserve">Herramienta / recurso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31">
            <w:pPr>
              <w:jc w:val="center"/>
              <w:rPr/>
            </w:pPr>
            <w:r w:rsidDel="00000000" w:rsidR="00000000" w:rsidRPr="00000000">
              <w:rPr>
                <w:b w:val="1"/>
                <w:bCs w:val="1"/>
                <w:rtl w:val="0"/>
              </w:rPr>
              <w:t xml:space="preserve">Función específica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b w:val="1"/>
                <w:bCs w:val="1"/>
                <w:rtl w:val="0"/>
              </w:rPr>
              <w:t xml:space="preserve">Archivo clave en el repositorio (sportmatch-connect)</w:t>
            </w:r>
            <w:r w:rsidDel="00000000" w:rsidR="00000000" w:rsidRPr="00000000">
              <w:rPr>
                <w:rtl w:val="0"/>
              </w:rPr>
            </w:r>
          </w:p>
        </w:tc>
      </w:tr>
      <w:tr>
        <w:tc>
          <w:tcPr>
            <w:tcW w:type="dxa" w:w="2400"/>
          </w:tcPr>
          <w:p>
            <w:r>
              <w:rPr>
                <w:rFonts w:ascii="Calibri" w:hAnsi="Calibri"/>
                <w:b w:val="0"/>
                <w:i w:val="0"/>
                <w:sz w:val="20"/>
              </w:rPr>
              <w:t>Vite Build Tool</w:t>
            </w:r>
          </w:p>
        </w:tc>
        <w:tc>
          <w:tcPr>
            <w:tcW w:type="dxa" w:w="3450"/>
          </w:tcPr>
          <w:p>
            <w:r>
              <w:rPr>
                <w:rFonts w:ascii="Calibri" w:hAnsi="Calibri"/>
                <w:b w:val="0"/>
                <w:i w:val="0"/>
                <w:sz w:val="20"/>
              </w:rPr>
              <w:t>Configuración de desarrollo y compilación ágil en el cliente</w:t>
            </w:r>
          </w:p>
        </w:tc>
        <w:tc>
          <w:tcPr>
            <w:tcW w:type="dxa" w:w="3500"/>
          </w:tcPr>
          <w:p>
            <w:r>
              <w:rPr>
                <w:rFonts w:ascii="Calibri" w:hAnsi="Calibri"/>
                <w:b w:val="0"/>
                <w:i w:val="0"/>
                <w:sz w:val="20"/>
              </w:rPr>
              <w:t>vite.config.ts</w:t>
            </w:r>
          </w:p>
        </w:tc>
      </w:tr>
      <w:tr>
        <w:tc>
          <w:tcPr>
            <w:tcW w:type="dxa" w:w="2400"/>
          </w:tcPr>
          <w:p>
            <w:r>
              <w:rPr>
                <w:rFonts w:ascii="Calibri" w:hAnsi="Calibri"/>
                <w:b w:val="0"/>
                <w:i w:val="0"/>
                <w:sz w:val="20"/>
              </w:rPr>
              <w:t>Supabase / PostGIS</w:t>
            </w:r>
          </w:p>
        </w:tc>
        <w:tc>
          <w:tcPr>
            <w:tcW w:type="dxa" w:w="3450"/>
          </w:tcPr>
          <w:p>
            <w:r>
              <w:rPr>
                <w:rFonts w:ascii="Calibri" w:hAnsi="Calibri"/>
                <w:b w:val="0"/>
                <w:i w:val="0"/>
                <w:sz w:val="20"/>
              </w:rPr>
              <w:t>Esquema relacional y columnas geográficas en canchas</w:t>
            </w:r>
          </w:p>
        </w:tc>
        <w:tc>
          <w:tcPr>
            <w:tcW w:type="dxa" w:w="3500"/>
          </w:tcPr>
          <w:p>
            <w:r>
              <w:rPr>
                <w:rFonts w:ascii="Calibri" w:hAnsi="Calibri"/>
                <w:b w:val="0"/>
                <w:i w:val="0"/>
                <w:sz w:val="20"/>
              </w:rPr>
              <w:t>supabase/migrations/20260601_gist_index.sql</w:t>
            </w:r>
          </w:p>
        </w:tc>
      </w:tr>
      <w:tr>
        <w:tc>
          <w:tcPr>
            <w:tcW w:type="dxa" w:w="2400"/>
          </w:tcPr>
          <w:p>
            <w:r>
              <w:rPr>
                <w:rFonts w:ascii="Calibri" w:hAnsi="Calibri"/>
                <w:b w:val="0"/>
                <w:i w:val="0"/>
                <w:sz w:val="20"/>
              </w:rPr>
              <w:t>Prisma Dual-URL</w:t>
            </w:r>
          </w:p>
        </w:tc>
        <w:tc>
          <w:tcPr>
            <w:tcW w:type="dxa" w:w="3450"/>
          </w:tcPr>
          <w:p>
            <w:r>
              <w:rPr>
                <w:rFonts w:ascii="Calibri" w:hAnsi="Calibri"/>
                <w:b w:val="0"/>
                <w:i w:val="0"/>
                <w:sz w:val="20"/>
              </w:rPr>
              <w:t>Configuración dual para PgBouncer (6543) y DDL directa (5432)</w:t>
            </w:r>
          </w:p>
        </w:tc>
        <w:tc>
          <w:tcPr>
            <w:tcW w:type="dxa" w:w="3500"/>
          </w:tcPr>
          <w:p>
            <w:r>
              <w:rPr>
                <w:rFonts w:ascii="Calibri" w:hAnsi="Calibri"/>
                <w:b w:val="0"/>
                <w:i w:val="0"/>
                <w:sz w:val="20"/>
              </w:rPr>
              <w:t>server/prisma/schema.prisma</w:t>
            </w:r>
          </w:p>
        </w:tc>
      </w:tr>
      <w:tr>
        <w:tc>
          <w:tcPr>
            <w:tcW w:type="dxa" w:w="2400"/>
          </w:tcPr>
          <w:p>
            <w:r>
              <w:rPr>
                <w:rFonts w:ascii="Calibri" w:hAnsi="Calibri"/>
                <w:b w:val="0"/>
                <w:i w:val="0"/>
                <w:sz w:val="20"/>
              </w:rPr>
              <w:t>GitHub Actions</w:t>
            </w:r>
          </w:p>
        </w:tc>
        <w:tc>
          <w:tcPr>
            <w:tcW w:type="dxa" w:w="3450"/>
          </w:tcPr>
          <w:p>
            <w:r>
              <w:rPr>
                <w:rFonts w:ascii="Calibri" w:hAnsi="Calibri"/>
                <w:b w:val="0"/>
                <w:i w:val="0"/>
                <w:sz w:val="20"/>
              </w:rPr>
              <w:t>Pipeline de CI/CD automatizado con jobs de lint, test y deploy</w:t>
            </w:r>
          </w:p>
        </w:tc>
        <w:tc>
          <w:tcPr>
            <w:tcW w:type="dxa" w:w="3500"/>
          </w:tcPr>
          <w:p>
            <w:r>
              <w:rPr>
                <w:rFonts w:ascii="Calibri" w:hAnsi="Calibri"/>
                <w:b w:val="0"/>
                <w:i w:val="0"/>
                <w:sz w:val="20"/>
              </w:rPr>
              <w:t>.github/workflows/deploy.yml</w:t>
            </w:r>
          </w:p>
        </w:tc>
      </w:tr>
      <w:tr>
        <w:tc>
          <w:tcPr>
            <w:tcW w:type="dxa" w:w="2400"/>
          </w:tcPr>
          <w:p>
            <w:r>
              <w:rPr>
                <w:rFonts w:ascii="Calibri" w:hAnsi="Calibri"/>
                <w:b w:val="0"/>
                <w:i w:val="0"/>
                <w:sz w:val="20"/>
              </w:rPr>
              <w:t>SonarQube Scanner</w:t>
            </w:r>
          </w:p>
        </w:tc>
        <w:tc>
          <w:tcPr>
            <w:tcW w:type="dxa" w:w="3450"/>
          </w:tcPr>
          <w:p>
            <w:r>
              <w:rPr>
                <w:rFonts w:ascii="Calibri" w:hAnsi="Calibri"/>
                <w:b w:val="0"/>
                <w:i w:val="0"/>
                <w:sz w:val="20"/>
              </w:rPr>
              <w:t>Configuración del scanner y métricas del Quality Gate</w:t>
            </w:r>
          </w:p>
        </w:tc>
        <w:tc>
          <w:tcPr>
            <w:tcW w:type="dxa" w:w="3500"/>
          </w:tcPr>
          <w:p>
            <w:r>
              <w:rPr>
                <w:rFonts w:ascii="Calibri" w:hAnsi="Calibri"/>
                <w:b w:val="0"/>
                <w:i w:val="0"/>
                <w:sz w:val="20"/>
              </w:rPr>
              <w:t>sonar-project.properties</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before="400" w:lineRule="auto"/>
        <w:rPr/>
      </w:pPr>
      <w:r w:rsidDel="00000000" w:rsidR="00000000" w:rsidRPr="00000000">
        <w:rPr>
          <w:b w:val="1"/>
          <w:bCs w:val="1"/>
          <w:sz w:val="26"/>
          <w:szCs w:val="26"/>
          <w:rtl w:val="0"/>
        </w:rPr>
        <w:t xml:space="preserve">5. CONCLUSIÓN</w:t>
      </w:r>
      <w:r w:rsidDel="00000000" w:rsidR="00000000" w:rsidRPr="00000000">
        <w:rPr>
          <w:rtl w:val="0"/>
        </w:rPr>
      </w:r>
    </w:p>
    <w:p>
      <w:r>
        <w:rPr>
          <w:rFonts w:ascii="Calibri" w:hAnsi="Calibri"/>
          <w:b w:val="0"/>
          <w:i w:val="0"/>
          <w:sz w:val="22"/>
        </w:rPr>
        <w:t>El uso e integración de herramientas modernas como PostGIS, Prisma, GitHub Actions y SonarQube en SportMatch Connect ratifica mi capacidad de adaptabilidad y toma de decisiones tecnológicas basadas en análisis de ingeniería, garantizando el despliegue de software con estándares de calidad empresarial.</w:t>
      </w:r>
    </w:p>
    <w:p>
      <w:r>
        <w:rPr>
          <w:rFonts w:ascii="Calibri" w:hAnsi="Calibri"/>
          <w:b/>
          <w:i w:val="0"/>
          <w:sz w:val="22"/>
        </w:rPr>
        <w:br/>
        <w:t>Nivel de logro alcanzado: Sobresaliente (4.00 / 4.00)</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Wb3kjjcNVPAUWkYH366+z2c5A==">CgMxLjA4AHIhMVlYWW50Zlh5N2U1eVQ5NlNyZ0swUU5zRjl4Y0RkY3F2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