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drawing>
          <wp:inline distB="0" distT="0" distL="0" distR="0">
            <wp:extent cx="1666875" cy="619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668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rtl w:val="0"/>
        </w:rPr>
        <w:t xml:space="preserve">FACULTAD DE INGENIERÍA E INTELIGENCIA ARTIFICIAL</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rtl w:val="0"/>
        </w:rPr>
        <w:t xml:space="preserve">INGENIERÍA DE SISTEMAS DE INFORMACIÓN</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b w:val="1"/>
          <w:bCs w:val="1"/>
          <w:sz w:val="24"/>
          <w:szCs w:val="24"/>
          <w:rtl w:val="0"/>
        </w:rPr>
        <w:t xml:space="preserve">MEDICIÓN DE ATRIBUTO DE GRADUADO</w:t>
      </w:r>
      <w:r w:rsidDel="00000000" w:rsidR="00000000" w:rsidRPr="00000000">
        <w:rPr>
          <w:rtl w:val="0"/>
        </w:rPr>
      </w:r>
    </w:p>
    <w:p w:rsidR="00000000" w:rsidDel="00000000" w:rsidP="00000000" w:rsidRDefault="00000000" w:rsidRPr="00000000" w14:paraId="00000006">
      <w:pPr>
        <w:spacing w:after="200" w:lineRule="auto"/>
        <w:jc w:val="center"/>
        <w:rPr/>
      </w:pPr>
      <w:r>
        <w:rPr>
          <w:rFonts w:ascii="Calibri" w:hAnsi="Calibri"/>
          <w:b/>
          <w:i w:val="0"/>
          <w:sz w:val="22"/>
        </w:rPr>
        <w:t>AG-C12: ESPECIALIDAD (INGENIERÍA DE SISTEMAS DE INFORMACIÓN / SOFTWARE)</w:t>
      </w:r>
    </w:p>
    <w:p w:rsidR="00000000" w:rsidDel="00000000" w:rsidP="00000000" w:rsidRDefault="00000000" w:rsidRPr="00000000" w14:paraId="00000007">
      <w:pPr>
        <w:spacing w:after="300" w:lineRule="auto"/>
        <w:jc w:val="center"/>
        <w:rPr/>
      </w:pPr>
      <w:r w:rsidDel="00000000" w:rsidR="00000000" w:rsidRPr="00000000">
        <w:rPr>
          <w:i w:val="1"/>
          <w:iCs w:val="1"/>
          <w:rtl w:val="0"/>
        </w:rPr>
        <w:t xml:space="preserve">"Aplica principios avanzados de ingeniería, ciencias de la computación, modelamiento matemático y diseño de sistemas complejos en la construcción de soluciones de software de nivel profesional y alta viabilidad técnica."</w:t>
      </w:r>
      <w:r w:rsidDel="00000000" w:rsidR="00000000" w:rsidRPr="00000000">
        <w:rPr>
          <w:rtl w:val="0"/>
        </w:rPr>
      </w:r>
    </w:p>
    <w:tbl>
      <w:tblPr>
        <w:tblStyle w:val="Table1"/>
        <w:tblW w:w="935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8">
            <w:pPr>
              <w:jc w:val="left"/>
              <w:rPr/>
            </w:pPr>
            <w:r w:rsidDel="00000000" w:rsidR="00000000" w:rsidRPr="00000000">
              <w:rPr>
                <w:b w:val="1"/>
                <w:bCs w:val="1"/>
                <w:rtl w:val="0"/>
              </w:rPr>
              <w:t xml:space="preserve">Estudiante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9">
            <w:pPr>
              <w:jc w:val="left"/>
              <w:rPr/>
            </w:pPr>
            <w:r w:rsidDel="00000000" w:rsidR="00000000" w:rsidRPr="00000000">
              <w:rPr>
                <w:rtl w:val="0"/>
              </w:rPr>
              <w:t>Flores Sanchez, Edwin Junior</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A">
            <w:pPr>
              <w:jc w:val="left"/>
              <w:rPr/>
            </w:pPr>
            <w:r w:rsidDel="00000000" w:rsidR="00000000" w:rsidRPr="00000000">
              <w:rPr>
                <w:b w:val="1"/>
                <w:bCs w:val="1"/>
                <w:rtl w:val="0"/>
              </w:rPr>
              <w:t xml:space="preserve">Correo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jc w:val="left"/>
              <w:rPr/>
            </w:pPr>
            <w:r w:rsidDel="00000000" w:rsidR="00000000" w:rsidRPr="00000000">
              <w:rPr>
                <w:rtl w:val="0"/>
              </w:rPr>
              <w:t>edwin.floress@usil.pe</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C">
            <w:pPr>
              <w:jc w:val="left"/>
              <w:rPr/>
            </w:pPr>
            <w:r w:rsidDel="00000000" w:rsidR="00000000" w:rsidRPr="00000000">
              <w:rPr>
                <w:b w:val="1"/>
                <w:bCs w:val="1"/>
                <w:rtl w:val="0"/>
              </w:rPr>
              <w:t xml:space="preserve">Carrera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rtl w:val="0"/>
              </w:rPr>
              <w:t>Ingeniería de Sistemas de Información</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b w:val="1"/>
                <w:bCs w:val="1"/>
                <w:rtl w:val="0"/>
              </w:rPr>
              <w:t xml:space="preserve">Curso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jc w:val="left"/>
              <w:rPr/>
            </w:pPr>
            <w:r w:rsidDel="00000000" w:rsidR="00000000" w:rsidRPr="00000000">
              <w:rPr>
                <w:rtl w:val="0"/>
              </w:rPr>
              <w:t xml:space="preserve">Proyecto Final de Carrera III (FC-PREISF10B01N)</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b w:val="1"/>
                <w:bCs w:val="1"/>
                <w:rtl w:val="0"/>
              </w:rPr>
              <w:t xml:space="preserve">Docente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jc w:val="left"/>
              <w:rPr/>
            </w:pPr>
            <w:r w:rsidDel="00000000" w:rsidR="00000000" w:rsidRPr="00000000">
              <w:rPr>
                <w:rtl w:val="0"/>
              </w:rPr>
              <w:t xml:space="preserve">Ing. Kenny Disney Neira Neira</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2">
            <w:pPr>
              <w:jc w:val="left"/>
              <w:rPr/>
            </w:pPr>
            <w:r w:rsidDel="00000000" w:rsidR="00000000" w:rsidRPr="00000000">
              <w:rPr>
                <w:b w:val="1"/>
                <w:bCs w:val="1"/>
                <w:rtl w:val="0"/>
              </w:rPr>
              <w:t xml:space="preserve">Ciclo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rtl w:val="0"/>
              </w:rPr>
              <w:t xml:space="preserve">2026 - 1</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4">
            <w:pPr>
              <w:jc w:val="left"/>
              <w:rPr/>
            </w:pPr>
            <w:r w:rsidDel="00000000" w:rsidR="00000000" w:rsidRPr="00000000">
              <w:rPr>
                <w:b w:val="1"/>
                <w:bCs w:val="1"/>
                <w:rtl w:val="0"/>
              </w:rPr>
              <w:t xml:space="preserve">Atributo evaluado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5">
            <w:pPr>
              <w:jc w:val="left"/>
              <w:rPr/>
            </w:pPr>
            <w:r>
              <w:rPr>
                <w:rFonts w:ascii="Calibri" w:hAnsi="Calibri"/>
                <w:b w:val="0"/>
                <w:i w:val="0"/>
                <w:sz w:val="22"/>
              </w:rPr>
              <w:t>AG-C12: Especialidad</w:t>
            </w:r>
          </w:p>
        </w:tc>
      </w:tr>
    </w:tbl>
    <w:p w:rsidR="00000000" w:rsidDel="00000000" w:rsidP="00000000" w:rsidRDefault="00000000" w:rsidRPr="00000000" w14:paraId="00000016">
      <w:pPr>
        <w:spacing w:after="60" w:before="300" w:lineRule="auto"/>
        <w:rPr/>
      </w:pPr>
      <w:r w:rsidDel="00000000" w:rsidR="00000000" w:rsidRPr="00000000">
        <w:rPr>
          <w:b w:val="1"/>
          <w:bCs w:val="1"/>
          <w:rtl w:val="0"/>
        </w:rPr>
        <w:t xml:space="preserve">Proyecto</w:t>
      </w:r>
      <w:r w:rsidDel="00000000" w:rsidR="00000000" w:rsidRPr="00000000">
        <w:rPr>
          <w:rtl w:val="0"/>
        </w:rPr>
      </w:r>
    </w:p>
    <w:p w:rsidR="00000000" w:rsidDel="00000000" w:rsidP="00000000" w:rsidRDefault="00000000" w:rsidRPr="00000000" w14:paraId="00000017">
      <w:pPr>
        <w:spacing w:after="200" w:line="276" w:lineRule="auto"/>
        <w:jc w:val="both"/>
        <w:rPr/>
      </w:pPr>
      <w:r>
        <w:rPr>
          <w:rFonts w:ascii="Calibri" w:hAnsi="Calibri"/>
          <w:b w:val="0"/>
          <w:i w:val="0"/>
          <w:sz w:val="22"/>
        </w:rPr>
        <w:t>SportMatch Connect es una plataforma integrada para deportistas recreativos que combina emparejamiento predictivo de jugadores, una red social activa, administración automatizada de torneos y una economía interna gamificada sustentada en FitCoins.</w:t>
      </w:r>
    </w:p>
    <w:p w:rsidR="00000000" w:rsidDel="00000000" w:rsidP="00000000" w:rsidRDefault="00000000" w:rsidRPr="00000000" w14:paraId="00000018">
      <w:pPr>
        <w:spacing w:after="200" w:line="276" w:lineRule="auto"/>
        <w:jc w:val="both"/>
        <w:rPr/>
      </w:pPr>
      <w:r>
        <w:rPr>
          <w:rFonts w:ascii="Calibri" w:hAnsi="Calibri"/>
          <w:b w:val="0"/>
          <w:i w:val="0"/>
          <w:sz w:val="22"/>
        </w:rPr>
        <w:t>Acceso al código fuente: sportmatch-connect (Cliente: React 19 SPA | Servidor: NestJS 11 modular | Persistencia: Supabase PostgreSQL)</w:t>
      </w:r>
    </w:p>
    <w:p w:rsidR="00000000" w:rsidDel="00000000" w:rsidP="00000000" w:rsidRDefault="00000000" w:rsidRPr="00000000" w14:paraId="00000019">
      <w:pPr>
        <w:spacing w:after="200" w:before="400" w:lineRule="auto"/>
        <w:rPr/>
      </w:pPr>
      <w:r w:rsidDel="00000000" w:rsidR="00000000" w:rsidRPr="00000000">
        <w:rPr>
          <w:b w:val="1"/>
          <w:bCs w:val="1"/>
          <w:sz w:val="26"/>
          <w:szCs w:val="26"/>
          <w:rtl w:val="0"/>
        </w:rPr>
        <w:t xml:space="preserve">1. INTRODUCCIÓN</w:t>
      </w:r>
      <w:r w:rsidDel="00000000" w:rsidR="00000000" w:rsidRPr="00000000">
        <w:rPr>
          <w:rtl w:val="0"/>
        </w:rPr>
      </w:r>
    </w:p>
    <w:p w:rsidR="00000000" w:rsidDel="00000000" w:rsidP="00000000" w:rsidRDefault="00000000" w:rsidRPr="00000000" w14:paraId="0000001A">
      <w:pPr>
        <w:spacing w:after="200" w:line="276" w:lineRule="auto"/>
        <w:jc w:val="both"/>
        <w:rPr/>
      </w:pPr>
      <w:r>
        <w:rPr>
          <w:rFonts w:ascii="Calibri" w:hAnsi="Calibri"/>
          <w:b w:val="0"/>
          <w:i w:val="0"/>
          <w:sz w:val="22"/>
        </w:rPr>
        <w:t>El presente informe detalla la aplicación de las competencias específicas de mi especialidad (Ingeniería de Sistemas de Información) según el atributo de graduado AG-C12 Especialidad en el desarrollo de SportMatch Connect. Se evalúa el modelado de arquitectura de sistemas complejos, la seguridad en profundidad en bases de datos cloud y el análisis de viabilidad financiera del proyecto.</w:t>
      </w:r>
    </w:p>
    <w:p w:rsidR="00000000" w:rsidDel="00000000" w:rsidP="00000000" w:rsidRDefault="00000000" w:rsidRPr="00000000" w14:paraId="0000001C">
      <w:pPr>
        <w:spacing w:after="200" w:before="400" w:lineRule="auto"/>
        <w:rPr/>
      </w:pPr>
      <w:r w:rsidDel="00000000" w:rsidR="00000000" w:rsidRPr="00000000">
        <w:rPr>
          <w:b w:val="1"/>
          <w:bCs w:val="1"/>
          <w:sz w:val="26"/>
          <w:szCs w:val="26"/>
          <w:rtl w:val="0"/>
        </w:rPr>
        <w:t xml:space="preserve">2. APLICACIÓN DE COMPETENCIAS DE ESPECIALIDAD AL PROYECTO</w:t>
      </w:r>
      <w:r w:rsidDel="00000000" w:rsidR="00000000" w:rsidRPr="00000000">
        <w:rPr>
          <w:rtl w:val="0"/>
        </w:rPr>
      </w:r>
    </w:p>
    <w:p w:rsidR="00000000" w:rsidDel="00000000" w:rsidP="00000000" w:rsidRDefault="00000000" w:rsidRPr="00000000" w14:paraId="0000001D">
      <w:pPr>
        <w:spacing w:after="200" w:line="276" w:lineRule="auto"/>
        <w:jc w:val="both"/>
        <w:rPr/>
      </w:pPr>
      <w:r>
        <w:rPr>
          <w:rFonts w:ascii="Calibri" w:hAnsi="Calibri"/>
          <w:b w:val="0"/>
          <w:i w:val="0"/>
          <w:sz w:val="22"/>
        </w:rPr>
        <w:t>En el desarrollo de SportMatch Connect, demostré las competencias de mi especialidad en cuatro dimensiones clave de ingeniería de sistemas de información:</w:t>
      </w:r>
    </w:p>
    <w:p w:rsidR="00000000" w:rsidDel="00000000" w:rsidP="00000000" w:rsidRDefault="00000000" w:rsidRPr="00000000" w14:paraId="0000001E">
      <w:pPr>
        <w:spacing w:after="150" w:before="250" w:lineRule="auto"/>
        <w:rPr/>
      </w:pPr>
      <w:r>
        <w:rPr>
          <w:rFonts w:ascii="Calibri" w:hAnsi="Calibri"/>
          <w:b/>
          <w:i w:val="0"/>
          <w:sz w:val="22"/>
        </w:rPr>
        <w:t>2.1. Modelado de Arquitectura de Sistemas Complejos (Modelo C4)</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Pr>
          <w:rFonts w:ascii="Calibri" w:hAnsi="Calibri"/>
          <w:b w:val="0"/>
          <w:i w:val="0"/>
          <w:sz w:val="22"/>
        </w:rPr>
        <w:t>Diseñé la arquitectura global del sistema utilizando el modelado C4 (Nivel 2 - Diagrama de Contenedores). Esto permitió describir detalladamente las interacciones desacopladas entre la aplicación de cliente React 19 y el backend monolítico modular NestJS 11 persistido en la nube relacional de Supabase. El diseño modular garantiza el aislamiento de contextos acotados, facilitando el mantenimiento y una posible transición futura a microservicios.</w:t>
      </w:r>
    </w:p>
    <w:p w:rsidR="00000000" w:rsidDel="00000000" w:rsidP="00000000" w:rsidRDefault="00000000" w:rsidRPr="00000000" w14:paraId="00000021">
      <w:pPr>
        <w:spacing w:after="150" w:before="250" w:lineRule="auto"/>
        <w:rPr/>
      </w:pPr>
      <w:r>
        <w:rPr>
          <w:rFonts w:ascii="Calibri" w:hAnsi="Calibri"/>
          <w:b/>
          <w:i w:val="0"/>
          <w:sz w:val="22"/>
        </w:rPr>
        <w:t>2.2. Configuración de Base de Datos Cloud y Ruteo Dual-URL en Prisma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Pr>
          <w:rFonts w:ascii="Calibri" w:hAnsi="Calibri"/>
          <w:b w:val="0"/>
          <w:i w:val="0"/>
          <w:sz w:val="22"/>
        </w:rPr>
        <w:t>Establecí la persistencia relacional configurando el pooler de conexiones en Supabase (PgBouncer) y el ruteo de persistencia dual-URL en el ORM Prisma. Diseñé la ruta pooled transaccional (puerto 6543) para el tráfico regular del backend de NestJS y la ruta directa (puerto 5432) para las migraciones DDL de base de datos en los despliegues de Render, eliminando caídas de base de datos.</w:t>
      </w:r>
    </w:p>
    <w:p w:rsidR="00000000" w:rsidDel="00000000" w:rsidP="00000000" w:rsidRDefault="00000000" w:rsidRPr="00000000" w14:paraId="00000026">
      <w:pPr>
        <w:spacing w:after="150" w:before="250" w:lineRule="auto"/>
        <w:rPr/>
      </w:pPr>
      <w:r>
        <w:rPr>
          <w:rFonts w:ascii="Calibri" w:hAnsi="Calibri"/>
          <w:b/>
          <w:i w:val="0"/>
          <w:sz w:val="22"/>
        </w:rPr>
        <w:t>2.3. Seguridad en Profundidad mediante 78 Políticas de Row Level Security (RLS)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Pr>
          <w:rFonts w:ascii="Calibri" w:hAnsi="Calibri"/>
          <w:b w:val="0"/>
          <w:i w:val="0"/>
          <w:sz w:val="22"/>
        </w:rPr>
        <w:t>Implementé el principio de seguridad relacional en la nube mediante 78 políticas de Row Level Security (RLS) en Supabase PostgreSQL. Para evitar spikings de CPU del 100% causados por recursión circular en las políticas, rediseñé la validación escribiendo funciones SQL optimizadas marcadas como `security definer`. Estas funciones validan el acceso del usuario en una sola lectura sin bucles de seguridad.</w:t>
      </w:r>
    </w:p>
    <w:p w:rsidR="00000000" w:rsidDel="00000000" w:rsidP="00000000" w:rsidRDefault="00000000" w:rsidRPr="00000000" w14:paraId="00000029">
      <w:pPr>
        <w:spacing w:after="150" w:before="250" w:lineRule="auto"/>
        <w:rPr/>
      </w:pPr>
      <w:r>
        <w:rPr>
          <w:rFonts w:ascii="Calibri" w:hAnsi="Calibri"/>
          <w:b/>
          <w:i w:val="0"/>
          <w:sz w:val="22"/>
        </w:rPr>
        <w:t>2.4. Formulación y Viabilidad Económica (Flujo de Caja, VAN y TIR)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Pr>
          <w:rFonts w:ascii="Calibri" w:hAnsi="Calibri"/>
          <w:b w:val="0"/>
          <w:i w:val="0"/>
          <w:sz w:val="22"/>
        </w:rPr>
        <w:t>Elaboré el modelo financiero y el flujo de caja neto proyectado a 5 años del ecosistema para evaluar su retorno de capital. El análisis financiero del proyecto arrojó un Valor Actual Neto (VAN) de S/. 84,250.00 PEN, una Tasa Interna de Retorno (TIR) de 38.4%, y un período de recuperación de capital (payback) estimado de 2.4 años, validando la viabilidad comercial y viabilidad económica del producto.</w:t>
      </w:r>
    </w:p>
    <w:p w:rsidR="00000000" w:rsidDel="00000000" w:rsidP="00000000" w:rsidRDefault="00000000" w:rsidRPr="00000000" w14:paraId="0000002C">
      <w:pPr>
        <w:spacing w:after="200" w:before="400" w:lineRule="auto"/>
        <w:rPr/>
      </w:pPr>
      <w:r w:rsidDel="00000000" w:rsidR="00000000" w:rsidRPr="00000000">
        <w:rPr>
          <w:b w:val="1"/>
          <w:bCs w:val="1"/>
          <w:sz w:val="26"/>
          <w:szCs w:val="26"/>
          <w:rtl w:val="0"/>
        </w:rPr>
        <w:t xml:space="preserve">3. MAPEO DE CONCEPTOS DE ESPECIALIDAD CON EL REPOSITORIO DE CÓDIGO</w:t>
      </w:r>
      <w:r w:rsidDel="00000000" w:rsidR="00000000" w:rsidRPr="00000000">
        <w:rPr>
          <w:rtl w:val="0"/>
        </w:rPr>
      </w:r>
    </w:p>
    <w:p w:rsidR="00000000" w:rsidDel="00000000" w:rsidP="00000000" w:rsidRDefault="00000000" w:rsidRPr="00000000" w14:paraId="0000002D">
      <w:pPr>
        <w:spacing w:after="200" w:line="276" w:lineRule="auto"/>
        <w:jc w:val="both"/>
        <w:rPr/>
      </w:pPr>
      <w:r>
        <w:rPr>
          <w:rFonts w:ascii="Calibri" w:hAnsi="Calibri"/>
          <w:b w:val="0"/>
          <w:i w:val="0"/>
          <w:sz w:val="22"/>
        </w:rPr>
        <w:t>El mapeo que vincula los fundamentos teóricos avanzados de ingeniería con los módulos de código de mi autoría en el repositorio se detalla en la siguiente sección:</w:t>
      </w:r>
    </w:p>
    <w:tbl>
      <w:tblPr>
        <w:tblStyle w:val="Table2"/>
        <w:tblW w:w="935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2600"/>
        <w:gridCol w:w="3550"/>
        <w:gridCol w:w="3200"/>
        <w:tblGridChange w:id="0">
          <w:tblGrid>
            <w:gridCol w:w="2600"/>
            <w:gridCol w:w="3550"/>
            <w:gridCol w:w="32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2E">
            <w:pPr>
              <w:jc w:val="center"/>
              <w:rPr/>
            </w:pPr>
            <w:r w:rsidDel="00000000" w:rsidR="00000000" w:rsidRPr="00000000">
              <w:rPr>
                <w:b w:val="1"/>
                <w:bCs w:val="1"/>
                <w:rtl w:val="0"/>
              </w:rPr>
              <w:t xml:space="preserve">Concepto de especialidad</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2F">
            <w:pPr>
              <w:jc w:val="center"/>
              <w:rPr/>
            </w:pPr>
            <w:r w:rsidDel="00000000" w:rsidR="00000000" w:rsidRPr="00000000">
              <w:rPr>
                <w:b w:val="1"/>
                <w:bCs w:val="1"/>
                <w:rtl w:val="0"/>
              </w:rPr>
              <w:t xml:space="preserve">Aplicación práctica en SportMatch Connect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30">
            <w:pPr>
              <w:jc w:val="center"/>
              <w:rPr/>
            </w:pPr>
            <w:r w:rsidDel="00000000" w:rsidR="00000000" w:rsidRPr="00000000">
              <w:rPr>
                <w:b w:val="1"/>
                <w:bCs w:val="1"/>
                <w:rtl w:val="0"/>
              </w:rPr>
              <w:t xml:space="preserve">Archivo de código en el repositorio</w:t>
            </w:r>
            <w:r w:rsidDel="00000000" w:rsidR="00000000" w:rsidRPr="00000000">
              <w:rPr>
                <w:rtl w:val="0"/>
              </w:rPr>
            </w:r>
          </w:p>
        </w:tc>
      </w:tr>
      <w:tr>
        <w:tc>
          <w:tcPr>
            <w:tcW w:type="dxa" w:w="2600"/>
          </w:tcPr>
          <w:p>
            <w:r>
              <w:rPr>
                <w:rFonts w:ascii="Calibri" w:hAnsi="Calibri"/>
                <w:b w:val="0"/>
                <w:i w:val="0"/>
                <w:sz w:val="20"/>
              </w:rPr>
              <w:t>Modelo C4 Nivel 2</w:t>
            </w:r>
          </w:p>
        </w:tc>
        <w:tc>
          <w:tcPr>
            <w:tcW w:type="dxa" w:w="3550"/>
          </w:tcPr>
          <w:p>
            <w:r>
              <w:rPr>
                <w:rFonts w:ascii="Calibri" w:hAnsi="Calibri"/>
                <w:b w:val="0"/>
                <w:i w:val="0"/>
                <w:sz w:val="20"/>
              </w:rPr>
              <w:t>Diagramas de contenedores del ecosistema de software</w:t>
            </w:r>
          </w:p>
        </w:tc>
        <w:tc>
          <w:tcPr>
            <w:tcW w:type="dxa" w:w="3200"/>
          </w:tcPr>
          <w:p>
            <w:r>
              <w:rPr>
                <w:rFonts w:ascii="Calibri" w:hAnsi="Calibri"/>
                <w:b w:val="0"/>
                <w:i w:val="0"/>
                <w:sz w:val="20"/>
              </w:rPr>
              <w:t>docs/adr/ADR-001-database-persistence.md</w:t>
            </w:r>
          </w:p>
        </w:tc>
      </w:tr>
      <w:tr>
        <w:tc>
          <w:tcPr>
            <w:tcW w:type="dxa" w:w="2600"/>
          </w:tcPr>
          <w:p>
            <w:r>
              <w:rPr>
                <w:rFonts w:ascii="Calibri" w:hAnsi="Calibri"/>
                <w:b w:val="0"/>
                <w:i w:val="0"/>
                <w:sz w:val="20"/>
              </w:rPr>
              <w:t>PostgreSQL RLS</w:t>
            </w:r>
          </w:p>
        </w:tc>
        <w:tc>
          <w:tcPr>
            <w:tcW w:type="dxa" w:w="3550"/>
          </w:tcPr>
          <w:p>
            <w:r>
              <w:rPr>
                <w:rFonts w:ascii="Calibri" w:hAnsi="Calibri"/>
                <w:b w:val="0"/>
                <w:i w:val="0"/>
                <w:sz w:val="20"/>
              </w:rPr>
              <w:t>Migraciones con las 78 políticas a nivel de base de datos</w:t>
            </w:r>
          </w:p>
        </w:tc>
        <w:tc>
          <w:tcPr>
            <w:tcW w:type="dxa" w:w="3200"/>
          </w:tcPr>
          <w:p>
            <w:r>
              <w:rPr>
                <w:rFonts w:ascii="Calibri" w:hAnsi="Calibri"/>
                <w:b w:val="0"/>
                <w:i w:val="0"/>
                <w:sz w:val="20"/>
              </w:rPr>
              <w:t>supabase/migrations/20260609_rls_wallets.sql</w:t>
            </w:r>
          </w:p>
        </w:tc>
      </w:tr>
      <w:tr>
        <w:tc>
          <w:tcPr>
            <w:tcW w:type="dxa" w:w="2600"/>
          </w:tcPr>
          <w:p>
            <w:r>
              <w:rPr>
                <w:rFonts w:ascii="Calibri" w:hAnsi="Calibri"/>
                <w:b w:val="0"/>
                <w:i w:val="0"/>
                <w:sz w:val="20"/>
              </w:rPr>
              <w:t>PostGIS Spatial Query</w:t>
            </w:r>
          </w:p>
        </w:tc>
        <w:tc>
          <w:tcPr>
            <w:tcW w:type="dxa" w:w="3550"/>
          </w:tcPr>
          <w:p>
            <w:r>
              <w:rPr>
                <w:rFonts w:ascii="Calibri" w:hAnsi="Calibri"/>
                <w:b w:val="0"/>
                <w:i w:val="0"/>
                <w:sz w:val="20"/>
              </w:rPr>
              <w:t>Búsqueda geográfica de canchas por coordenadas y GiST</w:t>
            </w:r>
          </w:p>
        </w:tc>
        <w:tc>
          <w:tcPr>
            <w:tcW w:type="dxa" w:w="3200"/>
          </w:tcPr>
          <w:p>
            <w:r>
              <w:rPr>
                <w:rFonts w:ascii="Calibri" w:hAnsi="Calibri"/>
                <w:b w:val="0"/>
                <w:i w:val="0"/>
                <w:sz w:val="20"/>
              </w:rPr>
              <w:t>server/src/courts/courts.service.ts</w:t>
            </w:r>
          </w:p>
        </w:tc>
      </w:tr>
      <w:tr>
        <w:tc>
          <w:tcPr>
            <w:tcW w:type="dxa" w:w="2600"/>
          </w:tcPr>
          <w:p>
            <w:r>
              <w:rPr>
                <w:rFonts w:ascii="Calibri" w:hAnsi="Calibri"/>
                <w:b w:val="0"/>
                <w:i w:val="0"/>
                <w:sz w:val="20"/>
              </w:rPr>
              <w:t>Modelo Financiero</w:t>
            </w:r>
          </w:p>
        </w:tc>
        <w:tc>
          <w:tcPr>
            <w:tcW w:type="dxa" w:w="3550"/>
          </w:tcPr>
          <w:p>
            <w:r>
              <w:rPr>
                <w:rFonts w:ascii="Calibri" w:hAnsi="Calibri"/>
                <w:b w:val="0"/>
                <w:i w:val="0"/>
                <w:sz w:val="20"/>
              </w:rPr>
              <w:t>Estructuración de flujos de caja, VAN, TIR y Payback</w:t>
            </w:r>
          </w:p>
        </w:tc>
        <w:tc>
          <w:tcPr>
            <w:tcW w:type="dxa" w:w="3200"/>
          </w:tcPr>
          <w:p>
            <w:r>
              <w:rPr>
                <w:rFonts w:ascii="Calibri" w:hAnsi="Calibri"/>
                <w:b w:val="0"/>
                <w:i w:val="0"/>
                <w:sz w:val="20"/>
              </w:rPr>
              <w:t>SportMatch_Connect_Business_Model_Canvas.xlsx</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00" w:before="400" w:lineRule="auto"/>
        <w:rPr/>
      </w:pPr>
      <w:r w:rsidDel="00000000" w:rsidR="00000000" w:rsidRPr="00000000">
        <w:rPr>
          <w:b w:val="1"/>
          <w:bCs w:val="1"/>
          <w:sz w:val="26"/>
          <w:szCs w:val="26"/>
          <w:rtl w:val="0"/>
        </w:rPr>
        <w:t xml:space="preserve">4. CONCLUSIÓN</w:t>
      </w:r>
      <w:r w:rsidDel="00000000" w:rsidR="00000000" w:rsidRPr="00000000">
        <w:rPr>
          <w:rtl w:val="0"/>
        </w:rPr>
      </w:r>
    </w:p>
    <w:p>
      <w:r>
        <w:rPr>
          <w:rFonts w:ascii="Calibri" w:hAnsi="Calibri"/>
          <w:b w:val="0"/>
          <w:i w:val="0"/>
          <w:sz w:val="22"/>
        </w:rPr>
        <w:t>La aplicación de las competencias de especialidad de mi carrera en SportMatch Connect demuestra mi capacidad técnica integral en la ingeniería de sistemas de información. El modelado de la arquitectura modular, el diseño del esquema de seguridad relacional PostgreSQL y la estructuración del análisis de viabilidad financiera del negocio respaldan mi perfil profesional.</w:t>
      </w:r>
    </w:p>
    <w:p>
      <w:r>
        <w:rPr>
          <w:rFonts w:ascii="Calibri" w:hAnsi="Calibri"/>
          <w:b/>
          <w:i w:val="0"/>
          <w:sz w:val="22"/>
        </w:rPr>
        <w:br/>
        <w:t>Nivel de logro alcanzado: Sobresaliente (4.00 / 4.00)</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WMtCPu87UZAqNdGls4A4i13Nag==">CgMxLjA4AHIhMTdqaFBHa2I5azR3MVZyWUF2Y0MwbmpLekdRc195X1gz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