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31" w:name="content"/>
    <w:bookmarkStart w:id="30" w:name="speaklocal-editorial-playbook-v1"/>
    <w:p>
      <w:pPr>
        <w:pStyle w:val="Heading1"/>
      </w:pPr>
      <w:r>
        <w:t xml:space="preserve">SpeakLocal Editorial Playbook v1</w:t>
      </w:r>
    </w:p>
    <w:bookmarkStart w:id="22" w:name="editorial-philosophy-user-psychology"/>
    <w:p>
      <w:pPr>
        <w:pStyle w:val="Heading2"/>
      </w:pPr>
      <w:r>
        <w:t xml:space="preserve">1. Editorial Philosophy &amp; User Psychology</w:t>
      </w:r>
    </w:p>
    <w:p>
      <w:pPr>
        <w:pStyle w:val="FirstParagraph"/>
      </w:pPr>
      <w:r>
        <w:t xml:space="preserve">SpeakLocal isn’t just a phrasebook; it’s a travel‑confidence companion. The product’s mission is to deliver</w:t>
      </w:r>
      <w:r>
        <w:t xml:space="preserve"> </w:t>
      </w:r>
      <w:r>
        <w:rPr>
          <w:b/>
          <w:bCs/>
        </w:rPr>
        <w:t xml:space="preserve">ambient traveler intelligence</w:t>
      </w:r>
      <w:r>
        <w:t xml:space="preserve">—concise, culturally aware briefings that reduce anxiety and build anticipation for first‑time travellers, especially those going from the U.S. to Asia【turn0file1†L134-L137】. The ideal user has already booked a trip, is excited but slightly nervous, and wants to feel competent and “in the know” before arriving【turn0file1†L134-L137】.</w:t>
      </w:r>
    </w:p>
    <w:bookmarkStart w:id="21" w:name="key-characteristics-of-speaklocal-copy"/>
    <w:p>
      <w:pPr>
        <w:pStyle w:val="Heading3"/>
      </w:pPr>
      <w:r>
        <w:t xml:space="preserve">Key characteristics of SpeakLocal copy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Confidence‑building:</w:t>
      </w:r>
      <w:r>
        <w:t xml:space="preserve"> </w:t>
      </w:r>
      <w:r>
        <w:t xml:space="preserve">Focus on reducing uncertainty by describing what to expect rather than listing facts【turn0file1†L72-L78】. Copy should feel like a well‑travelled friend texting practical insights.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Culturally aware:</w:t>
      </w:r>
      <w:r>
        <w:t xml:space="preserve"> </w:t>
      </w:r>
      <w:r>
        <w:t xml:space="preserve">Assume adult intelligence and respect local context; avoid patronizing or over‑explaining【turn0file0†L145-L151】.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Calm and concise:</w:t>
      </w:r>
      <w:r>
        <w:t xml:space="preserve"> </w:t>
      </w:r>
      <w:r>
        <w:t xml:space="preserve">Strive for restrained, observational writing rather than breathless travel‑blog adjectives. Avoid generic filler phrases such as</w:t>
      </w:r>
      <w:r>
        <w:t xml:space="preserve"> </w:t>
      </w:r>
      <w:r>
        <w:rPr>
          <w:i/>
          <w:iCs/>
        </w:rPr>
        <w:t xml:space="preserve">bustling</w:t>
      </w:r>
      <w:r>
        <w:t xml:space="preserve">,</w:t>
      </w:r>
      <w:r>
        <w:t xml:space="preserve"> </w:t>
      </w:r>
      <w:r>
        <w:rPr>
          <w:i/>
          <w:iCs/>
        </w:rPr>
        <w:t xml:space="preserve">vibrant</w:t>
      </w:r>
      <w:r>
        <w:t xml:space="preserve">,</w:t>
      </w:r>
      <w:r>
        <w:t xml:space="preserve"> </w:t>
      </w:r>
      <w:r>
        <w:rPr>
          <w:i/>
          <w:iCs/>
        </w:rPr>
        <w:t xml:space="preserve">must‑visit</w:t>
      </w:r>
      <w:r>
        <w:t xml:space="preserve">,</w:t>
      </w:r>
      <w:r>
        <w:t xml:space="preserve"> </w:t>
      </w:r>
      <w:r>
        <w:rPr>
          <w:i/>
          <w:iCs/>
        </w:rPr>
        <w:t xml:space="preserve">offers something for everyone</w:t>
      </w:r>
      <w:r>
        <w:t xml:space="preserve">, etc.【turn0file0†L145-L151】.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Evidence‑backed:</w:t>
      </w:r>
      <w:r>
        <w:t xml:space="preserve"> </w:t>
      </w:r>
      <w:r>
        <w:t xml:space="preserve">Ground descriptions in specific details extracted from reviews, images and primary sources before synthesizing prose【turn0file1†L96-L104】.</w:t>
      </w:r>
    </w:p>
    <w:bookmarkEnd w:id="21"/>
    <w:bookmarkEnd w:id="22"/>
    <w:bookmarkStart w:id="23" w:name="page-types-emotional-jobs"/>
    <w:p>
      <w:pPr>
        <w:pStyle w:val="Heading2"/>
      </w:pPr>
      <w:r>
        <w:t xml:space="preserve">2. Page Types &amp; Emotional Jobs</w:t>
      </w:r>
    </w:p>
    <w:p>
      <w:pPr>
        <w:pStyle w:val="FirstParagraph"/>
      </w:pPr>
      <w:r>
        <w:t xml:space="preserve">Each listing type serves a different emotional job. Tailor content and length accordingly: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Listing type</w:t>
            </w:r>
          </w:p>
        </w:tc>
        <w:tc>
          <w:tcPr/>
          <w:p>
            <w:pPr>
              <w:pStyle w:val="Compact"/>
            </w:pPr>
            <w:r>
              <w:t xml:space="preserve">Emotional job</w:t>
            </w:r>
          </w:p>
        </w:tc>
        <w:tc>
          <w:tcPr/>
          <w:p>
            <w:pPr>
              <w:pStyle w:val="Compact"/>
            </w:pPr>
            <w:r>
              <w:t xml:space="preserve">Guidance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City page</w:t>
            </w:r>
          </w:p>
        </w:tc>
        <w:tc>
          <w:tcPr/>
          <w:p>
            <w:pPr>
              <w:pStyle w:val="Compact"/>
            </w:pPr>
            <w:r>
              <w:t xml:space="preserve">Orient and reassure travelers. Provide atmosphere and context so users can mentally map the city and reduce pre‑arrival anxiety.</w:t>
            </w:r>
          </w:p>
        </w:tc>
        <w:tc>
          <w:tcPr/>
          <w:p>
            <w:pPr>
              <w:pStyle w:val="Compact"/>
            </w:pPr>
            <w:r>
              <w:t xml:space="preserve">Highlight vibe, core districts, and why people go. Avoid encyclopedic history【turn0file0†L68-L93】.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Café / restaurant</w:t>
            </w:r>
          </w:p>
        </w:tc>
        <w:tc>
          <w:tcPr/>
          <w:p>
            <w:pPr>
              <w:pStyle w:val="Compact"/>
            </w:pPr>
            <w:r>
              <w:t xml:space="preserve">Set expectations and teach choice. Help travelers understand the vibe and how to order.</w:t>
            </w:r>
          </w:p>
        </w:tc>
        <w:tc>
          <w:tcPr/>
          <w:p>
            <w:pPr>
              <w:pStyle w:val="Compact"/>
            </w:pPr>
            <w:r>
              <w:t xml:space="preserve">Mention why locals like it, best moments (e.g., morning vs. evening), and one signature item to try【turn0file1†L72-L78】.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Street / transit station</w:t>
            </w:r>
          </w:p>
        </w:tc>
        <w:tc>
          <w:tcPr/>
          <w:p>
            <w:pPr>
              <w:pStyle w:val="Compact"/>
            </w:pPr>
            <w:r>
              <w:t xml:space="preserve">Build familiarity and pronunciation confidence.</w:t>
            </w:r>
          </w:p>
        </w:tc>
        <w:tc>
          <w:tcPr/>
          <w:p>
            <w:pPr>
              <w:pStyle w:val="Compact"/>
            </w:pPr>
            <w:r>
              <w:t xml:space="preserve">Provide name pronunciation, reason to know it (e.g., major hub), and one situational tip.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Food / dish</w:t>
            </w:r>
          </w:p>
        </w:tc>
        <w:tc>
          <w:tcPr/>
          <w:p>
            <w:pPr>
              <w:pStyle w:val="Compact"/>
            </w:pPr>
            <w:r>
              <w:t xml:space="preserve">Remove intimidation and encourage exploration.</w:t>
            </w:r>
          </w:p>
        </w:tc>
        <w:tc>
          <w:tcPr/>
          <w:p>
            <w:pPr>
              <w:pStyle w:val="Compact"/>
            </w:pPr>
            <w:r>
              <w:t xml:space="preserve">Describe flavor profile, how to order or eat it, and social context.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Landmark / district</w:t>
            </w:r>
          </w:p>
        </w:tc>
        <w:tc>
          <w:tcPr/>
          <w:p>
            <w:pPr>
              <w:pStyle w:val="Compact"/>
            </w:pPr>
            <w:r>
              <w:t xml:space="preserve">Spark curiosity and situate the landmark within its neighborhood.</w:t>
            </w:r>
          </w:p>
        </w:tc>
        <w:tc>
          <w:tcPr/>
          <w:p>
            <w:pPr>
              <w:pStyle w:val="Compact"/>
            </w:pPr>
            <w:r>
              <w:t xml:space="preserve">Give a single evocative detail that explains its significance and why travelers might care.</w:t>
            </w:r>
          </w:p>
        </w:tc>
      </w:tr>
    </w:tbl>
    <w:p>
      <w:pPr>
        <w:pStyle w:val="BodyText"/>
      </w:pPr>
      <w:r>
        <w:rPr>
          <w:i/>
          <w:iCs/>
        </w:rPr>
        <w:t xml:space="preserve">If a listing doesn’t need deep context (e.g., a street or single dish), a single insight, pronunciation aid, or expectation cue may suffice. Restraint is premium.</w:t>
      </w:r>
    </w:p>
    <w:bookmarkEnd w:id="23"/>
    <w:bookmarkStart w:id="24" w:name="banned-patterns-and-words"/>
    <w:p>
      <w:pPr>
        <w:pStyle w:val="Heading2"/>
      </w:pPr>
      <w:r>
        <w:t xml:space="preserve">3. Banned Patterns and Words</w:t>
      </w:r>
    </w:p>
    <w:p>
      <w:pPr>
        <w:pStyle w:val="FirstParagraph"/>
      </w:pPr>
      <w:r>
        <w:t xml:space="preserve">Avoid structures and phrases that make copy feel generic or artificial. Examples of banned words/phrases include:</w:t>
      </w:r>
    </w:p>
    <w:p>
      <w:pPr>
        <w:pStyle w:val="Compact"/>
        <w:numPr>
          <w:ilvl w:val="0"/>
          <w:numId w:val="1002"/>
        </w:numPr>
      </w:pPr>
      <w:r>
        <w:t xml:space="preserve">“bustling”, “vibrant”, “nestled”, “offers something for everyone”, “rich culture”, “must‑visit”, “hidden gem”【turn0file0†L145-L151】.</w:t>
      </w:r>
    </w:p>
    <w:p>
      <w:pPr>
        <w:pStyle w:val="Compact"/>
        <w:numPr>
          <w:ilvl w:val="0"/>
          <w:numId w:val="1002"/>
        </w:numPr>
      </w:pPr>
      <w:r>
        <w:t xml:space="preserve">Wikipedia‑style explanations or marketing copy (“serves coffee and pastries in central…”)【turn0file1†L72-L78】.</w:t>
      </w:r>
    </w:p>
    <w:p>
      <w:pPr>
        <w:pStyle w:val="Compact"/>
        <w:numPr>
          <w:ilvl w:val="0"/>
          <w:numId w:val="1002"/>
        </w:numPr>
      </w:pPr>
      <w:r>
        <w:t xml:space="preserve">Overly enthusiastic or poetic language that isn’t grounded in evidence.</w:t>
      </w:r>
    </w:p>
    <w:p>
      <w:pPr>
        <w:pStyle w:val="Compact"/>
        <w:numPr>
          <w:ilvl w:val="0"/>
          <w:numId w:val="1002"/>
        </w:numPr>
      </w:pPr>
      <w:r>
        <w:t xml:space="preserve">Copy that would fit another venue simply by swapping the name. If the description could apply elsewhere, rewrite it to include place‑specific details【turn0file0†L145-L151】.</w:t>
      </w:r>
    </w:p>
    <w:bookmarkEnd w:id="24"/>
    <w:bookmarkStart w:id="25" w:name="desired-tone-and-style"/>
    <w:p>
      <w:pPr>
        <w:pStyle w:val="Heading2"/>
      </w:pPr>
      <w:r>
        <w:t xml:space="preserve">4. Desired Tone and Style</w:t>
      </w:r>
    </w:p>
    <w:p>
      <w:pPr>
        <w:pStyle w:val="FirstParagraph"/>
      </w:pPr>
      <w:r>
        <w:t xml:space="preserve">Good SpeakLocal copy should feel: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Observational and specific:</w:t>
      </w:r>
      <w:r>
        <w:t xml:space="preserve"> </w:t>
      </w:r>
      <w:r>
        <w:t xml:space="preserve">Draw on concrete details such as seating style, noise level, ordering rituals, or timing cues. This “specificity density” helps eliminate replaceable copy【turn0file0†L145-L151】.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Calm and quietly confident:</w:t>
      </w:r>
      <w:r>
        <w:t xml:space="preserve"> </w:t>
      </w:r>
      <w:r>
        <w:t xml:space="preserve">Speak like someone who knows the place intimately; avoid hype or melodrama【turn0file1†L134-L137】.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Traveler‑first:</w:t>
      </w:r>
      <w:r>
        <w:t xml:space="preserve"> </w:t>
      </w:r>
      <w:r>
        <w:t xml:space="preserve">Focus on what a traveler needs to know to feel comfortable and engaged, not on exhaustive facts or history【turn0file1†L72-L78】.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Emotionally grounded:</w:t>
      </w:r>
      <w:r>
        <w:t xml:space="preserve"> </w:t>
      </w:r>
      <w:r>
        <w:t xml:space="preserve">Convey atmosphere (“cooler inside than the street outside”) and social rhythms (“laptop workers in the morning”) rather than generic adjectives【turn0file1†L72-L78】.</w:t>
      </w:r>
    </w:p>
    <w:bookmarkEnd w:id="25"/>
    <w:bookmarkStart w:id="27" w:name="modular-structure-evidencefirst-approach"/>
    <w:p>
      <w:pPr>
        <w:pStyle w:val="Heading2"/>
      </w:pPr>
      <w:r>
        <w:t xml:space="preserve">5. Modular Structure &amp; Evidence‑First Approach</w:t>
      </w:r>
    </w:p>
    <w:p>
      <w:pPr>
        <w:pStyle w:val="FirstParagraph"/>
      </w:pPr>
      <w:r>
        <w:t xml:space="preserve">Use a modular structure that delivers brief, focused insights. Not every listing needs all modules; choose only those relevant to the listing. Suggested modules include【turn0file0†L68-L93】: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go:</w:t>
      </w:r>
      <w:r>
        <w:t xml:space="preserve"> </w:t>
      </w:r>
      <w:r>
        <w:t xml:space="preserve">One sentence explaining why a traveler might care about this place.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it feels like:</w:t>
      </w:r>
      <w:r>
        <w:t xml:space="preserve"> </w:t>
      </w:r>
      <w:r>
        <w:t xml:space="preserve">Describe the vibe/atmosphere in a sensory way.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to order or try first:</w:t>
      </w:r>
      <w:r>
        <w:t xml:space="preserve"> </w:t>
      </w:r>
      <w:r>
        <w:t xml:space="preserve">For cafés, restaurants, or food items, give guidance on signature choices【turn0file1†L72-L78】.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Best moment:</w:t>
      </w:r>
      <w:r>
        <w:t xml:space="preserve"> </w:t>
      </w:r>
      <w:r>
        <w:t xml:space="preserve">Highlight a time of day or condition when the place shines (e.g., rainy afternoon, sunrise, quiet weekdays).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Neighborhood context:</w:t>
      </w:r>
      <w:r>
        <w:t xml:space="preserve"> </w:t>
      </w:r>
      <w:r>
        <w:t xml:space="preserve">Explain briefly how the place fits into its area or how to combine it with nearby spots.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Useful phrase(s):</w:t>
      </w:r>
      <w:r>
        <w:t xml:space="preserve"> </w:t>
      </w:r>
      <w:r>
        <w:t xml:space="preserve">Provide one or two local phrases that would be helpful at this venue.</w:t>
      </w:r>
    </w:p>
    <w:bookmarkStart w:id="26" w:name="evidencefirst-generation"/>
    <w:p>
      <w:pPr>
        <w:pStyle w:val="Heading3"/>
      </w:pPr>
      <w:r>
        <w:t xml:space="preserve">Evidence‑first generation</w:t>
      </w:r>
    </w:p>
    <w:p>
      <w:pPr>
        <w:pStyle w:val="FirstParagraph"/>
      </w:pPr>
      <w:r>
        <w:t xml:space="preserve">Rather than asking a model to invent prose and facts in one step, SpeakLocal should</w:t>
      </w:r>
      <w:r>
        <w:t xml:space="preserve"> </w:t>
      </w:r>
      <w:r>
        <w:rPr>
          <w:b/>
          <w:bCs/>
        </w:rPr>
        <w:t xml:space="preserve">extract evidence first</w:t>
      </w:r>
      <w:r>
        <w:t xml:space="preserve">—reviews, photos, operating data—and then synthesize concise observations【turn0file1†L96-L104】. This prevents hallucination and ensures copy remains grounded in reality. Implement a two‑stage pipeline: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Observation extraction:</w:t>
      </w:r>
      <w:r>
        <w:t xml:space="preserve"> </w:t>
      </w:r>
      <w:r>
        <w:t xml:space="preserve">Pull specific details (e.g., “laptop workers”, “strong Vietnamese coffee”, “cooler inside”).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Briefing synthesis:</w:t>
      </w:r>
      <w:r>
        <w:t xml:space="preserve"> </w:t>
      </w:r>
      <w:r>
        <w:t xml:space="preserve">Assemble these details into the modules above. The final copy should read fluidly, but remain tightly tied to the extracted observations.</w:t>
      </w:r>
    </w:p>
    <w:bookmarkEnd w:id="26"/>
    <w:bookmarkEnd w:id="27"/>
    <w:bookmarkStart w:id="28" w:name="validation-specificity-metrics"/>
    <w:p>
      <w:pPr>
        <w:pStyle w:val="Heading2"/>
      </w:pPr>
      <w:r>
        <w:t xml:space="preserve">6. Validation &amp; Specificity Metrics</w:t>
      </w:r>
    </w:p>
    <w:p>
      <w:pPr>
        <w:pStyle w:val="FirstParagraph"/>
      </w:pPr>
      <w:r>
        <w:t xml:space="preserve">To maintain quality at scale, build validators around the following principles: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Place specificity:</w:t>
      </w:r>
      <w:r>
        <w:t xml:space="preserve"> </w:t>
      </w:r>
      <w:r>
        <w:t xml:space="preserve">Ensure each description contains details that could not apply to another venue. If removing the venue name doesn’t materially change the description, rewrite it【turn0file0†L145-L151】.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Evidence alignment:</w:t>
      </w:r>
      <w:r>
        <w:t xml:space="preserve"> </w:t>
      </w:r>
      <w:r>
        <w:t xml:space="preserve">Check that each statement is supported by extracted evidence. Avoid summarizing beyond what the evidence shows【turn0file1†L96-L104】.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Tone compliance:</w:t>
      </w:r>
      <w:r>
        <w:t xml:space="preserve"> </w:t>
      </w:r>
      <w:r>
        <w:t xml:space="preserve">Reject copy containing banned words/phrases or overt hype.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Length restraint:</w:t>
      </w:r>
      <w:r>
        <w:t xml:space="preserve"> </w:t>
      </w:r>
      <w:r>
        <w:t xml:space="preserve">Some listings (e.g., streets, single menu items) may only need a single line. Default to less rather than more.</w:t>
      </w:r>
    </w:p>
    <w:bookmarkEnd w:id="28"/>
    <w:bookmarkStart w:id="29" w:name="next-steps"/>
    <w:p>
      <w:pPr>
        <w:pStyle w:val="Heading2"/>
      </w:pPr>
      <w:r>
        <w:t xml:space="preserve">7. Next Steps</w:t>
      </w:r>
    </w:p>
    <w:p>
      <w:pPr>
        <w:pStyle w:val="FirstParagraph"/>
      </w:pPr>
      <w:r>
        <w:t xml:space="preserve">With this Playbook in place, the next tasks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Gold‑standard examples:</w:t>
      </w:r>
      <w:r>
        <w:t xml:space="preserve"> </w:t>
      </w:r>
      <w:r>
        <w:t xml:space="preserve">Manually craft a set of exemplary listings across categories (city, café, food, district, landmark, street) using this framework. These will become canonical anchors for future generations and validator tuning.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Pipeline design:</w:t>
      </w:r>
      <w:r>
        <w:t xml:space="preserve"> </w:t>
      </w:r>
      <w:r>
        <w:t xml:space="preserve">Update your generation pipeline to implement the evidence‑first approach, the modular structure, and validators described above.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Continuous refinement:</w:t>
      </w:r>
      <w:r>
        <w:t xml:space="preserve"> </w:t>
      </w:r>
      <w:r>
        <w:t xml:space="preserve">Collect user feedback and real traveler observations to refine banned patterns and modules over time.</w:t>
      </w:r>
    </w:p>
    <w:p>
      <w:pPr>
        <w:pStyle w:val="FirstParagraph"/>
      </w:pPr>
      <w:r>
        <w:t xml:space="preserve">By following this Playbook, SpeakLocal can scale traveler‑first content without sacrificing trust or authenticity【turn0file1†L72-L78】.</w:t>
      </w:r>
    </w:p>
    <w:bookmarkEnd w:id="29"/>
    <w:bookmarkEnd w:id="30"/>
    <w:bookmarkEnd w:id="31"/>
    <w:p>
      <w:r>
        <w:pict>
          <v:rect style="width:0;height:1.5pt" o:hralign="center" o:hrstd="t" o:hr="t"/>
        </w:pict>
      </w:r>
    </w:p>
    <w:bookmarkStart w:id="32" w:name="citations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2026-05-20T15:35:41Z</dcterms:created>
  <dcterms:modified xsi:type="dcterms:W3CDTF">2026-05-20T15:35:41Z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