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Transportation Network Operations &amp; Delivery Performance Analysis</w:t>
      </w:r>
    </w:p>
    <w:p>
      <w:pPr>
        <w:spacing w:before="120" w:after="240"/>
        <w:jc w:val="center"/>
      </w:pPr>
      <w:r>
        <w:rPr>
          <w:i/>
          <w:iCs/>
          <w:sz w:val="24"/>
          <w:szCs w:val="24"/>
        </w:rPr>
        <w:t xml:space="preserve">DataCo Supply Chain - Strategic Analysis for Amazon Transportation Optimization</w:t>
      </w:r>
    </w:p>
    <w:p>
      <w:r>
        <w:t xml:space="preserve"/>
      </w:r>
    </w:p>
    <w:p>
      <w:pPr>
        <w:spacing w:before="600"/>
        <w:jc w:val="center"/>
      </w:pPr>
      <w:r>
        <w:rPr>
          <w:b/>
          <w:bCs/>
          <w:sz w:val="24"/>
          <w:szCs w:val="24"/>
        </w:rPr>
        <w:t xml:space="preserve">Prepared by: Samiya Islam</w:t>
      </w:r>
    </w:p>
    <w:p>
      <w:pPr>
        <w:spacing w:after="120"/>
        <w:jc w:val="center"/>
      </w:pPr>
      <w:r>
        <w:rPr>
          <w:sz w:val="22"/>
          <w:szCs w:val="22"/>
        </w:rPr>
        <w:t xml:space="preserve">December 2024</w:t>
      </w:r>
    </w:p>
    <w:p>
      <w:pPr>
        <w:spacing w:after="600"/>
        <w:jc w:val="center"/>
      </w:pPr>
      <w:r>
        <w:rPr>
          <w:i/>
          <w:iCs/>
          <w:sz w:val="20"/>
          <w:szCs w:val="20"/>
        </w:rPr>
        <w:t xml:space="preserve">Dataset: DataCo Smart Supply Chain</w:t>
      </w:r>
    </w:p>
    <w:p>
      <w:pPr>
        <w:jc w:val="center"/>
      </w:pPr>
      <w:r>
        <w:rPr>
          <w:i/>
          <w:iCs/>
          <w:sz w:val="20"/>
          <w:szCs w:val="20"/>
        </w:rPr>
        <w:t xml:space="preserve">180,519 Shipment Records | 53 Variables</w:t>
      </w:r>
    </w:p>
    <w:p>
      <w:r>
        <w:br w:type="page"/>
      </w:r>
    </w:p>
    <w:p>
      <w:pPr>
        <w:pStyle w:val="Heading1"/>
      </w:pPr>
      <w:r>
        <w:t xml:space="preserve">Executive Summary</w:t>
      </w:r>
    </w:p>
    <w:p>
      <w:pPr>
        <w:spacing w:after="180"/>
      </w:pPr>
      <w:r>
        <w:t xml:space="preserve">This analysis examines transportation network performance across 180,519 shipment records to identify operational inefficiencies, reduce late deliveries, and optimize shipping mode allocation. The insights directly support Amazon Transportation Execution &amp; Systems Team objectives for continuous improvement in North American transportation networks.</w:t>
      </w:r>
    </w:p>
    <w:p>
      <w:pPr>
        <w:pStyle w:val="Heading2"/>
      </w:pPr>
      <w:r>
        <w:t xml:space="preserve">Key Performance Indicators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r>
              <w:t xml:space="preserve">Total Shipments Analyzed</w:t>
            </w:r>
          </w:p>
        </w:tc>
        <w:tc>
          <w:tcPr>
            <w:tcW w:type="dxa" w:w="4680"/>
            <w:tcBorders>
              <w:top w:val="single" w:color="CCCCCC" w:sz="1"/>
              <w:left w:val="single" w:color="CCCCCC" w:sz="1"/>
              <w:bottom w:val="single" w:color="CCCCCC" w:sz="1"/>
              <w:right w:val="single" w:color="CCCCCC" w:sz="1"/>
            </w:tcBorders>
          </w:tcPr>
          <w:p>
            <w:r>
              <w:rPr>
                <w:b/>
                <w:bCs/>
              </w:rPr>
              <w:t xml:space="preserve">180,519</w:t>
            </w:r>
          </w:p>
        </w:tc>
      </w:tr>
      <w:tr>
        <w:tc>
          <w:tcPr>
            <w:tcW w:type="dxa" w:w="4680"/>
            <w:tcBorders>
              <w:top w:val="single" w:color="CCCCCC" w:sz="1"/>
              <w:left w:val="single" w:color="CCCCCC" w:sz="1"/>
              <w:bottom w:val="single" w:color="CCCCCC" w:sz="1"/>
              <w:right w:val="single" w:color="CCCCCC" w:sz="1"/>
            </w:tcBorders>
          </w:tcPr>
          <w:p>
            <w:r>
              <w:t xml:space="preserve">Overall Late Delivery Rate</w:t>
            </w:r>
          </w:p>
        </w:tc>
        <w:tc>
          <w:tcPr>
            <w:tcW w:type="dxa" w:w="4680"/>
            <w:tcBorders>
              <w:top w:val="single" w:color="CCCCCC" w:sz="1"/>
              <w:left w:val="single" w:color="CCCCCC" w:sz="1"/>
              <w:bottom w:val="single" w:color="CCCCCC" w:sz="1"/>
              <w:right w:val="single" w:color="CCCCCC" w:sz="1"/>
            </w:tcBorders>
          </w:tcPr>
          <w:p>
            <w:r>
              <w:rPr>
                <w:b/>
                <w:bCs/>
                <w:color w:val="E74C3C"/>
              </w:rPr>
              <w:t xml:space="preserve">54.8%</w:t>
            </w:r>
          </w:p>
        </w:tc>
      </w:tr>
      <w:tr>
        <w:tc>
          <w:tcPr>
            <w:tcW w:type="dxa" w:w="4680"/>
            <w:tcBorders>
              <w:top w:val="single" w:color="CCCCCC" w:sz="1"/>
              <w:left w:val="single" w:color="CCCCCC" w:sz="1"/>
              <w:bottom w:val="single" w:color="CCCCCC" w:sz="1"/>
              <w:right w:val="single" w:color="CCCCCC" w:sz="1"/>
            </w:tcBorders>
          </w:tcPr>
          <w:p>
            <w:r>
              <w:t xml:space="preserve">Average Delivery Time</w:t>
            </w:r>
          </w:p>
        </w:tc>
        <w:tc>
          <w:tcPr>
            <w:tcW w:type="dxa" w:w="4680"/>
            <w:tcBorders>
              <w:top w:val="single" w:color="CCCCCC" w:sz="1"/>
              <w:left w:val="single" w:color="CCCCCC" w:sz="1"/>
              <w:bottom w:val="single" w:color="CCCCCC" w:sz="1"/>
              <w:right w:val="single" w:color="CCCCCC" w:sz="1"/>
            </w:tcBorders>
          </w:tcPr>
          <w:p>
            <w:r>
              <w:rPr>
                <w:b/>
                <w:bCs/>
              </w:rPr>
              <w:t xml:space="preserve">2.95 days</w:t>
            </w:r>
          </w:p>
        </w:tc>
      </w:tr>
      <w:tr>
        <w:tc>
          <w:tcPr>
            <w:tcW w:type="dxa" w:w="4680"/>
            <w:tcBorders>
              <w:top w:val="single" w:color="CCCCCC" w:sz="1"/>
              <w:left w:val="single" w:color="CCCCCC" w:sz="1"/>
              <w:bottom w:val="single" w:color="CCCCCC" w:sz="1"/>
              <w:right w:val="single" w:color="CCCCCC" w:sz="1"/>
            </w:tcBorders>
          </w:tcPr>
          <w:p>
            <w:r>
              <w:t xml:space="preserve">Predictive Model AUC-ROC</w:t>
            </w:r>
          </w:p>
        </w:tc>
        <w:tc>
          <w:tcPr>
            <w:tcW w:type="dxa" w:w="4680"/>
            <w:tcBorders>
              <w:top w:val="single" w:color="CCCCCC" w:sz="1"/>
              <w:left w:val="single" w:color="CCCCCC" w:sz="1"/>
              <w:bottom w:val="single" w:color="CCCCCC" w:sz="1"/>
              <w:right w:val="single" w:color="CCCCCC" w:sz="1"/>
            </w:tcBorders>
          </w:tcPr>
          <w:p>
            <w:r>
              <w:rPr>
                <w:b/>
                <w:bCs/>
                <w:color w:val="27AE60"/>
              </w:rPr>
              <w:t xml:space="preserve">0.87 (87% accuracy)</w:t>
            </w:r>
          </w:p>
        </w:tc>
      </w:tr>
      <w:tr>
        <w:tc>
          <w:tcPr>
            <w:tcW w:type="dxa" w:w="4680"/>
            <w:tcBorders>
              <w:top w:val="single" w:color="CCCCCC" w:sz="1"/>
              <w:left w:val="single" w:color="CCCCCC" w:sz="1"/>
              <w:bottom w:val="single" w:color="CCCCCC" w:sz="1"/>
              <w:right w:val="single" w:color="CCCCCC" w:sz="1"/>
            </w:tcBorders>
          </w:tcPr>
          <w:p>
            <w:r>
              <w:t xml:space="preserve">Geographic Coverage</w:t>
            </w:r>
          </w:p>
        </w:tc>
        <w:tc>
          <w:tcPr>
            <w:tcW w:type="dxa" w:w="4680"/>
            <w:tcBorders>
              <w:top w:val="single" w:color="CCCCCC" w:sz="1"/>
              <w:left w:val="single" w:color="CCCCCC" w:sz="1"/>
              <w:bottom w:val="single" w:color="CCCCCC" w:sz="1"/>
              <w:right w:val="single" w:color="CCCCCC" w:sz="1"/>
            </w:tcBorders>
          </w:tcPr>
          <w:p>
            <w:r>
              <w:rPr>
                <w:b/>
                <w:bCs/>
              </w:rPr>
              <w:t xml:space="preserve">50+ States &amp; Territories</w:t>
            </w:r>
          </w:p>
        </w:tc>
      </w:tr>
    </w:tbl>
    <w:p>
      <w:pPr>
        <w:spacing w:before="300" w:after="180"/>
      </w:pPr>
      <w:r>
        <w:rPr>
          <w:b/>
          <w:bCs/>
          <w:color w:val="E74C3C"/>
        </w:rPr>
        <w:t xml:space="preserve">Critical Finding: </w:t>
      </w:r>
      <w:r>
        <w:t xml:space="preserve">Over half of all shipments experience late delivery, representing significant operational inefficiency and customer satisfaction risk. Strategic interventions could reduce late deliveries by 15-25% through targeted shipping mode optimization and route redesign.</w:t>
      </w:r>
    </w:p>
    <w:p>
      <w:r>
        <w:br w:type="page"/>
      </w:r>
    </w:p>
    <w:p>
      <w:pPr>
        <w:pStyle w:val="Heading1"/>
      </w:pPr>
      <w:r>
        <w:t xml:space="preserve">Business Objectives &amp; Analysis Scope</w:t>
      </w:r>
    </w:p>
    <w:p>
      <w:pPr>
        <w:spacing w:after="180"/>
      </w:pPr>
      <w:r>
        <w:t xml:space="preserve">This analysis directly addresses Amazon Transportation Execution &amp; Systems Team priorities:</w:t>
      </w:r>
    </w:p>
    <w:p>
      <w:pPr>
        <w:pStyle w:val="ListParagraph"/>
        <w:numPr>
          <w:ilvl w:val="0"/>
          <w:numId w:val="2"/>
        </w:numPr>
      </w:pPr>
      <w:r>
        <w:rPr>
          <w:b/>
          <w:bCs/>
        </w:rPr>
        <w:t xml:space="preserve">Drive continuous improvement </w:t>
      </w:r>
      <w:r>
        <w:t xml:space="preserve">by identifying ways to streamline processes and reduce waste</w:t>
      </w:r>
    </w:p>
    <w:p>
      <w:pPr>
        <w:pStyle w:val="ListParagraph"/>
        <w:numPr>
          <w:ilvl w:val="0"/>
          <w:numId w:val="2"/>
        </w:numPr>
      </w:pPr>
      <w:r>
        <w:rPr>
          <w:b/>
          <w:bCs/>
        </w:rPr>
        <w:t xml:space="preserve">Problem solve and design solutions </w:t>
      </w:r>
      <w:r>
        <w:t xml:space="preserve">for transportation network bottlenecks</w:t>
      </w:r>
    </w:p>
    <w:p>
      <w:pPr>
        <w:pStyle w:val="ListParagraph"/>
        <w:numPr>
          <w:ilvl w:val="0"/>
          <w:numId w:val="2"/>
        </w:numPr>
      </w:pPr>
      <w:r>
        <w:rPr>
          <w:b/>
          <w:bCs/>
        </w:rPr>
        <w:t xml:space="preserve">Support large scale transportation programs </w:t>
      </w:r>
      <w:r>
        <w:t xml:space="preserve">with data-driven insights</w:t>
      </w:r>
    </w:p>
    <w:p>
      <w:pPr>
        <w:pStyle w:val="ListParagraph"/>
        <w:numPr>
          <w:ilvl w:val="0"/>
          <w:numId w:val="2"/>
        </w:numPr>
      </w:pPr>
      <w:r>
        <w:rPr>
          <w:b/>
          <w:bCs/>
        </w:rPr>
        <w:t xml:space="preserve">Configure inputs driving shipping decisions </w:t>
      </w:r>
      <w:r>
        <w:t xml:space="preserve">for packages in North American network</w:t>
      </w:r>
    </w:p>
    <w:p>
      <w:pPr>
        <w:pStyle w:val="ListParagraph"/>
        <w:numPr>
          <w:ilvl w:val="0"/>
          <w:numId w:val="2"/>
        </w:numPr>
      </w:pPr>
      <w:r>
        <w:rPr>
          <w:b/>
          <w:bCs/>
        </w:rPr>
        <w:t xml:space="preserve">Maintain internal documentation </w:t>
      </w:r>
      <w:r>
        <w:t xml:space="preserve">for training and operational reference</w:t>
      </w:r>
    </w:p>
    <w:p>
      <w:pPr>
        <w:pStyle w:val="Heading2"/>
        <w:spacing w:before="360"/>
      </w:pPr>
      <w:r>
        <w:t xml:space="preserve">Methodology</w:t>
      </w:r>
    </w:p>
    <w:p>
      <w:pPr>
        <w:spacing w:after="120"/>
      </w:pPr>
      <w:r>
        <w:t xml:space="preserve">Analysis conducted using comprehensive data analytics toolkit:</w:t>
      </w:r>
    </w:p>
    <w:p>
      <w:pPr>
        <w:pStyle w:val="ListParagraph"/>
        <w:numPr>
          <w:ilvl w:val="0"/>
          <w:numId w:val="2"/>
        </w:numPr>
      </w:pPr>
      <w:r>
        <w:rPr>
          <w:b/>
          <w:bCs/>
        </w:rPr>
        <w:t xml:space="preserve">Python (Pandas, NumPy, Matplotlib, Seaborn) </w:t>
      </w:r>
      <w:r>
        <w:t xml:space="preserve">for data processing and statistical analysis</w:t>
      </w:r>
    </w:p>
    <w:p>
      <w:pPr>
        <w:pStyle w:val="ListParagraph"/>
        <w:numPr>
          <w:ilvl w:val="0"/>
          <w:numId w:val="2"/>
        </w:numPr>
      </w:pPr>
      <w:r>
        <w:rPr>
          <w:b/>
          <w:bCs/>
        </w:rPr>
        <w:t xml:space="preserve">SQL (MySQL) </w:t>
      </w:r>
      <w:r>
        <w:t xml:space="preserve">for database design, normalization, and complex queries</w:t>
      </w:r>
    </w:p>
    <w:p>
      <w:pPr>
        <w:pStyle w:val="ListParagraph"/>
        <w:numPr>
          <w:ilvl w:val="0"/>
          <w:numId w:val="2"/>
        </w:numPr>
      </w:pPr>
      <w:r>
        <w:rPr>
          <w:b/>
          <w:bCs/>
        </w:rPr>
        <w:t xml:space="preserve">Scikit-learn </w:t>
      </w:r>
      <w:r>
        <w:t xml:space="preserve">for predictive modeling and machine learning</w:t>
      </w:r>
    </w:p>
    <w:p>
      <w:pPr>
        <w:pStyle w:val="ListParagraph"/>
        <w:numPr>
          <w:ilvl w:val="0"/>
          <w:numId w:val="2"/>
        </w:numPr>
      </w:pPr>
      <w:r>
        <w:rPr>
          <w:b/>
          <w:bCs/>
        </w:rPr>
        <w:t xml:space="preserve">Advanced SQL queries </w:t>
      </w:r>
      <w:r>
        <w:t xml:space="preserve">for geographic, product category, and route analysis</w:t>
      </w:r>
    </w:p>
    <w:p>
      <w:r>
        <w:br w:type="page"/>
      </w:r>
    </w:p>
    <w:p>
      <w:pPr>
        <w:pStyle w:val="Heading1"/>
      </w:pPr>
      <w:r>
        <w:t xml:space="preserve">Key Findings &amp; Insights</w:t>
      </w:r>
    </w:p>
    <w:p>
      <w:pPr>
        <w:pStyle w:val="Heading2"/>
      </w:pPr>
      <w:r>
        <w:t xml:space="preserve">1. Shipping Mode Performance Reveals Optimization Opportunities</w:t>
      </w:r>
    </w:p>
    <w:p>
      <w:pPr>
        <w:spacing w:after="180"/>
      </w:pPr>
      <w:r>
        <w:t xml:space="preserve">Analysis of shipping modes reveals significant variation in late delivery rates, suggesting opportunities for strategic reallocation: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0"/>
                <w:szCs w:val="20"/>
              </w:rPr>
              <w:t xml:space="preserve">Shipping Mode</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0"/>
                <w:szCs w:val="20"/>
              </w:rPr>
              <w:t xml:space="preserve">Late Delivery Rate</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0"/>
                <w:szCs w:val="20"/>
              </w:rPr>
              <w:t xml:space="preserve">Avg Delivery Time</w:t>
            </w:r>
          </w:p>
        </w:tc>
      </w:tr>
      <w:tr>
        <w:tc>
          <w:tcPr>
            <w:tcW w:type="dxa" w:w="3120"/>
            <w:tcBorders>
              <w:top w:val="single" w:color="CCCCCC" w:sz="1"/>
              <w:left w:val="single" w:color="CCCCCC" w:sz="1"/>
              <w:bottom w:val="single" w:color="CCCCCC" w:sz="1"/>
              <w:right w:val="single" w:color="CCCCCC" w:sz="1"/>
            </w:tcBorders>
          </w:tcPr>
          <w:p>
            <w:r>
              <w:t xml:space="preserve">Standard Class</w:t>
            </w:r>
          </w:p>
        </w:tc>
        <w:tc>
          <w:tcPr>
            <w:tcW w:type="dxa" w:w="3120"/>
            <w:tcBorders>
              <w:top w:val="single" w:color="CCCCCC" w:sz="1"/>
              <w:left w:val="single" w:color="CCCCCC" w:sz="1"/>
              <w:bottom w:val="single" w:color="CCCCCC" w:sz="1"/>
              <w:right w:val="single" w:color="CCCCCC" w:sz="1"/>
            </w:tcBorders>
            <w:shd w:fill="FADBD8" w:val="clear"/>
          </w:tcPr>
          <w:p>
            <w:pPr>
              <w:jc w:val="center"/>
            </w:pPr>
            <w:r>
              <w:rPr>
                <w:b/>
                <w:bCs/>
                <w:color w:val="C0392B"/>
              </w:rPr>
              <w:t xml:space="preserve">68.2%</w:t>
            </w:r>
          </w:p>
        </w:tc>
        <w:tc>
          <w:tcPr>
            <w:tcW w:type="dxa" w:w="3120"/>
            <w:tcBorders>
              <w:top w:val="single" w:color="CCCCCC" w:sz="1"/>
              <w:left w:val="single" w:color="CCCCCC" w:sz="1"/>
              <w:bottom w:val="single" w:color="CCCCCC" w:sz="1"/>
              <w:right w:val="single" w:color="CCCCCC" w:sz="1"/>
            </w:tcBorders>
          </w:tcPr>
          <w:p>
            <w:pPr>
              <w:jc w:val="center"/>
            </w:pPr>
            <w:r>
              <w:t xml:space="preserve">4.1 days</w:t>
            </w:r>
          </w:p>
        </w:tc>
      </w:tr>
      <w:tr>
        <w:tc>
          <w:tcPr>
            <w:tcW w:type="dxa" w:w="3120"/>
            <w:tcBorders>
              <w:top w:val="single" w:color="CCCCCC" w:sz="1"/>
              <w:left w:val="single" w:color="CCCCCC" w:sz="1"/>
              <w:bottom w:val="single" w:color="CCCCCC" w:sz="1"/>
              <w:right w:val="single" w:color="CCCCCC" w:sz="1"/>
            </w:tcBorders>
          </w:tcPr>
          <w:p>
            <w:r>
              <w:t xml:space="preserve">Second Class</w:t>
            </w:r>
          </w:p>
        </w:tc>
        <w:tc>
          <w:tcPr>
            <w:tcW w:type="dxa" w:w="3120"/>
            <w:tcBorders>
              <w:top w:val="single" w:color="CCCCCC" w:sz="1"/>
              <w:left w:val="single" w:color="CCCCCC" w:sz="1"/>
              <w:bottom w:val="single" w:color="CCCCCC" w:sz="1"/>
              <w:right w:val="single" w:color="CCCCCC" w:sz="1"/>
            </w:tcBorders>
          </w:tcPr>
          <w:p>
            <w:pPr>
              <w:jc w:val="center"/>
            </w:pPr>
            <w:r>
              <w:t xml:space="preserve">58.4%</w:t>
            </w:r>
          </w:p>
        </w:tc>
        <w:tc>
          <w:tcPr>
            <w:tcW w:type="dxa" w:w="3120"/>
            <w:tcBorders>
              <w:top w:val="single" w:color="CCCCCC" w:sz="1"/>
              <w:left w:val="single" w:color="CCCCCC" w:sz="1"/>
              <w:bottom w:val="single" w:color="CCCCCC" w:sz="1"/>
              <w:right w:val="single" w:color="CCCCCC" w:sz="1"/>
            </w:tcBorders>
          </w:tcPr>
          <w:p>
            <w:pPr>
              <w:jc w:val="center"/>
            </w:pPr>
            <w:r>
              <w:t xml:space="preserve">3.2 days</w:t>
            </w:r>
          </w:p>
        </w:tc>
      </w:tr>
      <w:tr>
        <w:tc>
          <w:tcPr>
            <w:tcW w:type="dxa" w:w="3120"/>
            <w:tcBorders>
              <w:top w:val="single" w:color="CCCCCC" w:sz="1"/>
              <w:left w:val="single" w:color="CCCCCC" w:sz="1"/>
              <w:bottom w:val="single" w:color="CCCCCC" w:sz="1"/>
              <w:right w:val="single" w:color="CCCCCC" w:sz="1"/>
            </w:tcBorders>
          </w:tcPr>
          <w:p>
            <w:r>
              <w:t xml:space="preserve">First Class</w:t>
            </w:r>
          </w:p>
        </w:tc>
        <w:tc>
          <w:tcPr>
            <w:tcW w:type="dxa" w:w="312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32.1%</w:t>
            </w:r>
          </w:p>
        </w:tc>
        <w:tc>
          <w:tcPr>
            <w:tcW w:type="dxa" w:w="3120"/>
            <w:tcBorders>
              <w:top w:val="single" w:color="CCCCCC" w:sz="1"/>
              <w:left w:val="single" w:color="CCCCCC" w:sz="1"/>
              <w:bottom w:val="single" w:color="CCCCCC" w:sz="1"/>
              <w:right w:val="single" w:color="CCCCCC" w:sz="1"/>
            </w:tcBorders>
          </w:tcPr>
          <w:p>
            <w:pPr>
              <w:jc w:val="center"/>
            </w:pPr>
            <w:r>
              <w:t xml:space="preserve">1.8 days</w:t>
            </w:r>
          </w:p>
        </w:tc>
      </w:tr>
      <w:tr>
        <w:tc>
          <w:tcPr>
            <w:tcW w:type="dxa" w:w="3120"/>
            <w:tcBorders>
              <w:top w:val="single" w:color="CCCCCC" w:sz="1"/>
              <w:left w:val="single" w:color="CCCCCC" w:sz="1"/>
              <w:bottom w:val="single" w:color="CCCCCC" w:sz="1"/>
              <w:right w:val="single" w:color="CCCCCC" w:sz="1"/>
            </w:tcBorders>
          </w:tcPr>
          <w:p>
            <w:r>
              <w:t xml:space="preserve">Same Day</w:t>
            </w:r>
          </w:p>
        </w:tc>
        <w:tc>
          <w:tcPr>
            <w:tcW w:type="dxa" w:w="312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12.5%</w:t>
            </w:r>
          </w:p>
        </w:tc>
        <w:tc>
          <w:tcPr>
            <w:tcW w:type="dxa" w:w="3120"/>
            <w:tcBorders>
              <w:top w:val="single" w:color="CCCCCC" w:sz="1"/>
              <w:left w:val="single" w:color="CCCCCC" w:sz="1"/>
              <w:bottom w:val="single" w:color="CCCCCC" w:sz="1"/>
              <w:right w:val="single" w:color="CCCCCC" w:sz="1"/>
            </w:tcBorders>
          </w:tcPr>
          <w:p>
            <w:pPr>
              <w:jc w:val="center"/>
            </w:pPr>
            <w:r>
              <w:t xml:space="preserve">0.9 days</w:t>
            </w:r>
          </w:p>
        </w:tc>
      </w:tr>
    </w:tbl>
    <w:p>
      <w:pPr>
        <w:spacing w:before="180" w:after="180"/>
      </w:pPr>
      <w:r>
        <w:rPr>
          <w:b/>
          <w:bCs/>
          <w:i/>
          <w:iCs/>
        </w:rPr>
        <w:t xml:space="preserve">Insight: </w:t>
      </w:r>
      <w:r>
        <w:t xml:space="preserve">Standard Class shipping shows 2.1x higher late delivery rate compared to First Class. Reallocating 15-20% of Standard Class shipments to First Class for high-priority customers could reduce overall late deliveries by 8-12% while maintaining cost efficiency.</w:t>
      </w:r>
    </w:p>
    <w:p>
      <w:pPr>
        <w:pStyle w:val="Heading2"/>
      </w:pPr>
      <w:r>
        <w:t xml:space="preserve">2. Geographic Bottlenecks Require Targeted Intervention</w:t>
      </w:r>
    </w:p>
    <w:p>
      <w:pPr>
        <w:spacing w:after="180"/>
      </w:pPr>
      <w:r>
        <w:t xml:space="preserve">State-level analysis identifies specific geographic regions experiencing disproportionately high late delivery rates:</w:t>
      </w:r>
    </w:p>
    <w:p>
      <w:pPr>
        <w:pStyle w:val="ListParagraph"/>
        <w:numPr>
          <w:ilvl w:val="0"/>
          <w:numId w:val="2"/>
        </w:numPr>
      </w:pPr>
      <w:r>
        <w:rPr>
          <w:b/>
          <w:bCs/>
          <w:color w:val="E74C3C"/>
        </w:rPr>
        <w:t xml:space="preserve">Puerto Rico: 72.3% late delivery rate </w:t>
      </w:r>
      <w:r>
        <w:t xml:space="preserve">- highest in network, requires immediate infrastructure assessment</w:t>
      </w:r>
    </w:p>
    <w:p>
      <w:pPr>
        <w:pStyle w:val="ListParagraph"/>
        <w:numPr>
          <w:ilvl w:val="0"/>
          <w:numId w:val="2"/>
        </w:numPr>
      </w:pPr>
      <w:r>
        <w:rPr>
          <w:b/>
          <w:bCs/>
        </w:rPr>
        <w:t xml:space="preserve">West Virginia: 64.1% late delivery rate </w:t>
      </w:r>
      <w:r>
        <w:t xml:space="preserve">- rural delivery challenges, recommend hub expansion</w:t>
      </w:r>
    </w:p>
    <w:p>
      <w:pPr>
        <w:pStyle w:val="ListParagraph"/>
        <w:numPr>
          <w:ilvl w:val="0"/>
          <w:numId w:val="2"/>
        </w:numPr>
      </w:pPr>
      <w:r>
        <w:rPr>
          <w:b/>
          <w:bCs/>
        </w:rPr>
        <w:t xml:space="preserve">California: 31,247 late shipments </w:t>
      </w:r>
      <w:r>
        <w:t xml:space="preserve">- highest absolute volume, despite 51.2% rate</w:t>
      </w:r>
    </w:p>
    <w:p>
      <w:pPr>
        <w:pStyle w:val="ListParagraph"/>
        <w:numPr>
          <w:ilvl w:val="0"/>
          <w:numId w:val="2"/>
        </w:numPr>
      </w:pPr>
      <w:r>
        <w:rPr>
          <w:b/>
          <w:bCs/>
        </w:rPr>
        <w:t xml:space="preserve">Texas: 22,198 late shipments </w:t>
      </w:r>
      <w:r>
        <w:t xml:space="preserve">- second highest volume at 53.8% rate</w:t>
      </w:r>
    </w:p>
    <w:p>
      <w:pPr>
        <w:spacing w:before="180" w:after="180"/>
      </w:pPr>
      <w:r>
        <w:rPr>
          <w:b/>
          <w:bCs/>
          <w:i/>
          <w:iCs/>
        </w:rPr>
        <w:t xml:space="preserve">Strategic Implication: </w:t>
      </w:r>
      <w:r>
        <w:t xml:space="preserve">Geographic concentration means 15 states account for 68% of all late deliveries. Targeted improvements in these regions through distribution center optimization and route redesign could yield disproportionate overall performance gains.</w:t>
      </w:r>
    </w:p>
    <w:p>
      <w:r>
        <w:br w:type="page"/>
      </w:r>
    </w:p>
    <w:p>
      <w:pPr>
        <w:pStyle w:val="Heading2"/>
      </w:pPr>
      <w:r>
        <w:t xml:space="preserve">3. Product Category Analysis Reveals Handling Protocol Gaps</w:t>
      </w:r>
    </w:p>
    <w:p>
      <w:pPr>
        <w:spacing w:after="180"/>
      </w:pPr>
      <w:r>
        <w:t xml:space="preserve">Certain product categories consistently experience higher late delivery rates, suggesting specialized handling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C8A" w:val="clear"/>
          </w:tcPr>
          <w:p>
            <w:pPr>
              <w:jc w:val="center"/>
            </w:pPr>
            <w:r>
              <w:rPr>
                <w:b/>
                <w:bCs/>
                <w:color w:val="FFFFFF"/>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2E5C8A" w:val="clear"/>
          </w:tcPr>
          <w:p>
            <w:pPr>
              <w:jc w:val="center"/>
            </w:pPr>
            <w:r>
              <w:rPr>
                <w:b/>
                <w:bCs/>
                <w:color w:val="FFFFFF"/>
                <w:sz w:val="20"/>
                <w:szCs w:val="20"/>
              </w:rPr>
              <w:t xml:space="preserve">Late Delivery Rate</w:t>
            </w:r>
          </w:p>
        </w:tc>
      </w:tr>
      <w:tr>
        <w:tc>
          <w:tcPr>
            <w:tcW w:type="dxa" w:w="4680"/>
            <w:tcBorders>
              <w:top w:val="single" w:color="CCCCCC" w:sz="1"/>
              <w:left w:val="single" w:color="CCCCCC" w:sz="1"/>
              <w:bottom w:val="single" w:color="CCCCCC" w:sz="1"/>
              <w:right w:val="single" w:color="CCCCCC" w:sz="1"/>
            </w:tcBorders>
          </w:tcPr>
          <w:p>
            <w:r>
              <w:t xml:space="preserve">Sporting Goods</w:t>
            </w:r>
          </w:p>
        </w:tc>
        <w:tc>
          <w:tcPr>
            <w:tcW w:type="dxa" w:w="4680"/>
            <w:tcBorders>
              <w:top w:val="single" w:color="CCCCCC" w:sz="1"/>
              <w:left w:val="single" w:color="CCCCCC" w:sz="1"/>
              <w:bottom w:val="single" w:color="CCCCCC" w:sz="1"/>
              <w:right w:val="single" w:color="CCCCCC" w:sz="1"/>
            </w:tcBorders>
            <w:shd w:fill="FADBD8" w:val="clear"/>
          </w:tcPr>
          <w:p>
            <w:pPr>
              <w:jc w:val="center"/>
            </w:pPr>
            <w:r>
              <w:rPr>
                <w:b/>
                <w:bCs/>
                <w:color w:val="C0392B"/>
              </w:rPr>
              <w:t xml:space="preserve">61.8%</w:t>
            </w:r>
          </w:p>
        </w:tc>
      </w:tr>
      <w:tr>
        <w:tc>
          <w:tcPr>
            <w:tcW w:type="dxa" w:w="4680"/>
            <w:tcBorders>
              <w:top w:val="single" w:color="CCCCCC" w:sz="1"/>
              <w:left w:val="single" w:color="CCCCCC" w:sz="1"/>
              <w:bottom w:val="single" w:color="CCCCCC" w:sz="1"/>
              <w:right w:val="single" w:color="CCCCCC" w:sz="1"/>
            </w:tcBorders>
          </w:tcPr>
          <w:p>
            <w:r>
              <w:t xml:space="preserve">Electronics</w:t>
            </w:r>
          </w:p>
        </w:tc>
        <w:tc>
          <w:tcPr>
            <w:tcW w:type="dxa" w:w="4680"/>
            <w:tcBorders>
              <w:top w:val="single" w:color="CCCCCC" w:sz="1"/>
              <w:left w:val="single" w:color="CCCCCC" w:sz="1"/>
              <w:bottom w:val="single" w:color="CCCCCC" w:sz="1"/>
              <w:right w:val="single" w:color="CCCCCC" w:sz="1"/>
            </w:tcBorders>
            <w:shd w:fill="FADBD8" w:val="clear"/>
          </w:tcPr>
          <w:p>
            <w:pPr>
              <w:jc w:val="center"/>
            </w:pPr>
            <w:r>
              <w:rPr>
                <w:b/>
                <w:bCs/>
              </w:rPr>
              <w:t xml:space="preserve">58.2%</w:t>
            </w:r>
          </w:p>
        </w:tc>
      </w:tr>
      <w:tr>
        <w:tc>
          <w:tcPr>
            <w:tcW w:type="dxa" w:w="4680"/>
            <w:tcBorders>
              <w:top w:val="single" w:color="CCCCCC" w:sz="1"/>
              <w:left w:val="single" w:color="CCCCCC" w:sz="1"/>
              <w:bottom w:val="single" w:color="CCCCCC" w:sz="1"/>
              <w:right w:val="single" w:color="CCCCCC" w:sz="1"/>
            </w:tcBorders>
          </w:tcPr>
          <w:p>
            <w:r>
              <w:t xml:space="preserve">Apparel</w:t>
            </w:r>
          </w:p>
        </w:tc>
        <w:tc>
          <w:tcPr>
            <w:tcW w:type="dxa" w:w="4680"/>
            <w:tcBorders>
              <w:top w:val="single" w:color="CCCCCC" w:sz="1"/>
              <w:left w:val="single" w:color="CCCCCC" w:sz="1"/>
              <w:bottom w:val="single" w:color="CCCCCC" w:sz="1"/>
              <w:right w:val="single" w:color="CCCCCC" w:sz="1"/>
            </w:tcBorders>
          </w:tcPr>
          <w:p>
            <w:pPr>
              <w:jc w:val="center"/>
            </w:pPr>
            <w:r>
              <w:t xml:space="preserve">52.1%</w:t>
            </w:r>
          </w:p>
        </w:tc>
      </w:tr>
      <w:tr>
        <w:tc>
          <w:tcPr>
            <w:tcW w:type="dxa" w:w="4680"/>
            <w:tcBorders>
              <w:top w:val="single" w:color="CCCCCC" w:sz="1"/>
              <w:left w:val="single" w:color="CCCCCC" w:sz="1"/>
              <w:bottom w:val="single" w:color="CCCCCC" w:sz="1"/>
              <w:right w:val="single" w:color="CCCCCC" w:sz="1"/>
            </w:tcBorders>
          </w:tcPr>
          <w:p>
            <w:r>
              <w:t xml:space="preserve">Books &amp; Media</w:t>
            </w:r>
          </w:p>
        </w:tc>
        <w:tc>
          <w:tcPr>
            <w:tcW w:type="dxa" w:w="4680"/>
            <w:tcBorders>
              <w:top w:val="single" w:color="CCCCCC" w:sz="1"/>
              <w:left w:val="single" w:color="CCCCCC" w:sz="1"/>
              <w:bottom w:val="single" w:color="CCCCCC" w:sz="1"/>
              <w:right w:val="single" w:color="CCCCCC" w:sz="1"/>
            </w:tcBorders>
            <w:shd w:fill="D5F4E6" w:val="clear"/>
          </w:tcPr>
          <w:p>
            <w:pPr>
              <w:jc w:val="center"/>
            </w:pPr>
            <w:r>
              <w:rPr>
                <w:b/>
                <w:bCs/>
                <w:color w:val="27AE60"/>
              </w:rPr>
              <w:t xml:space="preserve">43.7%</w:t>
            </w:r>
          </w:p>
        </w:tc>
      </w:tr>
    </w:tbl>
    <w:p>
      <w:pPr>
        <w:spacing w:before="180" w:after="180"/>
      </w:pPr>
      <w:r>
        <w:rPr>
          <w:b/>
          <w:bCs/>
          <w:i/>
          <w:iCs/>
        </w:rPr>
        <w:t xml:space="preserve">Recommendation: </w:t>
      </w:r>
      <w:r>
        <w:t xml:space="preserve">Develop category-specific handling protocols. Sporting Goods and Electronics likely require specialized packaging or carrier handling that current standard processes don't accommodate. Pilot program in top 3 distribution centers could validate optimized protocols.</w:t>
      </w:r>
    </w:p>
    <w:p>
      <w:pPr>
        <w:pStyle w:val="Heading2"/>
      </w:pPr>
      <w:r>
        <w:t xml:space="preserve">4. Predictive Model Enables Proactive Intervention</w:t>
      </w:r>
    </w:p>
    <w:p>
      <w:pPr>
        <w:spacing w:after="180"/>
      </w:pPr>
      <w:r>
        <w:t xml:space="preserve">Logistic regression model achieves 87% AUC-ROC score in predicting late delivery risk, enabling real-time flagging of high-risk shipments:</w:t>
      </w:r>
    </w:p>
    <w:p>
      <w:pPr>
        <w:pStyle w:val="ListParagraph"/>
        <w:numPr>
          <w:ilvl w:val="0"/>
          <w:numId w:val="2"/>
        </w:numPr>
      </w:pPr>
      <w:r>
        <w:rPr>
          <w:b/>
          <w:bCs/>
        </w:rPr>
        <w:t xml:space="preserve">Model Accuracy: 87% </w:t>
      </w:r>
      <w:r>
        <w:t xml:space="preserve">(AUC-ROC score: 0.87)</w:t>
      </w:r>
    </w:p>
    <w:p>
      <w:pPr>
        <w:pStyle w:val="ListParagraph"/>
        <w:numPr>
          <w:ilvl w:val="0"/>
          <w:numId w:val="2"/>
        </w:numPr>
      </w:pPr>
      <w:r>
        <w:rPr>
          <w:b/>
          <w:bCs/>
        </w:rPr>
        <w:t xml:space="preserve">True Positive Rate: 82% </w:t>
      </w:r>
      <w:r>
        <w:t xml:space="preserve">- correctly identifies 82% of late deliveries</w:t>
      </w:r>
    </w:p>
    <w:p>
      <w:pPr>
        <w:pStyle w:val="ListParagraph"/>
        <w:numPr>
          <w:ilvl w:val="0"/>
          <w:numId w:val="2"/>
        </w:numPr>
      </w:pPr>
      <w:r>
        <w:rPr>
          <w:b/>
          <w:bCs/>
        </w:rPr>
        <w:t xml:space="preserve">False Positive Rate: 15% </w:t>
      </w:r>
      <w:r>
        <w:t xml:space="preserve">- low false alarm rate maintains operational efficiency</w:t>
      </w:r>
    </w:p>
    <w:p>
      <w:pPr>
        <w:pStyle w:val="ListParagraph"/>
        <w:numPr>
          <w:ilvl w:val="0"/>
          <w:numId w:val="2"/>
        </w:numPr>
      </w:pPr>
      <w:r>
        <w:rPr>
          <w:b/>
          <w:bCs/>
        </w:rPr>
        <w:t xml:space="preserve">Top Predictive Features: </w:t>
      </w:r>
      <w:r>
        <w:t xml:space="preserve">Shipping mode, scheduled days, geographic region, product category</w:t>
      </w:r>
    </w:p>
    <w:p>
      <w:pPr>
        <w:spacing w:before="180" w:after="180"/>
      </w:pPr>
      <w:r>
        <w:rPr>
          <w:b/>
          <w:bCs/>
          <w:i/>
          <w:iCs/>
        </w:rPr>
        <w:t xml:space="preserve">Implementation Path: </w:t>
      </w:r>
      <w:r>
        <w:t xml:space="preserve">Deploy real-time risk scoring system at order entry. High-risk orders (predicted late delivery probability &gt;70%) automatically flagged for upgraded shipping mode or expedited processing. Expected 15-20% reduction in late deliveries among flagged orders.</w:t>
      </w:r>
    </w:p>
    <w:p>
      <w:r>
        <w:br w:type="page"/>
      </w:r>
    </w:p>
    <w:p>
      <w:pPr>
        <w:pStyle w:val="Heading1"/>
      </w:pPr>
      <w:r>
        <w:t xml:space="preserve">Strategic Recommendations</w:t>
      </w:r>
    </w:p>
    <w:p>
      <w:pPr>
        <w:spacing w:after="240"/>
      </w:pPr>
      <w:r>
        <w:t xml:space="preserve">Based on comprehensive analysis, the following recommendations directly address Amazon Transportation Network Operations Center priorities:</w:t>
      </w:r>
    </w:p>
    <w:p>
      <w:pPr>
        <w:pStyle w:val="ListParagraph"/>
        <w:numPr>
          <w:ilvl w:val="0"/>
          <w:numId w:val="3"/>
        </w:numPr>
      </w:pPr>
      <w:r>
        <w:rPr>
          <w:b/>
          <w:bCs/>
        </w:rPr>
        <w:t xml:space="preserve">Implement Dynamic Shipping Mode Optimization</w:t>
      </w:r>
    </w:p>
    <w:p>
      <w:pPr>
        <w:spacing w:before="120" w:after="180" left="720"/>
      </w:pPr>
      <w:r>
        <w:t xml:space="preserve">Develop automated system to reallocate shipments from high-risk Standard Class to First Class based on predictive model scores. Start with pilot program upgrading 10% of highest-risk Standard Class shipments. Expected impact: 8-12% reduction in overall late deliveries with minimal cost increase.</w:t>
      </w:r>
    </w:p>
    <w:p>
      <w:pPr>
        <w:pStyle w:val="ListParagraph"/>
        <w:numPr>
          <w:ilvl w:val="0"/>
          <w:numId w:val="3"/>
        </w:numPr>
      </w:pPr>
      <w:r>
        <w:rPr>
          <w:b/>
          <w:bCs/>
        </w:rPr>
        <w:t xml:space="preserve">Launch Geographic Improvement Initiative</w:t>
      </w:r>
    </w:p>
    <w:p>
      <w:pPr>
        <w:spacing w:before="120" w:after="180" left="720"/>
      </w:pPr>
      <w:r>
        <w:t xml:space="preserve">Deploy dedicated task force to address top 15 states accounting for 68% of late deliveries. Focus areas: distribution center capacity assessment, route optimization, local carrier partnership evaluation. Priority markets: California, Texas, Puerto Rico, West Virginia, Florida.</w:t>
      </w:r>
    </w:p>
    <w:p>
      <w:pPr>
        <w:pStyle w:val="ListParagraph"/>
        <w:numPr>
          <w:ilvl w:val="0"/>
          <w:numId w:val="3"/>
        </w:numPr>
      </w:pPr>
      <w:r>
        <w:rPr>
          <w:b/>
          <w:bCs/>
        </w:rPr>
        <w:t xml:space="preserve">Establish Category-Specific Handling Protocols</w:t>
      </w:r>
    </w:p>
    <w:p>
      <w:pPr>
        <w:spacing w:before="120" w:after="180" left="720"/>
      </w:pPr>
      <w:r>
        <w:t xml:space="preserve">Create specialized handling requirements for Sporting Goods and Electronics categories showing 58-62% late delivery rates. Pilot optimized protocols in 3-5 highest volume distribution centers. Include packaging specifications, carrier requirements, and quality control checkpoints.</w:t>
      </w:r>
    </w:p>
    <w:p>
      <w:pPr>
        <w:pStyle w:val="ListParagraph"/>
        <w:numPr>
          <w:ilvl w:val="0"/>
          <w:numId w:val="3"/>
        </w:numPr>
      </w:pPr>
      <w:r>
        <w:rPr>
          <w:b/>
          <w:bCs/>
        </w:rPr>
        <w:t xml:space="preserve">Deploy Real-Time Risk Monitoring Dashboard</w:t>
      </w:r>
    </w:p>
    <w:p>
      <w:pPr>
        <w:spacing w:before="120" w:after="180" left="720"/>
      </w:pPr>
      <w:r>
        <w:t xml:space="preserve">Build KPI dashboard integrating predictive model for real-time late delivery risk tracking. Display shipping mode performance, geographic bottlenecks, category trends, and risk-flagged orders. Enable operations team to make data-driven decisions for intervention and resource allocation.</w:t>
      </w:r>
    </w:p>
    <w:p>
      <w:pPr>
        <w:pStyle w:val="ListParagraph"/>
        <w:numPr>
          <w:ilvl w:val="0"/>
          <w:numId w:val="3"/>
        </w:numPr>
      </w:pPr>
      <w:r>
        <w:rPr>
          <w:b/>
          <w:bCs/>
        </w:rPr>
        <w:t xml:space="preserve">Develop Capacity Planning Forecasting System</w:t>
      </w:r>
    </w:p>
    <w:p>
      <w:pPr>
        <w:spacing w:before="120" w:after="180" left="720"/>
      </w:pPr>
      <w:r>
        <w:t xml:space="preserve">Use historical patterns to forecast demand surges by geography and product category. Proactively allocate staffing, inventory positioning, and shipping capacity ahead of peak periods. Integrate with existing warehouse management systems for automated adjustments.</w:t>
      </w:r>
    </w:p>
    <w:p>
      <w:pPr>
        <w:pStyle w:val="ListParagraph"/>
        <w:numPr>
          <w:ilvl w:val="0"/>
          <w:numId w:val="3"/>
        </w:numPr>
      </w:pPr>
      <w:r>
        <w:rPr>
          <w:b/>
          <w:bCs/>
        </w:rPr>
        <w:t xml:space="preserve">Create Continuous Improvement Feedback Loop</w:t>
      </w:r>
    </w:p>
    <w:p>
      <w:pPr>
        <w:spacing w:before="120" w:after="180" left="720"/>
      </w:pPr>
      <w:r>
        <w:t xml:space="preserve">Establish quarterly performance reviews tracking KPIs: late delivery rate by shipping mode, geographic performance trends, category-specific metrics, cost efficiency ratios. Update predictive models with new data to maintain accuracy. Document lessons learned for training and process improvement.</w:t>
      </w:r>
    </w:p>
    <w:p>
      <w:pPr>
        <w:pStyle w:val="ListParagraph"/>
        <w:numPr>
          <w:ilvl w:val="0"/>
          <w:numId w:val="3"/>
        </w:numPr>
      </w:pPr>
      <w:r>
        <w:rPr>
          <w:b/>
          <w:bCs/>
        </w:rPr>
        <w:t xml:space="preserve">Optimize Route Network Architecture</w:t>
      </w:r>
    </w:p>
    <w:p>
      <w:pPr>
        <w:spacing w:before="120" w:after="300" left="720"/>
      </w:pPr>
      <w:r>
        <w:t xml:space="preserve">Conduct comprehensive route network analysis identifying inefficient origin-destination combinations. Redesign routes in bottom 20% performing corridors. Consider hub location optimization, cross-dock facilities, and last-mile delivery partnerships.</w:t>
      </w:r>
    </w:p>
    <w:p>
      <w:r>
        <w:br w:type="page"/>
      </w:r>
    </w:p>
    <w:p>
      <w:pPr>
        <w:pStyle w:val="Heading1"/>
      </w:pPr>
      <w:r>
        <w:t xml:space="preserve">Expected Business Impact</w:t>
      </w:r>
    </w:p>
    <w:p>
      <w:pPr>
        <w:spacing w:after="240"/>
      </w:pPr>
      <w:r>
        <w:t xml:space="preserve">Implementation of these recommendations is projected to deliver significant operational improvements: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Impact Area</w:t>
            </w:r>
          </w:p>
        </w:tc>
        <w:tc>
          <w:tcPr>
            <w:tcW w:type="dxa" w:w="468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Projected Improvement</w:t>
            </w:r>
          </w:p>
        </w:tc>
      </w:tr>
      <w:tr>
        <w:tc>
          <w:tcPr>
            <w:tcW w:type="dxa" w:w="4680"/>
            <w:tcBorders>
              <w:top w:val="single" w:color="CCCCCC" w:sz="1"/>
              <w:left w:val="single" w:color="CCCCCC" w:sz="1"/>
              <w:bottom w:val="single" w:color="CCCCCC" w:sz="1"/>
              <w:right w:val="single" w:color="CCCCCC" w:sz="1"/>
            </w:tcBorders>
          </w:tcPr>
          <w:p>
            <w:r>
              <w:t xml:space="preserve">Overall Late Delivery Rate</w:t>
            </w:r>
          </w:p>
        </w:tc>
        <w:tc>
          <w:tcPr>
            <w:tcW w:type="dxa" w:w="4680"/>
            <w:tcBorders>
              <w:top w:val="single" w:color="CCCCCC" w:sz="1"/>
              <w:left w:val="single" w:color="CCCCCC" w:sz="1"/>
              <w:bottom w:val="single" w:color="CCCCCC" w:sz="1"/>
              <w:right w:val="single" w:color="CCCCCC" w:sz="1"/>
            </w:tcBorders>
            <w:shd w:fill="D5F4E6" w:val="clear"/>
          </w:tcPr>
          <w:p>
            <w:pPr>
              <w:jc w:val="center"/>
            </w:pPr>
            <w:r>
              <w:rPr>
                <w:b/>
                <w:bCs/>
              </w:rPr>
              <w:t xml:space="preserve">15-25% reduction</w:t>
            </w:r>
          </w:p>
        </w:tc>
      </w:tr>
      <w:tr>
        <w:tc>
          <w:tcPr>
            <w:tcW w:type="dxa" w:w="4680"/>
            <w:tcBorders>
              <w:top w:val="single" w:color="CCCCCC" w:sz="1"/>
              <w:left w:val="single" w:color="CCCCCC" w:sz="1"/>
              <w:bottom w:val="single" w:color="CCCCCC" w:sz="1"/>
              <w:right w:val="single" w:color="CCCCCC" w:sz="1"/>
            </w:tcBorders>
          </w:tcPr>
          <w:p>
            <w:r>
              <w:t xml:space="preserve">Customer Satisfaction Score</w:t>
            </w:r>
          </w:p>
        </w:tc>
        <w:tc>
          <w:tcPr>
            <w:tcW w:type="dxa" w:w="4680"/>
            <w:tcBorders>
              <w:top w:val="single" w:color="CCCCCC" w:sz="1"/>
              <w:left w:val="single" w:color="CCCCCC" w:sz="1"/>
              <w:bottom w:val="single" w:color="CCCCCC" w:sz="1"/>
              <w:right w:val="single" w:color="CCCCCC" w:sz="1"/>
            </w:tcBorders>
            <w:shd w:fill="D5F4E6" w:val="clear"/>
          </w:tcPr>
          <w:p>
            <w:pPr>
              <w:jc w:val="center"/>
            </w:pPr>
            <w:r>
              <w:rPr>
                <w:b/>
                <w:bCs/>
              </w:rPr>
              <w:t xml:space="preserve">10-15 point increase</w:t>
            </w:r>
          </w:p>
        </w:tc>
      </w:tr>
      <w:tr>
        <w:tc>
          <w:tcPr>
            <w:tcW w:type="dxa" w:w="4680"/>
            <w:tcBorders>
              <w:top w:val="single" w:color="CCCCCC" w:sz="1"/>
              <w:left w:val="single" w:color="CCCCCC" w:sz="1"/>
              <w:bottom w:val="single" w:color="CCCCCC" w:sz="1"/>
              <w:right w:val="single" w:color="CCCCCC" w:sz="1"/>
            </w:tcBorders>
          </w:tcPr>
          <w:p>
            <w:r>
              <w:t xml:space="preserve">Operational Cost Efficiency</w:t>
            </w:r>
          </w:p>
        </w:tc>
        <w:tc>
          <w:tcPr>
            <w:tcW w:type="dxa" w:w="4680"/>
            <w:tcBorders>
              <w:top w:val="single" w:color="CCCCCC" w:sz="1"/>
              <w:left w:val="single" w:color="CCCCCC" w:sz="1"/>
              <w:bottom w:val="single" w:color="CCCCCC" w:sz="1"/>
              <w:right w:val="single" w:color="CCCCCC" w:sz="1"/>
            </w:tcBorders>
            <w:shd w:fill="D5F4E6" w:val="clear"/>
          </w:tcPr>
          <w:p>
            <w:pPr>
              <w:jc w:val="center"/>
            </w:pPr>
            <w:r>
              <w:rPr>
                <w:b/>
                <w:bCs/>
              </w:rPr>
              <w:t xml:space="preserve">5-8% improvement</w:t>
            </w:r>
          </w:p>
        </w:tc>
      </w:tr>
      <w:tr>
        <w:tc>
          <w:tcPr>
            <w:tcW w:type="dxa" w:w="4680"/>
            <w:tcBorders>
              <w:top w:val="single" w:color="CCCCCC" w:sz="1"/>
              <w:left w:val="single" w:color="CCCCCC" w:sz="1"/>
              <w:bottom w:val="single" w:color="CCCCCC" w:sz="1"/>
              <w:right w:val="single" w:color="CCCCCC" w:sz="1"/>
            </w:tcBorders>
          </w:tcPr>
          <w:p>
            <w:r>
              <w:t xml:space="preserve">Average Delivery Time</w:t>
            </w:r>
          </w:p>
        </w:tc>
        <w:tc>
          <w:tcPr>
            <w:tcW w:type="dxa" w:w="4680"/>
            <w:tcBorders>
              <w:top w:val="single" w:color="CCCCCC" w:sz="1"/>
              <w:left w:val="single" w:color="CCCCCC" w:sz="1"/>
              <w:bottom w:val="single" w:color="CCCCCC" w:sz="1"/>
              <w:right w:val="single" w:color="CCCCCC" w:sz="1"/>
            </w:tcBorders>
            <w:shd w:fill="D5F4E6" w:val="clear"/>
          </w:tcPr>
          <w:p>
            <w:pPr>
              <w:jc w:val="center"/>
            </w:pPr>
            <w:r>
              <w:rPr>
                <w:b/>
                <w:bCs/>
              </w:rPr>
              <w:t xml:space="preserve">0.3-0.5 day reduction</w:t>
            </w:r>
          </w:p>
        </w:tc>
      </w:tr>
      <w:tr>
        <w:tc>
          <w:tcPr>
            <w:tcW w:type="dxa" w:w="4680"/>
            <w:tcBorders>
              <w:top w:val="single" w:color="CCCCCC" w:sz="1"/>
              <w:left w:val="single" w:color="CCCCCC" w:sz="1"/>
              <w:bottom w:val="single" w:color="CCCCCC" w:sz="1"/>
              <w:right w:val="single" w:color="CCCCCC" w:sz="1"/>
            </w:tcBorders>
          </w:tcPr>
          <w:p>
            <w:r>
              <w:t xml:space="preserve">Network Throughput</w:t>
            </w:r>
          </w:p>
        </w:tc>
        <w:tc>
          <w:tcPr>
            <w:tcW w:type="dxa" w:w="4680"/>
            <w:tcBorders>
              <w:top w:val="single" w:color="CCCCCC" w:sz="1"/>
              <w:left w:val="single" w:color="CCCCCC" w:sz="1"/>
              <w:bottom w:val="single" w:color="CCCCCC" w:sz="1"/>
              <w:right w:val="single" w:color="CCCCCC" w:sz="1"/>
            </w:tcBorders>
            <w:shd w:fill="D5F4E6" w:val="clear"/>
          </w:tcPr>
          <w:p>
            <w:pPr>
              <w:jc w:val="center"/>
            </w:pPr>
            <w:r>
              <w:rPr>
                <w:b/>
                <w:bCs/>
              </w:rPr>
              <w:t xml:space="preserve">12-18% capacity gain</w:t>
            </w:r>
          </w:p>
        </w:tc>
      </w:tr>
    </w:tbl>
    <w:p>
      <w:r>
        <w:br w:type="page"/>
      </w:r>
    </w:p>
    <w:p>
      <w:pPr>
        <w:pStyle w:val="Heading1"/>
      </w:pPr>
      <w:r>
        <w:t xml:space="preserve">Implementation Roadmap</w:t>
      </w:r>
    </w:p>
    <w:p>
      <w:pPr>
        <w:spacing w:after="180"/>
      </w:pPr>
      <w:r>
        <w:t xml:space="preserve">Phased approach to recommendation implementation:</w:t>
      </w:r>
    </w:p>
    <w:p>
      <w:pPr>
        <w:pStyle w:val="Heading2"/>
      </w:pPr>
      <w:r>
        <w:t xml:space="preserve">Phase 1: Quick Wins (0-3 months)</w:t>
      </w:r>
    </w:p>
    <w:p>
      <w:pPr>
        <w:pStyle w:val="ListParagraph"/>
        <w:numPr>
          <w:ilvl w:val="0"/>
          <w:numId w:val="2"/>
        </w:numPr>
      </w:pPr>
      <w:r>
        <w:t xml:space="preserve">Deploy real-time KPI dashboard for operations visibility</w:t>
      </w:r>
    </w:p>
    <w:p>
      <w:pPr>
        <w:pStyle w:val="ListParagraph"/>
        <w:numPr>
          <w:ilvl w:val="0"/>
          <w:numId w:val="2"/>
        </w:numPr>
      </w:pPr>
      <w:r>
        <w:t xml:space="preserve">Launch pilot shipping mode optimization in 2-3 distribution centers</w:t>
      </w:r>
    </w:p>
    <w:p>
      <w:pPr>
        <w:pStyle w:val="ListParagraph"/>
        <w:numPr>
          <w:ilvl w:val="0"/>
          <w:numId w:val="2"/>
        </w:numPr>
      </w:pPr>
      <w:r>
        <w:t xml:space="preserve">Begin geographic task force assessment in California and Texas</w:t>
      </w:r>
    </w:p>
    <w:p>
      <w:pPr>
        <w:pStyle w:val="Heading2"/>
        <w:spacing w:before="240"/>
      </w:pPr>
      <w:r>
        <w:t xml:space="preserve">Phase 2: Structural Improvements (3-6 months)</w:t>
      </w:r>
    </w:p>
    <w:p>
      <w:pPr>
        <w:pStyle w:val="ListParagraph"/>
        <w:numPr>
          <w:ilvl w:val="0"/>
          <w:numId w:val="2"/>
        </w:numPr>
      </w:pPr>
      <w:r>
        <w:t xml:space="preserve">Expand shipping mode optimization to 50% of network</w:t>
      </w:r>
    </w:p>
    <w:p>
      <w:pPr>
        <w:pStyle w:val="ListParagraph"/>
        <w:numPr>
          <w:ilvl w:val="0"/>
          <w:numId w:val="2"/>
        </w:numPr>
      </w:pPr>
      <w:r>
        <w:t xml:space="preserve">Implement category-specific protocols for Sporting Goods and Electronics</w:t>
      </w:r>
    </w:p>
    <w:p>
      <w:pPr>
        <w:pStyle w:val="ListParagraph"/>
        <w:numPr>
          <w:ilvl w:val="0"/>
          <w:numId w:val="2"/>
        </w:numPr>
      </w:pPr>
      <w:r>
        <w:t xml:space="preserve">Complete route optimization for bottom 20% performing corridors</w:t>
      </w:r>
    </w:p>
    <w:p>
      <w:pPr>
        <w:pStyle w:val="Heading2"/>
        <w:spacing w:before="240"/>
      </w:pPr>
      <w:r>
        <w:t xml:space="preserve">Phase 3: Full Deployment (6-12 months)</w:t>
      </w:r>
    </w:p>
    <w:p>
      <w:pPr>
        <w:pStyle w:val="ListParagraph"/>
        <w:numPr>
          <w:ilvl w:val="0"/>
          <w:numId w:val="2"/>
        </w:numPr>
      </w:pPr>
      <w:r>
        <w:t xml:space="preserve">Network-wide predictive risk scoring and dynamic optimization</w:t>
      </w:r>
    </w:p>
    <w:p>
      <w:pPr>
        <w:pStyle w:val="ListParagraph"/>
        <w:numPr>
          <w:ilvl w:val="0"/>
          <w:numId w:val="2"/>
        </w:numPr>
      </w:pPr>
      <w:r>
        <w:t xml:space="preserve">Complete geographic improvement initiative across all priority states</w:t>
      </w:r>
    </w:p>
    <w:p>
      <w:pPr>
        <w:pStyle w:val="ListParagraph"/>
        <w:numPr>
          <w:ilvl w:val="0"/>
          <w:numId w:val="2"/>
        </w:numPr>
      </w:pPr>
      <w:r>
        <w:t xml:space="preserve">Establish continuous improvement feedback loop and quarterly reviews</w:t>
      </w:r>
    </w:p>
    <w:p>
      <w:r>
        <w:br w:type="page"/>
      </w:r>
    </w:p>
    <w:p>
      <w:pPr>
        <w:pStyle w:val="Heading1"/>
      </w:pPr>
      <w:r>
        <w:t xml:space="preserve">Conclusion</w:t>
      </w:r>
    </w:p>
    <w:p>
      <w:pPr>
        <w:spacing w:after="180"/>
      </w:pPr>
      <w:r>
        <w:t xml:space="preserve">This comprehensive analysis of 180,519 transportation records reveals significant opportunities to improve delivery performance through data-driven interventions. The 54.8% late delivery rate represents both a critical challenge and a substantial improvement opportunity.</w:t>
      </w:r>
    </w:p>
    <w:p>
      <w:pPr>
        <w:spacing w:after="180"/>
      </w:pPr>
      <w:r>
        <w:t xml:space="preserve">Key insights demonstrate that late deliveries are not randomly distributed but concentrate in specific shipping modes, geographic regions, and product categories. This concentration enables targeted interventions with disproportionate impact.</w:t>
      </w:r>
    </w:p>
    <w:p>
      <w:pPr>
        <w:spacing w:after="180"/>
      </w:pPr>
      <w:r>
        <w:t xml:space="preserve">The predictive model achieving 87% accuracy provides a powerful tool for proactive intervention, allowing operations teams to identify and address high-risk shipments before problems occur.</w:t>
      </w:r>
    </w:p>
    <w:p>
      <w:pPr>
        <w:spacing w:after="180"/>
      </w:pPr>
      <w:r>
        <w:t xml:space="preserve">Implementation of recommended strategies is projected to reduce late deliveries by 15-25%, improve customer satisfaction scores by 10-15 points, and increase operational efficiency by 5-8%. These improvements directly support Amazon Transportation Network objectives while establishing a framework for continuous optimization.</w:t>
      </w:r>
    </w:p>
    <w:p>
      <w:pPr>
        <w:spacing w:before="240" w:after="120"/>
      </w:pPr>
      <w:r>
        <w:rPr>
          <w:b/>
          <w:bCs/>
          <w:sz w:val="26"/>
          <w:szCs w:val="26"/>
        </w:rPr>
        <w:t xml:space="preserve">Next Steps:</w:t>
      </w:r>
    </w:p>
    <w:p>
      <w:pPr>
        <w:pStyle w:val="ListParagraph"/>
        <w:numPr>
          <w:ilvl w:val="0"/>
          <w:numId w:val="2"/>
        </w:numPr>
      </w:pPr>
      <w:r>
        <w:t xml:space="preserve">Present findings to Amazon Transportation Execution &amp; Systems Team</w:t>
      </w:r>
    </w:p>
    <w:p>
      <w:pPr>
        <w:pStyle w:val="ListParagraph"/>
        <w:numPr>
          <w:ilvl w:val="0"/>
          <w:numId w:val="2"/>
        </w:numPr>
      </w:pPr>
      <w:r>
        <w:t xml:space="preserve">Secure stakeholder buy-in for Phase 1 pilot programs</w:t>
      </w:r>
    </w:p>
    <w:p>
      <w:pPr>
        <w:pStyle w:val="ListParagraph"/>
        <w:numPr>
          <w:ilvl w:val="0"/>
          <w:numId w:val="2"/>
        </w:numPr>
      </w:pPr>
      <w:r>
        <w:t xml:space="preserve">Establish project governance and success metrics</w:t>
      </w:r>
    </w:p>
    <w:p>
      <w:pPr>
        <w:pStyle w:val="ListParagraph"/>
        <w:numPr>
          <w:ilvl w:val="0"/>
          <w:numId w:val="2"/>
        </w:numPr>
      </w:pPr>
      <w:r>
        <w:t xml:space="preserve">Begin implementation with quick-win initiatives</w:t>
      </w:r>
    </w:p>
    <w:p>
      <w:r>
        <w:br w:type="page"/>
      </w:r>
    </w:p>
    <w:p>
      <w:pPr>
        <w:pStyle w:val="Heading1"/>
      </w:pPr>
      <w:r>
        <w:t xml:space="preserve">Technical Appendix</w:t>
      </w:r>
    </w:p>
    <w:p>
      <w:pPr>
        <w:pStyle w:val="Heading2"/>
      </w:pPr>
      <w:r>
        <w:t xml:space="preserve">Data Sources &amp; Methodology</w:t>
      </w:r>
    </w:p>
    <w:p>
      <w:pPr>
        <w:pStyle w:val="ListParagraph"/>
        <w:numPr>
          <w:ilvl w:val="0"/>
          <w:numId w:val="2"/>
        </w:numPr>
      </w:pPr>
      <w:r>
        <w:rPr>
          <w:b/>
          <w:bCs/>
        </w:rPr>
        <w:t xml:space="preserve">Dataset: </w:t>
      </w:r>
      <w:r>
        <w:t xml:space="preserve">DataCo Smart Supply Chain for Big Data Analysis (Kaggle)</w:t>
      </w:r>
    </w:p>
    <w:p>
      <w:pPr>
        <w:pStyle w:val="ListParagraph"/>
        <w:numPr>
          <w:ilvl w:val="0"/>
          <w:numId w:val="2"/>
        </w:numPr>
      </w:pPr>
      <w:r>
        <w:rPr>
          <w:b/>
          <w:bCs/>
        </w:rPr>
        <w:t xml:space="preserve">Records: </w:t>
      </w:r>
      <w:r>
        <w:t xml:space="preserve">180,519 shipments across 53 variables</w:t>
      </w:r>
    </w:p>
    <w:p>
      <w:pPr>
        <w:pStyle w:val="ListParagraph"/>
        <w:numPr>
          <w:ilvl w:val="0"/>
          <w:numId w:val="2"/>
        </w:numPr>
      </w:pPr>
      <w:r>
        <w:rPr>
          <w:b/>
          <w:bCs/>
        </w:rPr>
        <w:t xml:space="preserve">Time Period: </w:t>
      </w:r>
      <w:r>
        <w:t xml:space="preserve">November-December 2018</w:t>
      </w:r>
    </w:p>
    <w:p>
      <w:pPr>
        <w:pStyle w:val="ListParagraph"/>
        <w:numPr>
          <w:ilvl w:val="0"/>
          <w:numId w:val="2"/>
        </w:numPr>
      </w:pPr>
      <w:r>
        <w:rPr>
          <w:b/>
          <w:bCs/>
        </w:rPr>
        <w:t xml:space="preserve">Geographic Coverage: </w:t>
      </w:r>
      <w:r>
        <w:t xml:space="preserve">United States (50 states + territories)</w:t>
      </w:r>
    </w:p>
    <w:p>
      <w:pPr>
        <w:pStyle w:val="Heading2"/>
        <w:spacing w:before="240"/>
      </w:pPr>
      <w:r>
        <w:t xml:space="preserve">Technologies Used</w:t>
      </w:r>
    </w:p>
    <w:p>
      <w:pPr>
        <w:pStyle w:val="ListParagraph"/>
        <w:numPr>
          <w:ilvl w:val="0"/>
          <w:numId w:val="2"/>
        </w:numPr>
      </w:pPr>
      <w:r>
        <w:rPr>
          <w:b/>
          <w:bCs/>
        </w:rPr>
        <w:t xml:space="preserve">Python 3.8+: </w:t>
      </w:r>
      <w:r>
        <w:t xml:space="preserve">Data processing and statistical analysis</w:t>
      </w:r>
    </w:p>
    <w:p>
      <w:pPr>
        <w:pStyle w:val="ListParagraph"/>
        <w:numPr>
          <w:ilvl w:val="0"/>
          <w:numId w:val="2"/>
        </w:numPr>
      </w:pPr>
      <w:r>
        <w:rPr>
          <w:b/>
          <w:bCs/>
        </w:rPr>
        <w:t xml:space="preserve">Pandas &amp; NumPy: </w:t>
      </w:r>
      <w:r>
        <w:t xml:space="preserve">Data manipulation and numerical computing</w:t>
      </w:r>
    </w:p>
    <w:p>
      <w:pPr>
        <w:pStyle w:val="ListParagraph"/>
        <w:numPr>
          <w:ilvl w:val="0"/>
          <w:numId w:val="2"/>
        </w:numPr>
      </w:pPr>
      <w:r>
        <w:rPr>
          <w:b/>
          <w:bCs/>
        </w:rPr>
        <w:t xml:space="preserve">Matplotlib &amp; Seaborn: </w:t>
      </w:r>
      <w:r>
        <w:t xml:space="preserve">Data visualization and exploratory analysis</w:t>
      </w:r>
    </w:p>
    <w:p>
      <w:pPr>
        <w:pStyle w:val="ListParagraph"/>
        <w:numPr>
          <w:ilvl w:val="0"/>
          <w:numId w:val="2"/>
        </w:numPr>
      </w:pPr>
      <w:r>
        <w:rPr>
          <w:b/>
          <w:bCs/>
        </w:rPr>
        <w:t xml:space="preserve">Scikit-learn: </w:t>
      </w:r>
      <w:r>
        <w:t xml:space="preserve">Predictive modeling and machine learning</w:t>
      </w:r>
    </w:p>
    <w:p>
      <w:pPr>
        <w:pStyle w:val="ListParagraph"/>
        <w:numPr>
          <w:ilvl w:val="0"/>
          <w:numId w:val="2"/>
        </w:numPr>
      </w:pPr>
      <w:r>
        <w:rPr>
          <w:b/>
          <w:bCs/>
        </w:rPr>
        <w:t xml:space="preserve">SQL (MySQL): </w:t>
      </w:r>
      <w:r>
        <w:t xml:space="preserve">Database design, normalization, and complex queries</w:t>
      </w:r>
    </w:p>
    <w:p>
      <w:pPr>
        <w:pStyle w:val="ListParagraph"/>
        <w:numPr>
          <w:ilvl w:val="0"/>
          <w:numId w:val="2"/>
        </w:numPr>
      </w:pPr>
      <w:r>
        <w:rPr>
          <w:b/>
          <w:bCs/>
        </w:rPr>
        <w:t xml:space="preserve">Jupyter Notebook: </w:t>
      </w:r>
      <w:r>
        <w:t xml:space="preserve">Interactive analysis and documentation</w:t>
      </w:r>
    </w:p>
    <w:p>
      <w:pPr>
        <w:pStyle w:val="Heading2"/>
        <w:spacing w:before="240"/>
      </w:pPr>
      <w:r>
        <w:t xml:space="preserve">Database Schema</w:t>
      </w:r>
    </w:p>
    <w:p>
      <w:pPr>
        <w:spacing w:after="120"/>
      </w:pPr>
      <w:r>
        <w:t xml:space="preserve">Normalized relational database with 5 interconnected tables:</w:t>
      </w:r>
    </w:p>
    <w:p>
      <w:pPr>
        <w:pStyle w:val="ListParagraph"/>
        <w:numPr>
          <w:ilvl w:val="0"/>
          <w:numId w:val="2"/>
        </w:numPr>
      </w:pPr>
      <w:r>
        <w:rPr>
          <w:b/>
          <w:bCs/>
        </w:rPr>
        <w:t xml:space="preserve">Orders: </w:t>
      </w:r>
      <w:r>
        <w:t xml:space="preserve">Main fact table with order details and financial metrics</w:t>
      </w:r>
    </w:p>
    <w:p>
      <w:pPr>
        <w:pStyle w:val="ListParagraph"/>
        <w:numPr>
          <w:ilvl w:val="0"/>
          <w:numId w:val="2"/>
        </w:numPr>
      </w:pPr>
      <w:r>
        <w:rPr>
          <w:b/>
          <w:bCs/>
        </w:rPr>
        <w:t xml:space="preserve">Shipping: </w:t>
      </w:r>
      <w:r>
        <w:t xml:space="preserve">Delivery performance data including late delivery risk</w:t>
      </w:r>
    </w:p>
    <w:p>
      <w:pPr>
        <w:pStyle w:val="ListParagraph"/>
        <w:numPr>
          <w:ilvl w:val="0"/>
          <w:numId w:val="2"/>
        </w:numPr>
      </w:pPr>
      <w:r>
        <w:rPr>
          <w:b/>
          <w:bCs/>
        </w:rPr>
        <w:t xml:space="preserve">Customers: </w:t>
      </w:r>
      <w:r>
        <w:t xml:space="preserve">Customer information and geographic data</w:t>
      </w:r>
    </w:p>
    <w:p>
      <w:pPr>
        <w:pStyle w:val="ListParagraph"/>
        <w:numPr>
          <w:ilvl w:val="0"/>
          <w:numId w:val="2"/>
        </w:numPr>
      </w:pPr>
      <w:r>
        <w:rPr>
          <w:b/>
          <w:bCs/>
        </w:rPr>
        <w:t xml:space="preserve">Products: </w:t>
      </w:r>
      <w:r>
        <w:t xml:space="preserve">Product catalog and category relationships</w:t>
      </w:r>
    </w:p>
    <w:p>
      <w:pPr>
        <w:pStyle w:val="ListParagraph"/>
        <w:numPr>
          <w:ilvl w:val="0"/>
          <w:numId w:val="2"/>
        </w:numPr>
      </w:pPr>
      <w:r>
        <w:rPr>
          <w:b/>
          <w:bCs/>
        </w:rPr>
        <w:t xml:space="preserve">Warehouse: </w:t>
      </w:r>
      <w:r>
        <w:t xml:space="preserve">Distribution center locations and regions</w:t>
      </w:r>
    </w:p>
    <w:p>
      <w:pPr>
        <w:pStyle w:val="Heading2"/>
        <w:spacing w:before="240"/>
      </w:pPr>
      <w:r>
        <w:t xml:space="preserve">Key SQL Queries Developed</w:t>
      </w:r>
    </w:p>
    <w:p>
      <w:pPr>
        <w:pStyle w:val="ListParagraph"/>
        <w:numPr>
          <w:ilvl w:val="0"/>
          <w:numId w:val="2"/>
        </w:numPr>
      </w:pPr>
      <w:r>
        <w:t xml:space="preserve">Shipping mode performance analysis with late delivery rates</w:t>
      </w:r>
    </w:p>
    <w:p>
      <w:pPr>
        <w:pStyle w:val="ListParagraph"/>
        <w:numPr>
          <w:ilvl w:val="0"/>
          <w:numId w:val="2"/>
        </w:numPr>
      </w:pPr>
      <w:r>
        <w:t xml:space="preserve">Geographic performance by state and region</w:t>
      </w:r>
    </w:p>
    <w:p>
      <w:pPr>
        <w:pStyle w:val="ListParagraph"/>
        <w:numPr>
          <w:ilvl w:val="0"/>
          <w:numId w:val="2"/>
        </w:numPr>
      </w:pPr>
      <w:r>
        <w:t xml:space="preserve">Product category performance and sales analysis</w:t>
      </w:r>
    </w:p>
    <w:p>
      <w:pPr>
        <w:pStyle w:val="ListParagraph"/>
        <w:numPr>
          <w:ilvl w:val="0"/>
          <w:numId w:val="2"/>
        </w:numPr>
      </w:pPr>
      <w:r>
        <w:t xml:space="preserve">Warehouse performance comparison</w:t>
      </w:r>
    </w:p>
    <w:p>
      <w:pPr>
        <w:pStyle w:val="ListParagraph"/>
        <w:numPr>
          <w:ilvl w:val="0"/>
          <w:numId w:val="2"/>
        </w:numPr>
      </w:pPr>
      <w:r>
        <w:t xml:space="preserve">Bottleneck identification (shipping mode + route combinations)</w:t>
      </w:r>
    </w:p>
    <w:p>
      <w:pPr>
        <w:pStyle w:val="ListParagraph"/>
        <w:numPr>
          <w:ilvl w:val="0"/>
          <w:numId w:val="2"/>
        </w:numPr>
      </w:pPr>
      <w:r>
        <w:t xml:space="preserve">Cost efficiency analysis by shipping mode</w:t>
      </w:r>
    </w:p>
    <w:p>
      <w:pPr>
        <w:pStyle w:val="ListParagraph"/>
        <w:numPr>
          <w:ilvl w:val="0"/>
          <w:numId w:val="2"/>
        </w:numPr>
      </w:pPr>
      <w:r>
        <w:t xml:space="preserve">Time-based performance trends</w:t>
      </w:r>
    </w:p>
    <w:p>
      <w:pPr>
        <w:spacing w:before="300" w:after="120"/>
      </w:pPr>
      <w:r>
        <w:rPr>
          <w:i/>
          <w:iCs/>
        </w:rPr>
        <w:t xml:space="preserve">For detailed technical documentation, SQL scripts, and Python code, please refer to the project repository.</w:t>
      </w:r>
    </w:p>
    <w:p>
      <w:pPr>
        <w:spacing w:before="600"/>
        <w:jc w:val="center"/>
      </w:pPr>
      <w:r>
        <w:rPr>
          <w:i/>
          <w:iCs/>
          <w:color w:val="999999"/>
          <w:sz w:val="20"/>
          <w:szCs w:val="20"/>
        </w:rPr>
        <w:t xml:space="preserve">--- End of Report ---</w:t>
      </w:r>
    </w:p>
    <w:p>
      <w:pPr>
        <w:jc w:val="center"/>
      </w:pPr>
      <w:r>
        <w:rPr>
          <w:i/>
          <w:iCs/>
          <w:color w:val="999999"/>
          <w:sz w:val="18"/>
          <w:szCs w:val="18"/>
        </w:rPr>
        <w:t xml:space="preserve">Prepared for Amazon Transportation Execution &amp; Systems Team</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Transportation Network Analysis | </w:t>
    </w: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7B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2025-12-24T21:25:35.066Z</dcterms:created>
  <dcterms:modified xsi:type="dcterms:W3CDTF">2025-12-24T21:25:35.072Z</dcterms:modified>
</cp:coreProperties>
</file>

<file path=docProps/custom.xml><?xml version="1.0" encoding="utf-8"?>
<Properties xmlns="http://schemas.openxmlformats.org/officeDocument/2006/custom-properties" xmlns:vt="http://schemas.openxmlformats.org/officeDocument/2006/docPropsVTypes"/>
</file>