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3CF4F" w14:textId="2C14F991" w:rsidR="00345311" w:rsidRDefault="009F5341" w:rsidP="0020591E">
      <w:pPr>
        <w:pStyle w:val="NoSpacing"/>
        <w:rPr>
          <w:rFonts w:ascii="Arial" w:hAnsi="Arial" w:cs="Arial"/>
        </w:rPr>
      </w:pPr>
      <w:r w:rsidRPr="007E0AA1">
        <w:rPr>
          <w:rFonts w:ascii="Arial" w:hAnsi="Arial" w:cs="Arial"/>
        </w:rPr>
        <w:t>This document outlines the architecture design recommendation for th</w:t>
      </w:r>
      <w:r w:rsidR="007E0AA1">
        <w:rPr>
          <w:rFonts w:ascii="Arial" w:hAnsi="Arial" w:cs="Arial"/>
        </w:rPr>
        <w:t xml:space="preserve">e </w:t>
      </w:r>
      <w:r w:rsidR="00CB4446">
        <w:rPr>
          <w:rFonts w:ascii="Arial" w:hAnsi="Arial" w:cs="Arial"/>
        </w:rPr>
        <w:t>below</w:t>
      </w:r>
      <w:r w:rsidR="007E0AA1">
        <w:rPr>
          <w:rFonts w:ascii="Arial" w:hAnsi="Arial" w:cs="Arial"/>
        </w:rPr>
        <w:t xml:space="preserve"> IT consult</w:t>
      </w:r>
      <w:r w:rsidR="00CB4446">
        <w:rPr>
          <w:rFonts w:ascii="Arial" w:hAnsi="Arial" w:cs="Arial"/>
        </w:rPr>
        <w:t>.  The recommendation is limited in scope to the service catalog offered by Hosting Midrange.</w:t>
      </w:r>
    </w:p>
    <w:p w14:paraId="770A7E82" w14:textId="77777777" w:rsidR="00CB4446" w:rsidRDefault="00CB4446" w:rsidP="0020591E">
      <w:pPr>
        <w:pStyle w:val="NoSpacing"/>
        <w:rPr>
          <w:rFonts w:ascii="Arial" w:hAnsi="Arial" w:cs="Arial"/>
        </w:rPr>
      </w:pPr>
    </w:p>
    <w:p w14:paraId="68A43FDA" w14:textId="3ACB94DA" w:rsidR="00CB4446" w:rsidRDefault="00CB4446" w:rsidP="0020591E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Consult Name:  </w:t>
      </w:r>
      <w:r w:rsidR="00993735" w:rsidRPr="00993735">
        <w:rPr>
          <w:rFonts w:ascii="Arial" w:hAnsi="Arial" w:cs="Arial"/>
        </w:rPr>
        <w:t>Tanium Server</w:t>
      </w:r>
    </w:p>
    <w:p w14:paraId="54E7FF8B" w14:textId="3AA20785" w:rsidR="00CB4446" w:rsidRDefault="00CB4446" w:rsidP="0020591E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Consult Requester:  </w:t>
      </w:r>
      <w:r w:rsidR="00BF0019">
        <w:rPr>
          <w:rFonts w:ascii="Arial" w:hAnsi="Arial" w:cs="Arial"/>
        </w:rPr>
        <w:t>Neil Donahue</w:t>
      </w:r>
    </w:p>
    <w:p w14:paraId="00328D81" w14:textId="7A1E0682" w:rsidR="00CB4446" w:rsidRPr="0010247E" w:rsidRDefault="00CB4446" w:rsidP="0020591E">
      <w:pPr>
        <w:pStyle w:val="NoSpacing"/>
        <w:rPr>
          <w:rFonts w:ascii="Arial" w:hAnsi="Arial" w:cs="Arial"/>
          <w:color w:val="1F497D" w:themeColor="text2"/>
        </w:rPr>
      </w:pPr>
      <w:r>
        <w:rPr>
          <w:rFonts w:ascii="Arial" w:hAnsi="Arial" w:cs="Arial"/>
        </w:rPr>
        <w:t>Consult Description:</w:t>
      </w:r>
      <w:r w:rsidR="001251F4">
        <w:rPr>
          <w:rFonts w:ascii="Arial" w:hAnsi="Arial" w:cs="Arial"/>
        </w:rPr>
        <w:t xml:space="preserve">  </w:t>
      </w:r>
      <w:r w:rsidR="00BF0019">
        <w:rPr>
          <w:rFonts w:ascii="Arial" w:hAnsi="Arial" w:cs="Arial"/>
        </w:rPr>
        <w:t xml:space="preserve">Server configuration for </w:t>
      </w:r>
      <w:r w:rsidR="00BF0019" w:rsidRPr="00BF0019">
        <w:rPr>
          <w:rFonts w:ascii="Arial" w:hAnsi="Arial" w:cs="Arial"/>
        </w:rPr>
        <w:t>Tanium Server</w:t>
      </w:r>
      <w:r w:rsidR="00BF0019">
        <w:rPr>
          <w:rFonts w:ascii="Arial" w:hAnsi="Arial" w:cs="Arial"/>
        </w:rPr>
        <w:t>s</w:t>
      </w:r>
    </w:p>
    <w:p w14:paraId="7613CF50" w14:textId="77777777" w:rsidR="009F5341" w:rsidRDefault="009F5341" w:rsidP="0020591E">
      <w:pPr>
        <w:pStyle w:val="NoSpacing"/>
      </w:pPr>
    </w:p>
    <w:p w14:paraId="7613CF51" w14:textId="77777777" w:rsidR="0020591E" w:rsidRDefault="009F5341" w:rsidP="009F5341">
      <w:pPr>
        <w:pStyle w:val="Heading1"/>
        <w:numPr>
          <w:ilvl w:val="0"/>
          <w:numId w:val="7"/>
        </w:numPr>
        <w:rPr>
          <w:color w:val="auto"/>
        </w:rPr>
      </w:pPr>
      <w:r w:rsidRPr="009F5341">
        <w:rPr>
          <w:color w:val="auto"/>
        </w:rPr>
        <w:t>Problem Statement</w:t>
      </w:r>
    </w:p>
    <w:p w14:paraId="4FD05FD3" w14:textId="77777777" w:rsidR="00BF0019" w:rsidRDefault="00BF0019" w:rsidP="00BF0019"/>
    <w:p w14:paraId="07F90E3A" w14:textId="6FD06EC9" w:rsidR="00BF0019" w:rsidRPr="00CB1866" w:rsidRDefault="00BF0019" w:rsidP="00BF0019">
      <w:pPr>
        <w:rPr>
          <w:rFonts w:ascii="Arial" w:hAnsi="Arial" w:cs="Arial"/>
        </w:rPr>
      </w:pPr>
      <w:r w:rsidRPr="00CB1866">
        <w:rPr>
          <w:rFonts w:ascii="Arial" w:hAnsi="Arial" w:cs="Arial"/>
        </w:rPr>
        <w:t xml:space="preserve">            GIS is </w:t>
      </w:r>
      <w:r w:rsidR="00880C66" w:rsidRPr="00CB1866">
        <w:rPr>
          <w:rFonts w:ascii="Arial" w:hAnsi="Arial" w:cs="Arial"/>
        </w:rPr>
        <w:t>requiring</w:t>
      </w:r>
      <w:r w:rsidRPr="00CB1866">
        <w:rPr>
          <w:rFonts w:ascii="Arial" w:hAnsi="Arial" w:cs="Arial"/>
        </w:rPr>
        <w:t xml:space="preserve"> a pair of physical servers to </w:t>
      </w:r>
      <w:r w:rsidR="00CB1866" w:rsidRPr="00CB1866">
        <w:rPr>
          <w:rFonts w:ascii="Arial" w:hAnsi="Arial" w:cs="Arial"/>
        </w:rPr>
        <w:t xml:space="preserve">host the Tanium service. </w:t>
      </w:r>
    </w:p>
    <w:p w14:paraId="7F06F303" w14:textId="5B223661" w:rsidR="00CB1866" w:rsidRDefault="00CB1866" w:rsidP="00CB1866">
      <w:r w:rsidRPr="00CB1866">
        <w:rPr>
          <w:rFonts w:ascii="Arial" w:hAnsi="Arial" w:cs="Arial"/>
        </w:rPr>
        <w:t>Product description: The Tanium Architecture - The Tanium Endpoint Platform is the first and only enterprise platform that provides security and IT operations teams with 15-second visibility and control to secure and manage every endpoint on the network, regardless of the size. At the heart of this platform is Tanium’s patented linear-chaining architecture</w:t>
      </w:r>
      <w:r w:rsidRPr="00CB1866">
        <w:t>.</w:t>
      </w:r>
    </w:p>
    <w:p w14:paraId="42FF08F0" w14:textId="77777777" w:rsidR="007F4046" w:rsidRPr="007F4046" w:rsidRDefault="007F4046" w:rsidP="007F4046">
      <w:pPr>
        <w:spacing w:after="0" w:line="240" w:lineRule="auto"/>
        <w:ind w:left="2880"/>
        <w:rPr>
          <w:rFonts w:ascii="Arial" w:eastAsia="Calibri" w:hAnsi="Arial" w:cs="Arial"/>
        </w:rPr>
      </w:pPr>
      <w:r w:rsidRPr="007F4046">
        <w:rPr>
          <w:rFonts w:ascii="Arial" w:eastAsia="Calibri" w:hAnsi="Arial" w:cs="Arial"/>
        </w:rPr>
        <w:t>The specifications are:</w:t>
      </w:r>
      <w:bookmarkStart w:id="0" w:name="_GoBack"/>
      <w:bookmarkEnd w:id="0"/>
    </w:p>
    <w:p w14:paraId="4D06C29E" w14:textId="77777777" w:rsidR="007F4046" w:rsidRPr="007F4046" w:rsidRDefault="007F4046" w:rsidP="007F4046">
      <w:pPr>
        <w:spacing w:after="0" w:line="240" w:lineRule="auto"/>
        <w:ind w:left="2880"/>
        <w:rPr>
          <w:rFonts w:ascii="Arial" w:eastAsia="Calibri" w:hAnsi="Arial" w:cs="Arial"/>
        </w:rPr>
      </w:pPr>
      <w:r w:rsidRPr="007F4046">
        <w:rPr>
          <w:rFonts w:ascii="Arial" w:eastAsia="Calibri" w:hAnsi="Arial" w:cs="Arial"/>
        </w:rPr>
        <w:t xml:space="preserve">Server Cores             40 </w:t>
      </w:r>
    </w:p>
    <w:p w14:paraId="176502AA" w14:textId="77777777" w:rsidR="007F4046" w:rsidRPr="007F4046" w:rsidRDefault="007F4046" w:rsidP="007F4046">
      <w:pPr>
        <w:spacing w:after="0" w:line="240" w:lineRule="auto"/>
        <w:ind w:left="2880"/>
        <w:rPr>
          <w:rFonts w:ascii="Arial" w:eastAsia="Calibri" w:hAnsi="Arial" w:cs="Arial"/>
        </w:rPr>
      </w:pPr>
      <w:r w:rsidRPr="007F4046">
        <w:rPr>
          <w:rFonts w:ascii="Arial" w:eastAsia="Calibri" w:hAnsi="Arial" w:cs="Arial"/>
        </w:rPr>
        <w:t xml:space="preserve">Memory                      128 GB </w:t>
      </w:r>
    </w:p>
    <w:p w14:paraId="1923F061" w14:textId="77777777" w:rsidR="007F4046" w:rsidRPr="007F4046" w:rsidRDefault="007F4046" w:rsidP="007F4046">
      <w:pPr>
        <w:spacing w:after="0" w:line="240" w:lineRule="auto"/>
        <w:ind w:left="2880"/>
        <w:rPr>
          <w:rFonts w:ascii="Arial" w:eastAsia="Calibri" w:hAnsi="Arial" w:cs="Arial"/>
        </w:rPr>
      </w:pPr>
      <w:r w:rsidRPr="007F4046">
        <w:rPr>
          <w:rFonts w:ascii="Arial" w:eastAsia="Calibri" w:hAnsi="Arial" w:cs="Arial"/>
        </w:rPr>
        <w:t xml:space="preserve">Disk Space                 1.5 TB </w:t>
      </w:r>
    </w:p>
    <w:p w14:paraId="71402B41" w14:textId="77777777" w:rsidR="007F4046" w:rsidRPr="00BF0019" w:rsidRDefault="007F4046" w:rsidP="00CB1866"/>
    <w:p w14:paraId="7613CF52" w14:textId="77777777" w:rsidR="009F5341" w:rsidRDefault="009F5341" w:rsidP="00192F36">
      <w:pPr>
        <w:pStyle w:val="NoSpacing"/>
        <w:ind w:left="360"/>
      </w:pPr>
    </w:p>
    <w:p w14:paraId="7613CF58" w14:textId="77777777" w:rsidR="009F5341" w:rsidRPr="009F5341" w:rsidRDefault="009F5341" w:rsidP="009F5341">
      <w:pPr>
        <w:pStyle w:val="Heading1"/>
        <w:numPr>
          <w:ilvl w:val="0"/>
          <w:numId w:val="7"/>
        </w:numPr>
        <w:rPr>
          <w:color w:val="auto"/>
        </w:rPr>
      </w:pPr>
      <w:r w:rsidRPr="009F5341">
        <w:rPr>
          <w:color w:val="auto"/>
        </w:rPr>
        <w:t>Assumptions</w:t>
      </w:r>
    </w:p>
    <w:p w14:paraId="7613CF59" w14:textId="77777777" w:rsidR="009F5341" w:rsidRPr="003C6A5D" w:rsidRDefault="009F5341" w:rsidP="003C6A5D">
      <w:pPr>
        <w:pStyle w:val="NoSpacing"/>
      </w:pPr>
    </w:p>
    <w:p w14:paraId="7613CF5A" w14:textId="77777777" w:rsidR="009F5341" w:rsidRDefault="003C6A5D" w:rsidP="003C6A5D">
      <w:pPr>
        <w:pStyle w:val="NoSpacing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All </w:t>
      </w:r>
      <w:r w:rsidR="00635129">
        <w:rPr>
          <w:rFonts w:ascii="Arial" w:hAnsi="Arial" w:cs="Arial"/>
          <w:bCs/>
        </w:rPr>
        <w:t xml:space="preserve">requirements and information pertaining to the existing environment </w:t>
      </w:r>
      <w:r w:rsidR="004323CF">
        <w:rPr>
          <w:rFonts w:ascii="Arial" w:hAnsi="Arial" w:cs="Arial"/>
          <w:bCs/>
        </w:rPr>
        <w:t>are</w:t>
      </w:r>
      <w:r w:rsidR="00635129">
        <w:rPr>
          <w:rFonts w:ascii="Arial" w:hAnsi="Arial" w:cs="Arial"/>
          <w:bCs/>
        </w:rPr>
        <w:t xml:space="preserve"> accurate</w:t>
      </w:r>
      <w:r w:rsidR="004323CF">
        <w:rPr>
          <w:rFonts w:ascii="Arial" w:hAnsi="Arial" w:cs="Arial"/>
          <w:bCs/>
        </w:rPr>
        <w:t>.</w:t>
      </w:r>
    </w:p>
    <w:p w14:paraId="238B5763" w14:textId="77777777" w:rsidR="00303F6A" w:rsidRDefault="00303F6A" w:rsidP="003C6A5D">
      <w:pPr>
        <w:pStyle w:val="NoSpacing"/>
        <w:ind w:left="360"/>
        <w:rPr>
          <w:rFonts w:ascii="Arial" w:hAnsi="Arial" w:cs="Arial"/>
          <w:bCs/>
        </w:rPr>
      </w:pPr>
    </w:p>
    <w:p w14:paraId="7613CF5C" w14:textId="77777777" w:rsidR="009F5341" w:rsidRDefault="009F5341" w:rsidP="009F5341">
      <w:pPr>
        <w:pStyle w:val="Heading1"/>
        <w:numPr>
          <w:ilvl w:val="0"/>
          <w:numId w:val="7"/>
        </w:numPr>
        <w:rPr>
          <w:color w:val="auto"/>
        </w:rPr>
      </w:pPr>
      <w:r w:rsidRPr="009F5341">
        <w:rPr>
          <w:color w:val="auto"/>
        </w:rPr>
        <w:t>Motivation</w:t>
      </w:r>
    </w:p>
    <w:p w14:paraId="26D4B646" w14:textId="77777777" w:rsidR="00CB1866" w:rsidRDefault="00CB1866" w:rsidP="00CB1866"/>
    <w:p w14:paraId="49616575" w14:textId="2ACE8EA3" w:rsidR="00CB1866" w:rsidRPr="00CB1866" w:rsidRDefault="00CB1866" w:rsidP="00CB1866">
      <w:pPr>
        <w:ind w:left="360"/>
        <w:rPr>
          <w:rFonts w:ascii="Arial" w:hAnsi="Arial" w:cs="Arial"/>
        </w:rPr>
      </w:pPr>
      <w:r w:rsidRPr="00CB1866">
        <w:rPr>
          <w:rFonts w:ascii="Arial" w:hAnsi="Arial" w:cs="Arial"/>
        </w:rPr>
        <w:t>Improved security</w:t>
      </w:r>
      <w:r>
        <w:rPr>
          <w:rFonts w:ascii="Arial" w:hAnsi="Arial" w:cs="Arial"/>
        </w:rPr>
        <w:t>.</w:t>
      </w:r>
      <w:r w:rsidRPr="00CB1866">
        <w:rPr>
          <w:rFonts w:ascii="Arial" w:hAnsi="Arial" w:cs="Arial"/>
        </w:rPr>
        <w:t xml:space="preserve"> </w:t>
      </w:r>
    </w:p>
    <w:p w14:paraId="7613CF5F" w14:textId="77777777" w:rsidR="00EA277B" w:rsidRPr="00192F36" w:rsidRDefault="00EA277B" w:rsidP="00192F36">
      <w:pPr>
        <w:pStyle w:val="NoSpacing"/>
        <w:ind w:left="360"/>
      </w:pPr>
    </w:p>
    <w:p w14:paraId="7613CF60" w14:textId="77777777" w:rsidR="009F5341" w:rsidRPr="009F5341" w:rsidRDefault="009F5341" w:rsidP="009F5341">
      <w:pPr>
        <w:pStyle w:val="Heading1"/>
        <w:numPr>
          <w:ilvl w:val="0"/>
          <w:numId w:val="7"/>
        </w:numPr>
        <w:rPr>
          <w:color w:val="auto"/>
        </w:rPr>
      </w:pPr>
      <w:r w:rsidRPr="009F5341">
        <w:rPr>
          <w:color w:val="auto"/>
        </w:rPr>
        <w:t>Alternatives</w:t>
      </w:r>
    </w:p>
    <w:p w14:paraId="7613CF61" w14:textId="77777777" w:rsidR="009F5341" w:rsidRPr="00192F36" w:rsidRDefault="009F5341" w:rsidP="00192F36">
      <w:pPr>
        <w:pStyle w:val="NoSpacing"/>
      </w:pPr>
    </w:p>
    <w:p w14:paraId="7613CF62" w14:textId="3C7DCF3E" w:rsidR="009F5341" w:rsidRPr="00BF0019" w:rsidRDefault="00EA277B" w:rsidP="00192F36">
      <w:pPr>
        <w:pStyle w:val="NoSpacing"/>
        <w:ind w:left="360"/>
        <w:rPr>
          <w:rFonts w:ascii="Arial" w:hAnsi="Arial" w:cs="Arial"/>
          <w:bCs/>
        </w:rPr>
      </w:pPr>
      <w:r w:rsidRPr="00BF0019">
        <w:rPr>
          <w:rFonts w:ascii="Arial" w:hAnsi="Arial" w:cs="Arial"/>
          <w:bCs/>
        </w:rPr>
        <w:t xml:space="preserve">No design alternatives </w:t>
      </w:r>
      <w:r w:rsidR="004323CF" w:rsidRPr="00BF0019">
        <w:rPr>
          <w:rFonts w:ascii="Arial" w:hAnsi="Arial" w:cs="Arial"/>
          <w:bCs/>
        </w:rPr>
        <w:t>prov</w:t>
      </w:r>
      <w:r w:rsidR="00303F6A" w:rsidRPr="00BF0019">
        <w:rPr>
          <w:rFonts w:ascii="Arial" w:hAnsi="Arial" w:cs="Arial"/>
          <w:bCs/>
        </w:rPr>
        <w:t>ided – standard Liberty Mutual M</w:t>
      </w:r>
      <w:r w:rsidR="004323CF" w:rsidRPr="00BF0019">
        <w:rPr>
          <w:rFonts w:ascii="Arial" w:hAnsi="Arial" w:cs="Arial"/>
          <w:bCs/>
        </w:rPr>
        <w:t xml:space="preserve">idrange compute platforms are sufficient to meet all </w:t>
      </w:r>
      <w:r w:rsidR="000423D5" w:rsidRPr="00BF0019">
        <w:rPr>
          <w:rFonts w:ascii="Arial" w:hAnsi="Arial" w:cs="Arial"/>
          <w:bCs/>
        </w:rPr>
        <w:t xml:space="preserve">defined </w:t>
      </w:r>
      <w:r w:rsidR="004323CF" w:rsidRPr="00BF0019">
        <w:rPr>
          <w:rFonts w:ascii="Arial" w:hAnsi="Arial" w:cs="Arial"/>
          <w:bCs/>
        </w:rPr>
        <w:t>requirements.</w:t>
      </w:r>
    </w:p>
    <w:p w14:paraId="7613CF63" w14:textId="77777777" w:rsidR="00EA277B" w:rsidRDefault="00EA277B" w:rsidP="00192F36">
      <w:pPr>
        <w:pStyle w:val="NoSpacing"/>
        <w:ind w:left="360"/>
        <w:rPr>
          <w:rFonts w:ascii="Arial" w:hAnsi="Arial" w:cs="Arial"/>
          <w:bCs/>
        </w:rPr>
      </w:pPr>
    </w:p>
    <w:p w14:paraId="7613CF64" w14:textId="77777777" w:rsidR="00EA277B" w:rsidRDefault="00EA277B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br w:type="page"/>
      </w:r>
    </w:p>
    <w:p w14:paraId="7613CF65" w14:textId="77777777" w:rsidR="009F5341" w:rsidRPr="009F5341" w:rsidRDefault="00192F36" w:rsidP="009F5341">
      <w:pPr>
        <w:pStyle w:val="Heading1"/>
        <w:numPr>
          <w:ilvl w:val="0"/>
          <w:numId w:val="7"/>
        </w:numPr>
        <w:rPr>
          <w:color w:val="auto"/>
        </w:rPr>
      </w:pPr>
      <w:r>
        <w:rPr>
          <w:color w:val="auto"/>
        </w:rPr>
        <w:lastRenderedPageBreak/>
        <w:t>Recommendation</w:t>
      </w:r>
    </w:p>
    <w:p w14:paraId="7613CF66" w14:textId="77777777" w:rsidR="009F5341" w:rsidRPr="003C6A5D" w:rsidRDefault="009F5341" w:rsidP="003C6A5D">
      <w:pPr>
        <w:pStyle w:val="NoSpacing"/>
      </w:pPr>
    </w:p>
    <w:p w14:paraId="588E4131" w14:textId="77777777" w:rsidR="00481037" w:rsidRDefault="00481037" w:rsidP="003C6A5D">
      <w:pPr>
        <w:pStyle w:val="NoSpacing"/>
        <w:ind w:left="360"/>
        <w:rPr>
          <w:rFonts w:ascii="Arial" w:hAnsi="Arial" w:cs="Arial"/>
          <w:bCs/>
          <w:i/>
          <w:color w:val="FF0000"/>
        </w:rPr>
      </w:pPr>
    </w:p>
    <w:p w14:paraId="095974DD" w14:textId="1B04A100" w:rsidR="00481037" w:rsidRDefault="00481037" w:rsidP="003C6A5D">
      <w:pPr>
        <w:pStyle w:val="NoSpacing"/>
        <w:ind w:left="360"/>
        <w:rPr>
          <w:rFonts w:ascii="Arial" w:hAnsi="Arial" w:cs="Arial"/>
          <w:bCs/>
        </w:rPr>
      </w:pPr>
      <w:r w:rsidRPr="00481037">
        <w:rPr>
          <w:rFonts w:ascii="Arial" w:hAnsi="Arial" w:cs="Arial"/>
          <w:bCs/>
        </w:rPr>
        <w:t xml:space="preserve">Based on stated </w:t>
      </w:r>
      <w:r w:rsidR="00880C66" w:rsidRPr="00481037">
        <w:rPr>
          <w:rFonts w:ascii="Arial" w:hAnsi="Arial" w:cs="Arial"/>
          <w:bCs/>
        </w:rPr>
        <w:t>requirements</w:t>
      </w:r>
      <w:r w:rsidRPr="00481037">
        <w:rPr>
          <w:rFonts w:ascii="Arial" w:hAnsi="Arial" w:cs="Arial"/>
          <w:bCs/>
        </w:rPr>
        <w:t xml:space="preserve"> and conversations with requester and HP, the below server configuration meets the </w:t>
      </w:r>
      <w:r w:rsidR="00880C66" w:rsidRPr="00481037">
        <w:rPr>
          <w:rFonts w:ascii="Arial" w:hAnsi="Arial" w:cs="Arial"/>
          <w:bCs/>
        </w:rPr>
        <w:t>requirements</w:t>
      </w:r>
      <w:r w:rsidRPr="00481037">
        <w:rPr>
          <w:rFonts w:ascii="Arial" w:hAnsi="Arial" w:cs="Arial"/>
          <w:bCs/>
        </w:rPr>
        <w:t xml:space="preserve"> and represents a </w:t>
      </w:r>
      <w:r>
        <w:rPr>
          <w:rFonts w:ascii="Arial" w:hAnsi="Arial" w:cs="Arial"/>
          <w:bCs/>
        </w:rPr>
        <w:t xml:space="preserve">viable &amp; </w:t>
      </w:r>
      <w:r w:rsidRPr="00481037">
        <w:rPr>
          <w:rFonts w:ascii="Arial" w:hAnsi="Arial" w:cs="Arial"/>
          <w:bCs/>
        </w:rPr>
        <w:t xml:space="preserve">supportable </w:t>
      </w:r>
      <w:r>
        <w:rPr>
          <w:rFonts w:ascii="Arial" w:hAnsi="Arial" w:cs="Arial"/>
          <w:bCs/>
        </w:rPr>
        <w:t>solution.</w:t>
      </w:r>
    </w:p>
    <w:p w14:paraId="30FDA1F4" w14:textId="77777777" w:rsidR="00481037" w:rsidRPr="00481037" w:rsidRDefault="00481037" w:rsidP="003C6A5D">
      <w:pPr>
        <w:pStyle w:val="NoSpacing"/>
        <w:ind w:left="360"/>
        <w:rPr>
          <w:rFonts w:ascii="Arial" w:hAnsi="Arial" w:cs="Arial"/>
          <w:bCs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669"/>
        <w:gridCol w:w="740"/>
        <w:gridCol w:w="1651"/>
        <w:gridCol w:w="5457"/>
      </w:tblGrid>
      <w:tr w:rsidR="00993735" w:rsidRPr="00481037" w14:paraId="650B1AC2" w14:textId="77777777" w:rsidTr="00993735">
        <w:trPr>
          <w:trHeight w:val="270"/>
        </w:trPr>
        <w:tc>
          <w:tcPr>
            <w:tcW w:w="669" w:type="dxa"/>
          </w:tcPr>
          <w:p w14:paraId="03471450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Line</w:t>
            </w:r>
          </w:p>
        </w:tc>
        <w:tc>
          <w:tcPr>
            <w:tcW w:w="740" w:type="dxa"/>
            <w:noWrap/>
            <w:hideMark/>
          </w:tcPr>
          <w:p w14:paraId="58E2E8C6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481037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1651" w:type="dxa"/>
            <w:noWrap/>
            <w:hideMark/>
          </w:tcPr>
          <w:p w14:paraId="1408D81D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Part </w:t>
            </w:r>
            <w:r w:rsidRPr="00481037">
              <w:rPr>
                <w:rFonts w:ascii="Arial" w:hAnsi="Arial" w:cs="Arial"/>
                <w:b/>
                <w:bCs/>
              </w:rPr>
              <w:t>Number</w:t>
            </w:r>
          </w:p>
        </w:tc>
        <w:tc>
          <w:tcPr>
            <w:tcW w:w="5457" w:type="dxa"/>
            <w:noWrap/>
            <w:hideMark/>
          </w:tcPr>
          <w:p w14:paraId="32579565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481037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993735" w:rsidRPr="00481037" w14:paraId="35FE8060" w14:textId="77777777" w:rsidTr="00993735">
        <w:trPr>
          <w:trHeight w:val="255"/>
        </w:trPr>
        <w:tc>
          <w:tcPr>
            <w:tcW w:w="669" w:type="dxa"/>
          </w:tcPr>
          <w:p w14:paraId="760E60DC" w14:textId="77777777" w:rsidR="00993735" w:rsidRPr="00481037" w:rsidRDefault="00993735" w:rsidP="00993735">
            <w:pPr>
              <w:pStyle w:val="NoSpacing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20A6D6B4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651" w:type="dxa"/>
            <w:noWrap/>
            <w:hideMark/>
          </w:tcPr>
          <w:p w14:paraId="3B8777C1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719064-B21</w:t>
            </w:r>
          </w:p>
        </w:tc>
        <w:tc>
          <w:tcPr>
            <w:tcW w:w="5457" w:type="dxa"/>
            <w:noWrap/>
            <w:hideMark/>
          </w:tcPr>
          <w:p w14:paraId="570A0213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HP DL380 Gen9 8SFF CTO Server</w:t>
            </w:r>
          </w:p>
        </w:tc>
      </w:tr>
      <w:tr w:rsidR="00993735" w:rsidRPr="00481037" w14:paraId="5FD50C48" w14:textId="77777777" w:rsidTr="00993735">
        <w:trPr>
          <w:trHeight w:val="255"/>
        </w:trPr>
        <w:tc>
          <w:tcPr>
            <w:tcW w:w="669" w:type="dxa"/>
          </w:tcPr>
          <w:p w14:paraId="7F8FA4CF" w14:textId="77777777" w:rsidR="00993735" w:rsidRPr="00481037" w:rsidRDefault="00993735" w:rsidP="00993735">
            <w:pPr>
              <w:pStyle w:val="NoSpacing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44B29368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651" w:type="dxa"/>
            <w:noWrap/>
            <w:hideMark/>
          </w:tcPr>
          <w:p w14:paraId="11CDE084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817965-L21</w:t>
            </w:r>
          </w:p>
        </w:tc>
        <w:tc>
          <w:tcPr>
            <w:tcW w:w="5457" w:type="dxa"/>
            <w:noWrap/>
            <w:hideMark/>
          </w:tcPr>
          <w:p w14:paraId="222AD25D" w14:textId="1CC1B3D6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 xml:space="preserve">HPE DL380 Gen9 E5-2698v4 </w:t>
            </w:r>
            <w:r w:rsidR="007E1581">
              <w:rPr>
                <w:rFonts w:ascii="Arial" w:hAnsi="Arial" w:cs="Arial"/>
                <w:bCs/>
              </w:rPr>
              <w:t xml:space="preserve">20 core </w:t>
            </w:r>
            <w:r w:rsidRPr="00481037">
              <w:rPr>
                <w:rFonts w:ascii="Arial" w:hAnsi="Arial" w:cs="Arial"/>
                <w:bCs/>
              </w:rPr>
              <w:t>FIO Kit</w:t>
            </w:r>
          </w:p>
        </w:tc>
      </w:tr>
      <w:tr w:rsidR="00993735" w:rsidRPr="00481037" w14:paraId="4FA8C30A" w14:textId="77777777" w:rsidTr="00993735">
        <w:trPr>
          <w:trHeight w:val="255"/>
        </w:trPr>
        <w:tc>
          <w:tcPr>
            <w:tcW w:w="669" w:type="dxa"/>
          </w:tcPr>
          <w:p w14:paraId="0B44FF79" w14:textId="77777777" w:rsidR="00993735" w:rsidRPr="00481037" w:rsidRDefault="00993735" w:rsidP="00993735">
            <w:pPr>
              <w:pStyle w:val="NoSpacing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71098C36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651" w:type="dxa"/>
            <w:noWrap/>
            <w:hideMark/>
          </w:tcPr>
          <w:p w14:paraId="1654E9DB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817965-B21</w:t>
            </w:r>
          </w:p>
        </w:tc>
        <w:tc>
          <w:tcPr>
            <w:tcW w:w="5457" w:type="dxa"/>
            <w:noWrap/>
            <w:hideMark/>
          </w:tcPr>
          <w:p w14:paraId="529C424F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HPE DL380 Gen9 E5-2698v4 Kit</w:t>
            </w:r>
          </w:p>
        </w:tc>
      </w:tr>
      <w:tr w:rsidR="00993735" w:rsidRPr="00481037" w14:paraId="682AA52B" w14:textId="77777777" w:rsidTr="00993735">
        <w:trPr>
          <w:trHeight w:val="255"/>
        </w:trPr>
        <w:tc>
          <w:tcPr>
            <w:tcW w:w="669" w:type="dxa"/>
          </w:tcPr>
          <w:p w14:paraId="184F3785" w14:textId="77777777" w:rsidR="00993735" w:rsidRPr="00481037" w:rsidRDefault="00993735" w:rsidP="00993735">
            <w:pPr>
              <w:pStyle w:val="NoSpacing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740" w:type="dxa"/>
            <w:noWrap/>
            <w:hideMark/>
          </w:tcPr>
          <w:p w14:paraId="32119779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651" w:type="dxa"/>
            <w:noWrap/>
            <w:hideMark/>
          </w:tcPr>
          <w:p w14:paraId="67ECD299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836220-B21</w:t>
            </w:r>
          </w:p>
        </w:tc>
        <w:tc>
          <w:tcPr>
            <w:tcW w:w="5457" w:type="dxa"/>
            <w:noWrap/>
            <w:hideMark/>
          </w:tcPr>
          <w:p w14:paraId="03582907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HPE 16GB 2Rx4 PC4-2400T-R Kit</w:t>
            </w:r>
          </w:p>
        </w:tc>
      </w:tr>
      <w:tr w:rsidR="00993735" w:rsidRPr="00481037" w14:paraId="1D38EC86" w14:textId="77777777" w:rsidTr="00993735">
        <w:trPr>
          <w:trHeight w:val="255"/>
        </w:trPr>
        <w:tc>
          <w:tcPr>
            <w:tcW w:w="669" w:type="dxa"/>
          </w:tcPr>
          <w:p w14:paraId="470F423B" w14:textId="77777777" w:rsidR="00993735" w:rsidRPr="00481037" w:rsidRDefault="00993735" w:rsidP="00993735">
            <w:pPr>
              <w:pStyle w:val="NoSpacing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740" w:type="dxa"/>
            <w:noWrap/>
            <w:hideMark/>
          </w:tcPr>
          <w:p w14:paraId="2F6CA295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651" w:type="dxa"/>
            <w:noWrap/>
            <w:hideMark/>
          </w:tcPr>
          <w:p w14:paraId="75A5FD1A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781516-B21</w:t>
            </w:r>
          </w:p>
        </w:tc>
        <w:tc>
          <w:tcPr>
            <w:tcW w:w="5457" w:type="dxa"/>
            <w:noWrap/>
            <w:hideMark/>
          </w:tcPr>
          <w:p w14:paraId="7BEBB984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HP 600GB 12G SAS 10K 2.5in SC ENT HDD</w:t>
            </w:r>
          </w:p>
        </w:tc>
      </w:tr>
      <w:tr w:rsidR="00993735" w:rsidRPr="00481037" w14:paraId="3C2A852D" w14:textId="77777777" w:rsidTr="00993735">
        <w:trPr>
          <w:trHeight w:val="255"/>
        </w:trPr>
        <w:tc>
          <w:tcPr>
            <w:tcW w:w="669" w:type="dxa"/>
          </w:tcPr>
          <w:p w14:paraId="2BD695FD" w14:textId="77777777" w:rsidR="00993735" w:rsidRPr="00481037" w:rsidRDefault="00993735" w:rsidP="00993735">
            <w:pPr>
              <w:pStyle w:val="NoSpacing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740" w:type="dxa"/>
            <w:noWrap/>
            <w:hideMark/>
          </w:tcPr>
          <w:p w14:paraId="6244E56C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651" w:type="dxa"/>
            <w:noWrap/>
            <w:hideMark/>
          </w:tcPr>
          <w:p w14:paraId="08224A43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785067-B21</w:t>
            </w:r>
          </w:p>
        </w:tc>
        <w:tc>
          <w:tcPr>
            <w:tcW w:w="5457" w:type="dxa"/>
            <w:noWrap/>
            <w:hideMark/>
          </w:tcPr>
          <w:p w14:paraId="2687A0A4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HP 300GB 12G SAS 10K 2.5in SC ENT HDD</w:t>
            </w:r>
          </w:p>
        </w:tc>
      </w:tr>
      <w:tr w:rsidR="00993735" w:rsidRPr="00481037" w14:paraId="7E64B55A" w14:textId="77777777" w:rsidTr="00993735">
        <w:trPr>
          <w:trHeight w:val="255"/>
        </w:trPr>
        <w:tc>
          <w:tcPr>
            <w:tcW w:w="669" w:type="dxa"/>
          </w:tcPr>
          <w:p w14:paraId="4643E1C5" w14:textId="77777777" w:rsidR="00993735" w:rsidRPr="00481037" w:rsidRDefault="00993735" w:rsidP="00993735">
            <w:pPr>
              <w:pStyle w:val="NoSpacing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740" w:type="dxa"/>
            <w:noWrap/>
            <w:hideMark/>
          </w:tcPr>
          <w:p w14:paraId="353914EA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651" w:type="dxa"/>
            <w:noWrap/>
            <w:hideMark/>
          </w:tcPr>
          <w:p w14:paraId="69E42062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719073-B21</w:t>
            </w:r>
          </w:p>
        </w:tc>
        <w:tc>
          <w:tcPr>
            <w:tcW w:w="5457" w:type="dxa"/>
            <w:noWrap/>
            <w:hideMark/>
          </w:tcPr>
          <w:p w14:paraId="6FBB4576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HP DL380 Gen9 Secondary Riser</w:t>
            </w:r>
          </w:p>
        </w:tc>
      </w:tr>
      <w:tr w:rsidR="00993735" w:rsidRPr="00481037" w14:paraId="7C5E6F24" w14:textId="77777777" w:rsidTr="00993735">
        <w:trPr>
          <w:trHeight w:val="255"/>
        </w:trPr>
        <w:tc>
          <w:tcPr>
            <w:tcW w:w="669" w:type="dxa"/>
          </w:tcPr>
          <w:p w14:paraId="788E36B4" w14:textId="77777777" w:rsidR="00993735" w:rsidRPr="00481037" w:rsidRDefault="00993735" w:rsidP="00993735">
            <w:pPr>
              <w:pStyle w:val="NoSpacing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740" w:type="dxa"/>
            <w:noWrap/>
            <w:hideMark/>
          </w:tcPr>
          <w:p w14:paraId="02D57EB9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651" w:type="dxa"/>
            <w:noWrap/>
            <w:hideMark/>
          </w:tcPr>
          <w:p w14:paraId="536B1EE7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749974-B21</w:t>
            </w:r>
          </w:p>
        </w:tc>
        <w:tc>
          <w:tcPr>
            <w:tcW w:w="5457" w:type="dxa"/>
            <w:noWrap/>
            <w:hideMark/>
          </w:tcPr>
          <w:p w14:paraId="4F8D5764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HP Smart Array P440ar/2G FIO Controller</w:t>
            </w:r>
          </w:p>
        </w:tc>
      </w:tr>
      <w:tr w:rsidR="00993735" w:rsidRPr="00481037" w14:paraId="12A38F9F" w14:textId="77777777" w:rsidTr="00993735">
        <w:trPr>
          <w:trHeight w:val="255"/>
        </w:trPr>
        <w:tc>
          <w:tcPr>
            <w:tcW w:w="669" w:type="dxa"/>
          </w:tcPr>
          <w:p w14:paraId="4DDAB3C9" w14:textId="77777777" w:rsidR="00993735" w:rsidRPr="00481037" w:rsidRDefault="00993735" w:rsidP="00993735">
            <w:pPr>
              <w:pStyle w:val="NoSpacing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740" w:type="dxa"/>
            <w:noWrap/>
            <w:hideMark/>
          </w:tcPr>
          <w:p w14:paraId="5A2FFBA9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651" w:type="dxa"/>
            <w:noWrap/>
            <w:hideMark/>
          </w:tcPr>
          <w:p w14:paraId="7DD673D5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652503-B21</w:t>
            </w:r>
          </w:p>
        </w:tc>
        <w:tc>
          <w:tcPr>
            <w:tcW w:w="5457" w:type="dxa"/>
            <w:noWrap/>
            <w:hideMark/>
          </w:tcPr>
          <w:p w14:paraId="2726B2BC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HP Ethernet 10Gb 2P 530SFP+ Adptr</w:t>
            </w:r>
          </w:p>
        </w:tc>
      </w:tr>
      <w:tr w:rsidR="00993735" w:rsidRPr="00481037" w14:paraId="31B20BC1" w14:textId="77777777" w:rsidTr="00993735">
        <w:trPr>
          <w:trHeight w:val="255"/>
        </w:trPr>
        <w:tc>
          <w:tcPr>
            <w:tcW w:w="669" w:type="dxa"/>
          </w:tcPr>
          <w:p w14:paraId="27C97884" w14:textId="77777777" w:rsidR="00993735" w:rsidRPr="00481037" w:rsidRDefault="00993735" w:rsidP="00993735">
            <w:pPr>
              <w:pStyle w:val="NoSpacing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740" w:type="dxa"/>
            <w:noWrap/>
            <w:hideMark/>
          </w:tcPr>
          <w:p w14:paraId="77212ACE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651" w:type="dxa"/>
            <w:noWrap/>
            <w:hideMark/>
          </w:tcPr>
          <w:p w14:paraId="4E740C48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733660-B21</w:t>
            </w:r>
          </w:p>
        </w:tc>
        <w:tc>
          <w:tcPr>
            <w:tcW w:w="5457" w:type="dxa"/>
            <w:noWrap/>
            <w:hideMark/>
          </w:tcPr>
          <w:p w14:paraId="55081247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HP 2U SFF Easy Install Rail Kit</w:t>
            </w:r>
          </w:p>
        </w:tc>
      </w:tr>
      <w:tr w:rsidR="00993735" w:rsidRPr="00481037" w14:paraId="7CDC5DFB" w14:textId="77777777" w:rsidTr="00993735">
        <w:trPr>
          <w:trHeight w:val="255"/>
        </w:trPr>
        <w:tc>
          <w:tcPr>
            <w:tcW w:w="669" w:type="dxa"/>
          </w:tcPr>
          <w:p w14:paraId="1679BC6A" w14:textId="77777777" w:rsidR="00993735" w:rsidRPr="00481037" w:rsidRDefault="00993735" w:rsidP="00993735">
            <w:pPr>
              <w:pStyle w:val="NoSpacing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</w:t>
            </w:r>
          </w:p>
        </w:tc>
        <w:tc>
          <w:tcPr>
            <w:tcW w:w="740" w:type="dxa"/>
            <w:noWrap/>
            <w:hideMark/>
          </w:tcPr>
          <w:p w14:paraId="573DE50E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651" w:type="dxa"/>
            <w:noWrap/>
            <w:hideMark/>
          </w:tcPr>
          <w:p w14:paraId="7C892CEA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720478-B21</w:t>
            </w:r>
          </w:p>
        </w:tc>
        <w:tc>
          <w:tcPr>
            <w:tcW w:w="5457" w:type="dxa"/>
            <w:noWrap/>
            <w:hideMark/>
          </w:tcPr>
          <w:p w14:paraId="358CFD40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HPE 500W FS Plat Ht Plg Pwr Supply Kit</w:t>
            </w:r>
          </w:p>
        </w:tc>
      </w:tr>
      <w:tr w:rsidR="00993735" w:rsidRPr="00481037" w14:paraId="158477EA" w14:textId="77777777" w:rsidTr="00993735">
        <w:trPr>
          <w:trHeight w:val="270"/>
        </w:trPr>
        <w:tc>
          <w:tcPr>
            <w:tcW w:w="669" w:type="dxa"/>
          </w:tcPr>
          <w:p w14:paraId="2D0E6F4E" w14:textId="77777777" w:rsidR="00993735" w:rsidRPr="00481037" w:rsidRDefault="00993735" w:rsidP="00993735">
            <w:pPr>
              <w:pStyle w:val="NoSpacing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</w:t>
            </w:r>
          </w:p>
        </w:tc>
        <w:tc>
          <w:tcPr>
            <w:tcW w:w="740" w:type="dxa"/>
            <w:noWrap/>
            <w:hideMark/>
          </w:tcPr>
          <w:p w14:paraId="1DD0C666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651" w:type="dxa"/>
            <w:noWrap/>
            <w:hideMark/>
          </w:tcPr>
          <w:p w14:paraId="6D580055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512487-B21</w:t>
            </w:r>
          </w:p>
        </w:tc>
        <w:tc>
          <w:tcPr>
            <w:tcW w:w="5457" w:type="dxa"/>
            <w:noWrap/>
            <w:hideMark/>
          </w:tcPr>
          <w:p w14:paraId="6411AF71" w14:textId="77777777" w:rsidR="00993735" w:rsidRPr="00481037" w:rsidRDefault="00993735" w:rsidP="00993735">
            <w:pPr>
              <w:pStyle w:val="NoSpacing"/>
              <w:rPr>
                <w:rFonts w:ascii="Arial" w:hAnsi="Arial" w:cs="Arial"/>
                <w:bCs/>
              </w:rPr>
            </w:pPr>
            <w:r w:rsidRPr="00481037">
              <w:rPr>
                <w:rFonts w:ascii="Arial" w:hAnsi="Arial" w:cs="Arial"/>
                <w:bCs/>
              </w:rPr>
              <w:t>HPE iLO Adv incl 1yr TSU Track Lic</w:t>
            </w:r>
          </w:p>
        </w:tc>
      </w:tr>
    </w:tbl>
    <w:p w14:paraId="47E50559" w14:textId="77777777" w:rsidR="00481037" w:rsidRPr="00993735" w:rsidRDefault="00481037" w:rsidP="00993735">
      <w:pPr>
        <w:pStyle w:val="NoSpacing"/>
        <w:ind w:left="450" w:hanging="90"/>
        <w:rPr>
          <w:rFonts w:ascii="Arial" w:hAnsi="Arial" w:cs="Arial"/>
          <w:bCs/>
          <w:color w:val="FF0000"/>
        </w:rPr>
      </w:pPr>
    </w:p>
    <w:p w14:paraId="380AF09D" w14:textId="77777777" w:rsidR="00481037" w:rsidRDefault="00481037" w:rsidP="003C6A5D">
      <w:pPr>
        <w:pStyle w:val="NoSpacing"/>
        <w:ind w:left="360"/>
        <w:rPr>
          <w:rFonts w:ascii="Arial" w:hAnsi="Arial" w:cs="Arial"/>
          <w:bCs/>
          <w:i/>
          <w:color w:val="FF0000"/>
        </w:rPr>
      </w:pPr>
    </w:p>
    <w:p w14:paraId="313FF0FD" w14:textId="35B164A6" w:rsidR="00481037" w:rsidRPr="00481037" w:rsidRDefault="00481037" w:rsidP="003C6A5D">
      <w:pPr>
        <w:pStyle w:val="NoSpacing"/>
        <w:ind w:left="360"/>
        <w:rPr>
          <w:rFonts w:ascii="Arial" w:hAnsi="Arial" w:cs="Arial"/>
          <w:bCs/>
        </w:rPr>
      </w:pPr>
    </w:p>
    <w:p w14:paraId="7613CFB3" w14:textId="77777777" w:rsidR="00E86F6A" w:rsidRDefault="00E86F6A" w:rsidP="00E86F6A">
      <w:pPr>
        <w:pStyle w:val="NoSpacing"/>
        <w:ind w:left="360"/>
        <w:rPr>
          <w:rFonts w:ascii="Arial" w:hAnsi="Arial" w:cs="Arial"/>
          <w:bCs/>
        </w:rPr>
      </w:pPr>
    </w:p>
    <w:p w14:paraId="7613CFB6" w14:textId="77777777" w:rsidR="009F5341" w:rsidRPr="009F5341" w:rsidRDefault="003F2F72" w:rsidP="009F5341">
      <w:pPr>
        <w:pStyle w:val="Heading1"/>
        <w:numPr>
          <w:ilvl w:val="0"/>
          <w:numId w:val="7"/>
        </w:numPr>
        <w:rPr>
          <w:color w:val="auto"/>
        </w:rPr>
      </w:pPr>
      <w:r>
        <w:rPr>
          <w:color w:val="auto"/>
        </w:rPr>
        <w:t>Financial Estimate</w:t>
      </w:r>
    </w:p>
    <w:p w14:paraId="7613CFB7" w14:textId="77777777" w:rsidR="009F5341" w:rsidRDefault="009F5341" w:rsidP="009F5341">
      <w:pPr>
        <w:pStyle w:val="NoSpacing"/>
      </w:pPr>
    </w:p>
    <w:p w14:paraId="384D6A29" w14:textId="0A773162" w:rsidR="00880C66" w:rsidRDefault="00880C66" w:rsidP="009F5341">
      <w:pPr>
        <w:pStyle w:val="NoSpacing"/>
      </w:pPr>
      <w:r>
        <w:t>Unofficial costs at time of writing put each copy of this server config at US$21,010.00</w:t>
      </w:r>
    </w:p>
    <w:p w14:paraId="3468E27F" w14:textId="41DC8279" w:rsidR="00880C66" w:rsidRDefault="00880C66" w:rsidP="009F5341">
      <w:pPr>
        <w:pStyle w:val="NoSpacing"/>
      </w:pPr>
      <w:r>
        <w:t xml:space="preserve">This is based on initial config estimate from </w:t>
      </w:r>
      <w:hyperlink r:id="rId14" w:history="1">
        <w:r w:rsidRPr="00880C66">
          <w:rPr>
            <w:rStyle w:val="Hyperlink"/>
          </w:rPr>
          <w:t>DL380-2698-Ver1.0</w:t>
        </w:r>
      </w:hyperlink>
    </w:p>
    <w:p w14:paraId="7613CFB9" w14:textId="77777777" w:rsidR="003D4127" w:rsidRDefault="003D4127" w:rsidP="00DB0BC5">
      <w:pPr>
        <w:pStyle w:val="NoSpacing"/>
        <w:ind w:left="360"/>
        <w:rPr>
          <w:rFonts w:ascii="Arial" w:hAnsi="Arial" w:cs="Arial"/>
          <w:bCs/>
        </w:rPr>
      </w:pPr>
    </w:p>
    <w:p w14:paraId="7613CFC0" w14:textId="41BCB60E" w:rsidR="00F72165" w:rsidRDefault="00D26CCD" w:rsidP="00DF1BC1">
      <w:pPr>
        <w:pStyle w:val="NoSpacing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14:paraId="52FCBE5F" w14:textId="77777777" w:rsidR="00481037" w:rsidRDefault="00481037" w:rsidP="00DF1BC1">
      <w:pPr>
        <w:pStyle w:val="NoSpacing"/>
        <w:rPr>
          <w:rFonts w:ascii="Arial" w:hAnsi="Arial" w:cs="Arial"/>
          <w:bCs/>
        </w:rPr>
      </w:pPr>
    </w:p>
    <w:p w14:paraId="452028A4" w14:textId="77777777" w:rsidR="00481037" w:rsidRDefault="00481037" w:rsidP="00DF1BC1">
      <w:pPr>
        <w:pStyle w:val="NoSpacing"/>
        <w:rPr>
          <w:rFonts w:ascii="Arial" w:hAnsi="Arial" w:cs="Arial"/>
          <w:bCs/>
        </w:rPr>
      </w:pPr>
    </w:p>
    <w:p w14:paraId="7613CFC1" w14:textId="77777777" w:rsidR="009F5341" w:rsidRPr="009F5341" w:rsidRDefault="009F5341" w:rsidP="009F5341">
      <w:pPr>
        <w:pStyle w:val="Heading1"/>
        <w:numPr>
          <w:ilvl w:val="0"/>
          <w:numId w:val="7"/>
        </w:numPr>
        <w:rPr>
          <w:color w:val="auto"/>
        </w:rPr>
      </w:pPr>
      <w:r w:rsidRPr="009F5341">
        <w:rPr>
          <w:color w:val="auto"/>
        </w:rPr>
        <w:t>Next Steps</w:t>
      </w:r>
    </w:p>
    <w:p w14:paraId="7613CFC2" w14:textId="77777777" w:rsidR="006F4055" w:rsidRDefault="006F4055" w:rsidP="0020591E">
      <w:pPr>
        <w:pStyle w:val="NoSpacing"/>
      </w:pPr>
    </w:p>
    <w:p w14:paraId="7613CFC4" w14:textId="638326C2" w:rsidR="004323CF" w:rsidRDefault="00CB1866" w:rsidP="00880C66">
      <w:pPr>
        <w:pStyle w:val="NoSpacing"/>
        <w:numPr>
          <w:ilvl w:val="0"/>
          <w:numId w:val="8"/>
        </w:numPr>
      </w:pPr>
      <w:r>
        <w:t>Place requests in the PDP for provisioning a ‘Large’ DL380 gen9 indicating ‘</w:t>
      </w:r>
      <w:r w:rsidRPr="00CB1866">
        <w:t>Tanium Server</w:t>
      </w:r>
      <w:r>
        <w:t xml:space="preserve">’ config. </w:t>
      </w:r>
    </w:p>
    <w:p w14:paraId="65D3F26C" w14:textId="53928D8E" w:rsidR="00CB1866" w:rsidRDefault="00CB1866" w:rsidP="00880C66">
      <w:pPr>
        <w:pStyle w:val="NoSpacing"/>
        <w:numPr>
          <w:ilvl w:val="0"/>
          <w:numId w:val="8"/>
        </w:numPr>
      </w:pPr>
      <w:r>
        <w:t>Also needed would be PDP Exceptions for Memory</w:t>
      </w:r>
      <w:r w:rsidR="00880C66">
        <w:t xml:space="preserve"> (128GB</w:t>
      </w:r>
      <w:r>
        <w:t xml:space="preserve"> RAM), Storage </w:t>
      </w:r>
      <w:r w:rsidR="00880C66">
        <w:t>(4x600GB</w:t>
      </w:r>
      <w:r>
        <w:t xml:space="preserve"> SAS HDD in RAID5)  &amp; NIC (10Gb)</w:t>
      </w:r>
    </w:p>
    <w:p w14:paraId="438642C2" w14:textId="14B5F522" w:rsidR="00880C66" w:rsidRDefault="00880C66" w:rsidP="00880C66">
      <w:pPr>
        <w:pStyle w:val="NoSpacing"/>
        <w:numPr>
          <w:ilvl w:val="0"/>
          <w:numId w:val="8"/>
        </w:numPr>
      </w:pPr>
      <w:r>
        <w:t xml:space="preserve">Coordinate with Build Engineer when contacted on specifics around build if any. </w:t>
      </w:r>
    </w:p>
    <w:sectPr w:rsidR="00880C66" w:rsidSect="00145A5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800" w:right="720" w:bottom="1440" w:left="720" w:header="720" w:footer="5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F69D9E" w14:textId="77777777" w:rsidR="00EC6644" w:rsidRDefault="00EC6644" w:rsidP="00EE6BF7">
      <w:pPr>
        <w:spacing w:after="0" w:line="240" w:lineRule="auto"/>
      </w:pPr>
      <w:r>
        <w:separator/>
      </w:r>
    </w:p>
  </w:endnote>
  <w:endnote w:type="continuationSeparator" w:id="0">
    <w:p w14:paraId="2A02B70A" w14:textId="77777777" w:rsidR="00EC6644" w:rsidRDefault="00EC6644" w:rsidP="00EE6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9C22BE" w14:textId="77777777" w:rsidR="006E6D9D" w:rsidRDefault="006E6D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3CFCB" w14:textId="77777777" w:rsidR="001026C1" w:rsidRPr="001026C1" w:rsidRDefault="00145A58" w:rsidP="0020591E">
    <w:pPr>
      <w:pStyle w:val="Footer"/>
      <w:spacing w:before="100" w:beforeAutospacing="1" w:line="360" w:lineRule="auto"/>
      <w:ind w:right="630"/>
      <w:rPr>
        <w:rFonts w:ascii="Arial" w:hAnsi="Arial" w:cs="Arial"/>
        <w:color w:val="616265"/>
        <w:sz w:val="16"/>
        <w:szCs w:val="16"/>
      </w:rPr>
    </w:pPr>
    <w:r w:rsidRPr="00145A58">
      <w:rPr>
        <w:rFonts w:ascii="Rockwell" w:hAnsi="Rockwell"/>
        <w:noProof/>
        <w:color w:val="B0B1B2"/>
        <w:sz w:val="24"/>
        <w:szCs w:val="24"/>
      </w:rPr>
      <mc:AlternateContent>
        <mc:Choice Requires="wps">
          <w:drawing>
            <wp:anchor distT="0" distB="0" distL="114300" distR="114300" simplePos="0" relativeHeight="251659263" behindDoc="1" locked="0" layoutInCell="1" allowOverlap="1" wp14:anchorId="7613CFD1" wp14:editId="7613CFD2">
              <wp:simplePos x="0" y="0"/>
              <wp:positionH relativeFrom="column">
                <wp:posOffset>-28575</wp:posOffset>
              </wp:positionH>
              <wp:positionV relativeFrom="paragraph">
                <wp:posOffset>163830</wp:posOffset>
              </wp:positionV>
              <wp:extent cx="6934200" cy="276225"/>
              <wp:effectExtent l="0" t="0" r="0" b="95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34200" cy="276225"/>
                      </a:xfrm>
                      <a:prstGeom prst="rect">
                        <a:avLst/>
                      </a:prstGeom>
                      <a:solidFill>
                        <a:srgbClr val="00266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4610E3" id="Rectangle 4" o:spid="_x0000_s1026" style="position:absolute;margin-left:-2.25pt;margin-top:12.9pt;width:546pt;height:21.75pt;z-index:-25165721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jclgIAAIUFAAAOAAAAZHJzL2Uyb0RvYy54bWysVMFu2zAMvQ/YPwi6r3bcNG2DOEWQosOA&#10;oi3aDj0rshQbkEVNUuJkXz9Kst2uK3YYloMimuQj+URycXVoFdkL6xrQJZ2c5JQIzaFq9Lak359v&#10;vlxQ4jzTFVOgRUmPwtGr5edPi87MRQE1qEpYgiDazTtT0tp7M88yx2vRMncCRmhUSrAt8yjabVZZ&#10;1iF6q7Iiz2dZB7YyFrhwDr9eJyVdRnwpBff3UjrhiSop5ubjaeO5CWe2XLD51jJTN7xPg/1DFi1r&#10;NAYdoa6ZZ2Rnmz+g2oZbcCD9CYc2AykbLmINWM0kf1fNU82MiLUgOc6MNLn/B8vv9g+WNFVJp5Ro&#10;1uITPSJpTG+VINNAT2fcHK2ezIPtJYfXUOtB2jb8YxXkECk9jpSKgyccP84uT6f4TpRw1BXns6I4&#10;C6DZq7exzn8V0JJwKanF6JFJtr91PpkOJiGYA9VUN41SUbDbzVpZsmfhefNiNjvt0X8zUzoYawhu&#10;CTF8yUJlqZZ480clgp3Sj0IiJZh9ETOJzSjGOIxzof0kqWpWiRT+LMffED20b/CIlUbAgCwx/ojd&#10;AwyWCWTATln29sFVxF4enfO/JZacR48YGbQfndtGg/0IQGFVfeRkP5CUqAksbaA6YsNYSJPkDL9p&#10;8N1umfMPzOLo4FPjOvD3eEgFXUmhv1FSg/350fdgjx2NWko6HMWSuh87ZgUl6pvGXr+cTKdhdqMw&#10;PTsvULBvNZu3Gr1r14DtMMHFY3i8Bnuvhqu00L7g1liFqKhimmPsknJvB2Ht04rAvcPFahXNcF4N&#10;87f6yfAAHlgNffl8eGHW9M3rse3vYBhbNn/Xw8k2eGpY7TzIJjb4K6893zjrsXH6vRSWyVs5Wr1u&#10;z+UvAAAA//8DAFBLAwQUAAYACAAAACEAE9/CnOAAAAAJAQAADwAAAGRycy9kb3ducmV2LnhtbEyP&#10;wU7DMBBE70j8g7VI3FqHQpsSsqkKUk5wgJZKcHNiN46I11HstoGvZ3uC486MZt/kq9F14miG0HpC&#10;uJkmIAzVXrfUILxvy8kSRIiKtOo8GYRvE2BVXF7kKtP+RG/muImN4BIKmUKwMfaZlKG2xqkw9b0h&#10;9vZ+cCryOTRSD+rE5a6TsyRZSKda4g9W9ebJmvprc3AIu896/Tq8bHX1nJb7j93PY6pLi3h9Na4f&#10;QEQzxr8wnPEZHQpmqvyBdBAdwuRuzkmE2ZwXnP1kmbJSISzub0EWufy/oPgFAAD//wMAUEsBAi0A&#10;FAAGAAgAAAAhALaDOJL+AAAA4QEAABMAAAAAAAAAAAAAAAAAAAAAAFtDb250ZW50X1R5cGVzXS54&#10;bWxQSwECLQAUAAYACAAAACEAOP0h/9YAAACUAQAACwAAAAAAAAAAAAAAAAAvAQAAX3JlbHMvLnJl&#10;bHNQSwECLQAUAAYACAAAACEAnTZo3JYCAACFBQAADgAAAAAAAAAAAAAAAAAuAgAAZHJzL2Uyb0Rv&#10;Yy54bWxQSwECLQAUAAYACAAAACEAE9/CnOAAAAAJAQAADwAAAAAAAAAAAAAAAADwBAAAZHJzL2Rv&#10;d25yZXYueG1sUEsFBgAAAAAEAAQA8wAAAP0FAAAAAA==&#10;" fillcolor="#002663" stroked="f" strokeweight="2pt"/>
          </w:pict>
        </mc:Fallback>
      </mc:AlternateContent>
    </w:r>
    <w:r w:rsidRPr="00145A58">
      <w:rPr>
        <w:rFonts w:ascii="Rockwell" w:hAnsi="Rockwell"/>
        <w:noProof/>
        <w:color w:val="B0B1B2"/>
        <w:sz w:val="24"/>
        <w:szCs w:val="24"/>
      </w:rPr>
      <w:drawing>
        <wp:anchor distT="0" distB="0" distL="114300" distR="114300" simplePos="0" relativeHeight="251663360" behindDoc="0" locked="0" layoutInCell="1" allowOverlap="1" wp14:anchorId="7613CFD3" wp14:editId="7613CFD4">
          <wp:simplePos x="0" y="0"/>
          <wp:positionH relativeFrom="column">
            <wp:posOffset>6486525</wp:posOffset>
          </wp:positionH>
          <wp:positionV relativeFrom="paragraph">
            <wp:posOffset>59055</wp:posOffset>
          </wp:positionV>
          <wp:extent cx="419100" cy="3810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_globe_corpBlue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033" b="35484"/>
                  <a:stretch/>
                </pic:blipFill>
                <pic:spPr bwMode="auto">
                  <a:xfrm>
                    <a:off x="0" y="0"/>
                    <a:ext cx="419100" cy="381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591E" w:rsidRPr="001026C1">
      <w:rPr>
        <w:rFonts w:ascii="Arial" w:hAnsi="Arial" w:cs="Arial"/>
        <w:color w:val="616265"/>
        <w:sz w:val="16"/>
        <w:szCs w:val="16"/>
      </w:rPr>
      <w:t xml:space="preserve"> </w:t>
    </w:r>
  </w:p>
  <w:p w14:paraId="7613CFCC" w14:textId="77777777" w:rsidR="00EE6BF7" w:rsidRPr="00EE6BF7" w:rsidRDefault="002F2E28" w:rsidP="00145A58">
    <w:pPr>
      <w:pStyle w:val="Footer"/>
      <w:tabs>
        <w:tab w:val="clear" w:pos="4680"/>
        <w:tab w:val="clear" w:pos="9360"/>
        <w:tab w:val="center" w:pos="5220"/>
        <w:tab w:val="right" w:pos="10170"/>
      </w:tabs>
      <w:spacing w:before="40" w:line="360" w:lineRule="auto"/>
      <w:ind w:left="86" w:right="634"/>
      <w:rPr>
        <w:rFonts w:ascii="Rockwell" w:hAnsi="Rockwell"/>
        <w:color w:val="FFFFFF" w:themeColor="background1"/>
        <w:sz w:val="24"/>
        <w:szCs w:val="24"/>
      </w:rPr>
    </w:pPr>
    <w:r>
      <w:rPr>
        <w:rFonts w:ascii="Arial" w:hAnsi="Arial" w:cs="Arial"/>
        <w:color w:val="FFFFFF" w:themeColor="background1"/>
        <w:sz w:val="16"/>
        <w:szCs w:val="16"/>
      </w:rPr>
      <w:fldChar w:fldCharType="begin"/>
    </w:r>
    <w:r>
      <w:rPr>
        <w:rFonts w:ascii="Arial" w:hAnsi="Arial" w:cs="Arial"/>
        <w:color w:val="FFFFFF" w:themeColor="background1"/>
        <w:sz w:val="16"/>
        <w:szCs w:val="16"/>
      </w:rPr>
      <w:instrText xml:space="preserve"> SAVEDATE  \@ "MMMM d, yyyy"  \* MERGEFORMAT </w:instrText>
    </w:r>
    <w:r>
      <w:rPr>
        <w:rFonts w:ascii="Arial" w:hAnsi="Arial" w:cs="Arial"/>
        <w:color w:val="FFFFFF" w:themeColor="background1"/>
        <w:sz w:val="16"/>
        <w:szCs w:val="16"/>
      </w:rPr>
      <w:fldChar w:fldCharType="separate"/>
    </w:r>
    <w:r w:rsidR="007F4046">
      <w:rPr>
        <w:rFonts w:ascii="Arial" w:hAnsi="Arial" w:cs="Arial"/>
        <w:noProof/>
        <w:color w:val="FFFFFF" w:themeColor="background1"/>
        <w:sz w:val="16"/>
        <w:szCs w:val="16"/>
      </w:rPr>
      <w:t>October 7, 2016</w:t>
    </w:r>
    <w:r>
      <w:rPr>
        <w:rFonts w:ascii="Arial" w:hAnsi="Arial" w:cs="Arial"/>
        <w:color w:val="FFFFFF" w:themeColor="background1"/>
        <w:sz w:val="16"/>
        <w:szCs w:val="16"/>
      </w:rPr>
      <w:fldChar w:fldCharType="end"/>
    </w:r>
    <w:r w:rsidR="001026C1" w:rsidRPr="002F2E28">
      <w:rPr>
        <w:rFonts w:ascii="Arial" w:hAnsi="Arial" w:cs="Arial"/>
        <w:color w:val="FFFFFF" w:themeColor="background1"/>
        <w:sz w:val="16"/>
        <w:szCs w:val="16"/>
      </w:rPr>
      <w:tab/>
    </w:r>
    <w:r w:rsidR="001026C1" w:rsidRPr="001026C1">
      <w:rPr>
        <w:rFonts w:ascii="Arial" w:hAnsi="Arial" w:cs="Arial"/>
        <w:color w:val="FFFFFF" w:themeColor="background1"/>
        <w:sz w:val="16"/>
        <w:szCs w:val="16"/>
      </w:rPr>
      <w:t xml:space="preserve">Page </w:t>
    </w:r>
    <w:r w:rsidR="001026C1" w:rsidRPr="001026C1">
      <w:rPr>
        <w:rFonts w:ascii="Arial" w:hAnsi="Arial" w:cs="Arial"/>
        <w:color w:val="FFFFFF" w:themeColor="background1"/>
        <w:sz w:val="16"/>
        <w:szCs w:val="16"/>
      </w:rPr>
      <w:fldChar w:fldCharType="begin"/>
    </w:r>
    <w:r w:rsidR="001026C1" w:rsidRPr="001026C1">
      <w:rPr>
        <w:rFonts w:ascii="Arial" w:hAnsi="Arial" w:cs="Arial"/>
        <w:color w:val="FFFFFF" w:themeColor="background1"/>
        <w:sz w:val="16"/>
        <w:szCs w:val="16"/>
      </w:rPr>
      <w:instrText xml:space="preserve"> PAGE   \* MERGEFORMAT </w:instrText>
    </w:r>
    <w:r w:rsidR="001026C1" w:rsidRPr="001026C1">
      <w:rPr>
        <w:rFonts w:ascii="Arial" w:hAnsi="Arial" w:cs="Arial"/>
        <w:color w:val="FFFFFF" w:themeColor="background1"/>
        <w:sz w:val="16"/>
        <w:szCs w:val="16"/>
      </w:rPr>
      <w:fldChar w:fldCharType="separate"/>
    </w:r>
    <w:r w:rsidR="007F4046">
      <w:rPr>
        <w:rFonts w:ascii="Arial" w:hAnsi="Arial" w:cs="Arial"/>
        <w:noProof/>
        <w:color w:val="FFFFFF" w:themeColor="background1"/>
        <w:sz w:val="16"/>
        <w:szCs w:val="16"/>
      </w:rPr>
      <w:t>2</w:t>
    </w:r>
    <w:r w:rsidR="001026C1" w:rsidRPr="001026C1">
      <w:rPr>
        <w:rFonts w:ascii="Arial" w:hAnsi="Arial" w:cs="Arial"/>
        <w:noProof/>
        <w:color w:val="FFFFFF" w:themeColor="background1"/>
        <w:sz w:val="16"/>
        <w:szCs w:val="16"/>
      </w:rPr>
      <w:fldChar w:fldCharType="end"/>
    </w:r>
    <w:r w:rsidR="001026C1" w:rsidRPr="001026C1">
      <w:rPr>
        <w:rFonts w:ascii="Arial" w:hAnsi="Arial" w:cs="Arial"/>
        <w:color w:val="FFFFFF" w:themeColor="background1"/>
        <w:sz w:val="16"/>
        <w:szCs w:val="16"/>
      </w:rPr>
      <w:t xml:space="preserve"> of </w:t>
    </w:r>
    <w:r w:rsidR="001026C1" w:rsidRPr="001026C1">
      <w:rPr>
        <w:rFonts w:ascii="Arial" w:hAnsi="Arial" w:cs="Arial"/>
        <w:color w:val="FFFFFF" w:themeColor="background1"/>
        <w:sz w:val="16"/>
        <w:szCs w:val="16"/>
      </w:rPr>
      <w:fldChar w:fldCharType="begin"/>
    </w:r>
    <w:r w:rsidR="001026C1" w:rsidRPr="001026C1">
      <w:rPr>
        <w:rFonts w:ascii="Arial" w:hAnsi="Arial" w:cs="Arial"/>
        <w:color w:val="FFFFFF" w:themeColor="background1"/>
        <w:sz w:val="16"/>
        <w:szCs w:val="16"/>
      </w:rPr>
      <w:instrText xml:space="preserve"> NUMPAGES   \* MERGEFORMAT </w:instrText>
    </w:r>
    <w:r w:rsidR="001026C1" w:rsidRPr="001026C1">
      <w:rPr>
        <w:rFonts w:ascii="Arial" w:hAnsi="Arial" w:cs="Arial"/>
        <w:color w:val="FFFFFF" w:themeColor="background1"/>
        <w:sz w:val="16"/>
        <w:szCs w:val="16"/>
      </w:rPr>
      <w:fldChar w:fldCharType="separate"/>
    </w:r>
    <w:r w:rsidR="007F4046">
      <w:rPr>
        <w:rFonts w:ascii="Arial" w:hAnsi="Arial" w:cs="Arial"/>
        <w:noProof/>
        <w:color w:val="FFFFFF" w:themeColor="background1"/>
        <w:sz w:val="16"/>
        <w:szCs w:val="16"/>
      </w:rPr>
      <w:t>3</w:t>
    </w:r>
    <w:r w:rsidR="001026C1" w:rsidRPr="001026C1">
      <w:rPr>
        <w:rFonts w:ascii="Arial" w:hAnsi="Arial" w:cs="Arial"/>
        <w:color w:val="FFFFFF" w:themeColor="background1"/>
        <w:sz w:val="16"/>
        <w:szCs w:val="16"/>
      </w:rPr>
      <w:fldChar w:fldCharType="end"/>
    </w:r>
    <w:r w:rsidR="001026C1" w:rsidRPr="001026C1">
      <w:rPr>
        <w:rFonts w:ascii="Rockwell" w:hAnsi="Rockwell"/>
        <w:color w:val="FFFFFF" w:themeColor="background1"/>
        <w:sz w:val="16"/>
        <w:szCs w:val="16"/>
      </w:rPr>
      <w:tab/>
    </w:r>
    <w:r w:rsidR="00EE6BF7" w:rsidRPr="00EE6BF7">
      <w:rPr>
        <w:rFonts w:ascii="Rockwell" w:hAnsi="Rockwell"/>
        <w:color w:val="FFFFFF" w:themeColor="background1"/>
        <w:sz w:val="24"/>
        <w:szCs w:val="24"/>
      </w:rPr>
      <w:t>Information Technology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35F61" w14:textId="77777777" w:rsidR="006E6D9D" w:rsidRDefault="006E6D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611F1" w14:textId="77777777" w:rsidR="00EC6644" w:rsidRDefault="00EC6644" w:rsidP="00EE6BF7">
      <w:pPr>
        <w:spacing w:after="0" w:line="240" w:lineRule="auto"/>
      </w:pPr>
      <w:r>
        <w:separator/>
      </w:r>
    </w:p>
  </w:footnote>
  <w:footnote w:type="continuationSeparator" w:id="0">
    <w:p w14:paraId="15454F0D" w14:textId="77777777" w:rsidR="00EC6644" w:rsidRDefault="00EC6644" w:rsidP="00EE6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05E69" w14:textId="77777777" w:rsidR="006E6D9D" w:rsidRDefault="006E6D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3CFC9" w14:textId="2788F34D" w:rsidR="00EE6BF7" w:rsidRDefault="00EE6BF7" w:rsidP="001026C1">
    <w:pPr>
      <w:pStyle w:val="Header"/>
      <w:tabs>
        <w:tab w:val="clear" w:pos="4680"/>
        <w:tab w:val="clear" w:pos="9360"/>
        <w:tab w:val="right" w:pos="10800"/>
      </w:tabs>
      <w:jc w:val="right"/>
    </w:pPr>
    <w:r w:rsidRPr="00EE6BF7">
      <w:rPr>
        <w:rFonts w:ascii="Rockwell" w:hAnsi="Rockwell"/>
        <w:noProof/>
        <w:color w:val="002663"/>
        <w:sz w:val="24"/>
        <w:szCs w:val="24"/>
      </w:rPr>
      <w:drawing>
        <wp:anchor distT="0" distB="0" distL="114300" distR="114300" simplePos="0" relativeHeight="251662336" behindDoc="0" locked="0" layoutInCell="1" allowOverlap="1" wp14:anchorId="7613CFCD" wp14:editId="7613CFCE">
          <wp:simplePos x="0" y="0"/>
          <wp:positionH relativeFrom="column">
            <wp:posOffset>-152400</wp:posOffset>
          </wp:positionH>
          <wp:positionV relativeFrom="paragraph">
            <wp:posOffset>-219075</wp:posOffset>
          </wp:positionV>
          <wp:extent cx="1490416" cy="524566"/>
          <wp:effectExtent l="0" t="0" r="0" b="889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MI_Masterbrand_H_RGB_2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0416" cy="524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26C1">
      <w:tab/>
    </w:r>
    <w:sdt>
      <w:sdtPr>
        <w:rPr>
          <w:rFonts w:ascii="Rockwell" w:hAnsi="Rockwell"/>
          <w:color w:val="002663"/>
          <w:sz w:val="24"/>
          <w:szCs w:val="24"/>
        </w:rPr>
        <w:alias w:val="Title"/>
        <w:tag w:val=""/>
        <w:id w:val="-9065308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E6D9D">
          <w:rPr>
            <w:rFonts w:ascii="Rockwell" w:hAnsi="Rockwell"/>
            <w:color w:val="002663"/>
            <w:sz w:val="24"/>
            <w:szCs w:val="24"/>
          </w:rPr>
          <w:t>Midrange Infrastructure Logistics</w:t>
        </w:r>
        <w:r w:rsidR="009A40FD">
          <w:rPr>
            <w:rFonts w:ascii="Rockwell" w:hAnsi="Rockwell"/>
            <w:color w:val="002663"/>
            <w:sz w:val="24"/>
            <w:szCs w:val="24"/>
          </w:rPr>
          <w:t xml:space="preserve"> Design Recommendation</w:t>
        </w:r>
      </w:sdtContent>
    </w:sdt>
  </w:p>
  <w:p w14:paraId="7613CFCA" w14:textId="77777777" w:rsidR="00EE6BF7" w:rsidRDefault="001026C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13CFCF" wp14:editId="7613CFD0">
              <wp:simplePos x="0" y="0"/>
              <wp:positionH relativeFrom="column">
                <wp:posOffset>-28575</wp:posOffset>
              </wp:positionH>
              <wp:positionV relativeFrom="paragraph">
                <wp:posOffset>201930</wp:posOffset>
              </wp:positionV>
              <wp:extent cx="69342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3420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266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2E7AF2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5.9pt" to="543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zA2gEAAA0EAAAOAAAAZHJzL2Uyb0RvYy54bWysU02P0zAQvSPxHyzfaZIWCkRN99DVckFQ&#10;sfADXGfcWPKXxqZp/z1jp82uAAmBuDgZe96beW/szd3ZGnYCjNq7jjeLmjNw0vfaHTv+7evDq3ec&#10;xSRcL4x30PELRH63ffliM4YWln7wpgdkROJiO4aODymFtqqiHMCKuPABHB0qj1YkCvFY9ShGYrem&#10;Wtb1uho99gG9hBhp93465NvCrxTI9FmpCImZjlNvqaxY1kNeq+1GtEcUYdDy2ob4hy6s0I6KzlT3&#10;Ign2HfUvVFZL9NGrtJDeVl4pLaFoIDVN/ZOax0EEKFrInBhmm+L/o5WfTntkuqfZceaEpRE9JhT6&#10;OCS2886RgR5Zk30aQ2wpfef2eI1i2GMWfVZo85fksHPx9jJ7C+fEJG2u369e08A4k7ez6gkYMKYP&#10;4C3LPx032mXZohWnjzFRMUq9peRt49jY8VXz9k3Jit7o/kEbk88iHg87g+wk8sTr5Xq9ys0Tw7M0&#10;ioyjzSxpElH+0sXAxP8FFJlCbTdThXwdYaYVUoJLxZTCRNkZpqiFGVj/GXjNz1AoV/VvwDOiVPYu&#10;zWCrncffVU/nW8tqyr85MOnOFhx8fynjLdbQnSvOXd9HvtTP4wJ/esXbHwAAAP//AwBQSwMEFAAG&#10;AAgAAAAhAMPWr+XfAAAACQEAAA8AAABkcnMvZG93bnJldi54bWxMj0FPwkAQhe8m/ofNmHiDLYLS&#10;1G6JGsQDxgT04HHajm1jd7Z2F6j8eod40OO89/Lme+lisK3aU+8bxwYm4wgUceHKhisDb6+PoxiU&#10;D8glto7JwDd5WGTnZykmpTvwhvbbUCkpYZ+ggTqELtHaFzVZ9GPXEYv34XqLQc6+0mWPBym3rb6K&#10;ohttsWH5UGNHDzUVn9udNfC8PpJeLTFfHZfx0/S+mH29NO/GXF4Md7egAg3hLwwnfEGHTJhyt+PS&#10;q9bAaHYtSQPTiSw4+VE8FyX/VXSW6v8Lsh8AAAD//wMAUEsBAi0AFAAGAAgAAAAhALaDOJL+AAAA&#10;4QEAABMAAAAAAAAAAAAAAAAAAAAAAFtDb250ZW50X1R5cGVzXS54bWxQSwECLQAUAAYACAAAACEA&#10;OP0h/9YAAACUAQAACwAAAAAAAAAAAAAAAAAvAQAAX3JlbHMvLnJlbHNQSwECLQAUAAYACAAAACEA&#10;ZzqMwNoBAAANBAAADgAAAAAAAAAAAAAAAAAuAgAAZHJzL2Uyb0RvYy54bWxQSwECLQAUAAYACAAA&#10;ACEAw9av5d8AAAAJAQAADwAAAAAAAAAAAAAAAAA0BAAAZHJzL2Rvd25yZXYueG1sUEsFBgAAAAAE&#10;AAQA8wAAAEAFAAAAAA==&#10;" strokecolor="#002663" strokeweight=".2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1D7AB" w14:textId="77777777" w:rsidR="006E6D9D" w:rsidRDefault="006E6D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E3F51"/>
    <w:multiLevelType w:val="hybridMultilevel"/>
    <w:tmpl w:val="C6C4C0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EB42F2"/>
    <w:multiLevelType w:val="hybridMultilevel"/>
    <w:tmpl w:val="C6C4C0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897ABB"/>
    <w:multiLevelType w:val="hybridMultilevel"/>
    <w:tmpl w:val="73C0FF4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4B1C39CA"/>
    <w:multiLevelType w:val="hybridMultilevel"/>
    <w:tmpl w:val="76AC27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FB41C9"/>
    <w:multiLevelType w:val="hybridMultilevel"/>
    <w:tmpl w:val="4092A8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8044FB"/>
    <w:multiLevelType w:val="hybridMultilevel"/>
    <w:tmpl w:val="C6C4C0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BC6C16"/>
    <w:multiLevelType w:val="hybridMultilevel"/>
    <w:tmpl w:val="C1EC15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A66479"/>
    <w:multiLevelType w:val="hybridMultilevel"/>
    <w:tmpl w:val="C6C4C0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1E"/>
    <w:rsid w:val="000423D5"/>
    <w:rsid w:val="000876A1"/>
    <w:rsid w:val="000D2612"/>
    <w:rsid w:val="0010247E"/>
    <w:rsid w:val="001026C1"/>
    <w:rsid w:val="00115FFD"/>
    <w:rsid w:val="001251F4"/>
    <w:rsid w:val="00145A58"/>
    <w:rsid w:val="00192F36"/>
    <w:rsid w:val="0020591E"/>
    <w:rsid w:val="00237048"/>
    <w:rsid w:val="00261303"/>
    <w:rsid w:val="00276835"/>
    <w:rsid w:val="002E3365"/>
    <w:rsid w:val="002F2E28"/>
    <w:rsid w:val="00303F6A"/>
    <w:rsid w:val="00345311"/>
    <w:rsid w:val="003C6A5D"/>
    <w:rsid w:val="003D2517"/>
    <w:rsid w:val="003D4127"/>
    <w:rsid w:val="003F2F72"/>
    <w:rsid w:val="003F7FDD"/>
    <w:rsid w:val="00414273"/>
    <w:rsid w:val="004323CF"/>
    <w:rsid w:val="00481037"/>
    <w:rsid w:val="00483C3A"/>
    <w:rsid w:val="004A114A"/>
    <w:rsid w:val="004A40C9"/>
    <w:rsid w:val="004E10D1"/>
    <w:rsid w:val="0053642E"/>
    <w:rsid w:val="00540C53"/>
    <w:rsid w:val="00566E7F"/>
    <w:rsid w:val="00577C74"/>
    <w:rsid w:val="00594F25"/>
    <w:rsid w:val="005A7893"/>
    <w:rsid w:val="005C2B91"/>
    <w:rsid w:val="005D3E9C"/>
    <w:rsid w:val="00635129"/>
    <w:rsid w:val="00670127"/>
    <w:rsid w:val="006E6D9D"/>
    <w:rsid w:val="006F4055"/>
    <w:rsid w:val="00713250"/>
    <w:rsid w:val="00786B32"/>
    <w:rsid w:val="007A2352"/>
    <w:rsid w:val="007E0AA1"/>
    <w:rsid w:val="007E1581"/>
    <w:rsid w:val="007E1D5D"/>
    <w:rsid w:val="007F4046"/>
    <w:rsid w:val="007F5214"/>
    <w:rsid w:val="008217C5"/>
    <w:rsid w:val="008237F0"/>
    <w:rsid w:val="0085734F"/>
    <w:rsid w:val="00861DE6"/>
    <w:rsid w:val="00880C66"/>
    <w:rsid w:val="008F32C7"/>
    <w:rsid w:val="0092725B"/>
    <w:rsid w:val="00993735"/>
    <w:rsid w:val="009A40FD"/>
    <w:rsid w:val="009F5341"/>
    <w:rsid w:val="00A2395C"/>
    <w:rsid w:val="00A71876"/>
    <w:rsid w:val="00A867A9"/>
    <w:rsid w:val="00B344C4"/>
    <w:rsid w:val="00B77F84"/>
    <w:rsid w:val="00BF0019"/>
    <w:rsid w:val="00C61200"/>
    <w:rsid w:val="00C94231"/>
    <w:rsid w:val="00CB1866"/>
    <w:rsid w:val="00CB4446"/>
    <w:rsid w:val="00D26CCD"/>
    <w:rsid w:val="00D34CC4"/>
    <w:rsid w:val="00D52B09"/>
    <w:rsid w:val="00DB0BC5"/>
    <w:rsid w:val="00DB593E"/>
    <w:rsid w:val="00DF0E8E"/>
    <w:rsid w:val="00DF1BC1"/>
    <w:rsid w:val="00E157C3"/>
    <w:rsid w:val="00E21AF1"/>
    <w:rsid w:val="00E22EC6"/>
    <w:rsid w:val="00E676A7"/>
    <w:rsid w:val="00E86F6A"/>
    <w:rsid w:val="00E922A5"/>
    <w:rsid w:val="00EA277B"/>
    <w:rsid w:val="00EC6644"/>
    <w:rsid w:val="00ED3236"/>
    <w:rsid w:val="00EE6BF7"/>
    <w:rsid w:val="00F34381"/>
    <w:rsid w:val="00F72165"/>
    <w:rsid w:val="00F944CE"/>
    <w:rsid w:val="00FE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3CF4F"/>
  <w15:docId w15:val="{7E43EA35-A00F-472F-B128-56E16B3D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91E"/>
  </w:style>
  <w:style w:type="paragraph" w:styleId="Heading1">
    <w:name w:val="heading 1"/>
    <w:basedOn w:val="Normal"/>
    <w:next w:val="Normal"/>
    <w:link w:val="Heading1Char"/>
    <w:uiPriority w:val="9"/>
    <w:qFormat/>
    <w:rsid w:val="009F53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BF7"/>
  </w:style>
  <w:style w:type="paragraph" w:styleId="Footer">
    <w:name w:val="footer"/>
    <w:basedOn w:val="Normal"/>
    <w:link w:val="FooterChar"/>
    <w:uiPriority w:val="99"/>
    <w:unhideWhenUsed/>
    <w:rsid w:val="00EE6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BF7"/>
  </w:style>
  <w:style w:type="paragraph" w:styleId="BalloonText">
    <w:name w:val="Balloon Text"/>
    <w:basedOn w:val="Normal"/>
    <w:link w:val="BalloonTextChar"/>
    <w:uiPriority w:val="99"/>
    <w:semiHidden/>
    <w:unhideWhenUsed/>
    <w:rsid w:val="00EE6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BF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026C1"/>
    <w:rPr>
      <w:color w:val="808080"/>
    </w:rPr>
  </w:style>
  <w:style w:type="paragraph" w:styleId="NoSpacing">
    <w:name w:val="No Spacing"/>
    <w:uiPriority w:val="1"/>
    <w:qFormat/>
    <w:rsid w:val="0020591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059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39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3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2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headlineformid1">
    <w:name w:val="page_headline_form_id1"/>
    <w:basedOn w:val="DefaultParagraphFont"/>
    <w:rsid w:val="00115FFD"/>
    <w:rPr>
      <w:rFonts w:ascii="Calibri" w:hAnsi="Calibri" w:cs="Calibri" w:hint="default"/>
      <w:color w:val="99999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ettings" Target="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s://itcomposites.lmig.com/Sites/Midrange/InfrastructureLogistics/_layouts/xlviewer.aspx?id=/Sites/Midrange/InfrastructureLogistics/InternalDocuments/Consults/Tanium%20Servers/2016-1006-Liberty-JMcFarland-Tanium-DL380-2698-Ver1.0.xlsx&amp;Source=https%3A%2F%2Fitcomposites%2Elmig%2Ecom%2FSites%2FMidrange%2FInfrastructureLogistics%2FSitePages%2FHome%2Easpx%3FRootFolder%3D%252FSites%252FMidrange%252FInfrastructureLogistics%252FInternalDocuments%252FConsults%252FTanium%2520Servers%26FolderCTID%3D0x012000017AB2D1FCBEA14BAAFCDEAD26D4BBD3%26View%3D%7B9053A31B%2D1238%2D4332%2D9A76%2DB6B0B22D974F%7D&amp;DefaultItemOpen=1&amp;DefaultItemOpen=1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ata\NEER\IT_2012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dlc_DocId xmlns="a36908c7-c7a4-4901-803f-7cf7958f8ac3">N6W5UHTN7FJX-81-372</_dlc_DocId>
    <_dlc_DocIdUrl xmlns="a36908c7-c7a4-4901-803f-7cf7958f8ac3">
      <Url>https://itcomposites.lmig.com/Sites/Midrange/Integration/_layouts/DocIdRedir.aspx?ID=N6W5UHTN7FJX-81-372</Url>
      <Description>N6W5UHTN7FJX-81-372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7E525A70686428B82FA9EDAE48E08" ma:contentTypeVersion="4" ma:contentTypeDescription="Create a new document." ma:contentTypeScope="" ma:versionID="025b2a7130b93455044845062581ff9a">
  <xsd:schema xmlns:xsd="http://www.w3.org/2001/XMLSchema" xmlns:xs="http://www.w3.org/2001/XMLSchema" xmlns:p="http://schemas.microsoft.com/office/2006/metadata/properties" xmlns:ns1="http://schemas.microsoft.com/sharepoint/v3" xmlns:ns2="a36908c7-c7a4-4901-803f-7cf7958f8ac3" targetNamespace="http://schemas.microsoft.com/office/2006/metadata/properties" ma:root="true" ma:fieldsID="6d1ca21069cb894c19c41087660c2cb4" ns1:_="" ns2:_="">
    <xsd:import namespace="http://schemas.microsoft.com/sharepoint/v3"/>
    <xsd:import namespace="a36908c7-c7a4-4901-803f-7cf7958f8ac3"/>
    <xsd:element name="properties">
      <xsd:complexType>
        <xsd:sequence>
          <xsd:element name="documentManagement">
            <xsd:complexType>
              <xsd:all>
                <xsd:element ref="ns1:_dlc_Exempt" minOccurs="0"/>
                <xsd:element ref="ns1:_dlc_ExpireDateSaved" minOccurs="0"/>
                <xsd:element ref="ns1:_dlc_ExpireDate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8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9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0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908c7-c7a4-4901-803f-7cf7958f8ac3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p:Policy xmlns:p="office.server.policy" local="true" id="0a66e33e-fc93-445b-9402-49bb4caff478">
  <p:Name>Default</p:Name>
  <p:Description/>
  <p:Statement/>
  <p:PolicyItems>
    <p:PolicyItem featureId="Microsoft.Office.RecordsManagement.PolicyFeatures.Expiration" UniqueId="9dbf775f-5940-45f7-be22-5ddbe6dae74e">
      <p:Name>Retention</p:Name>
      <p:Description>Automatic scheduling of content for processing, and performing a retention action on content that has reached its due date.</p:Description>
      <p:CustomData>
        <Schedules nextStageId="3">
          <Schedule type="Default">
            <stages>
              <data stageId="1" stageDeleted="true"/>
              <data stageId="2">
                <formula id="Microsoft.Office.RecordsManagement.PolicyFeatures.Expiration.Formula.BuiltIn">
                  <number>5</number>
                  <property>Modified</property>
                  <propertyId>28cf69c5-fa48-462a-b5cd-27b6f9d2bd5f</propertyId>
                  <period>years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5.xml><?xml version="1.0" encoding="utf-8"?>
<?mso-contentType ?>
<SharedContentType xmlns="Microsoft.SharePoint.Taxonomy.ContentTypeSync" SourceId="6f590bba-eae9-42fc-98a8-c39a8dc0d3b1" ContentTypeId="0x0101" PreviousValue="false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B0A3C-55F1-41FA-B28A-BF3350169B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852240-F01C-4B65-9E47-8DD1E44120E3}">
  <ds:schemaRefs>
    <ds:schemaRef ds:uri="http://schemas.microsoft.com/office/2006/metadata/properties"/>
    <ds:schemaRef ds:uri="a36908c7-c7a4-4901-803f-7cf7958f8ac3"/>
  </ds:schemaRefs>
</ds:datastoreItem>
</file>

<file path=customXml/itemProps3.xml><?xml version="1.0" encoding="utf-8"?>
<ds:datastoreItem xmlns:ds="http://schemas.openxmlformats.org/officeDocument/2006/customXml" ds:itemID="{DFDB8FD1-A2DC-467D-B80C-BCE2FAED2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6908c7-c7a4-4901-803f-7cf7958f8a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552929-2C35-468F-9751-B55A34CC6015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9CFAE203-3CFB-4A29-B9DF-EC9D38893D47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9D2A0EE1-8418-4B7A-BBC7-9FAC542A89B3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4E11A4AB-31F9-4FC9-9978-150B12A96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IT_2012_WordTemplate.dotx</Template>
  <TotalTime>2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Midrange Infrastructure Logistics Design Recommendation</vt:lpstr>
    </vt:vector>
  </TitlesOfParts>
  <Company>Liberty Mutual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Midrange Infrastructure Logistics Design Recommendation</dc:title>
  <dc:creator>Liberty Mutual</dc:creator>
  <cp:lastModifiedBy>McFarland, John</cp:lastModifiedBy>
  <cp:revision>3</cp:revision>
  <cp:lastPrinted>2014-05-09T14:02:00Z</cp:lastPrinted>
  <dcterms:created xsi:type="dcterms:W3CDTF">2016-10-07T20:13:00Z</dcterms:created>
  <dcterms:modified xsi:type="dcterms:W3CDTF">2016-10-07T20:21:00Z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0x01010075B7E525A70686428B82FA9EDAE48E08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dlc_DocIdItemGuid">
    <vt:lpwstr>303810d4-d273-4b23-a45e-3f21a9f6cd9b</vt:lpwstr>
  </property>
</Properties>
</file>