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rPr>
          <w:rFonts w:ascii="黑体" w:hAnsi="黑体" w:eastAsia="黑体"/>
          <w:b w:val="0"/>
          <w:color w:val="000000"/>
          <w:sz w:val="32"/>
        </w:rPr>
        <w:t>附件2</w:t>
      </w:r>
    </w:p>
    <w:p/>
    <w:p>
      <w:pPr>
        <w:pStyle w:val="Heading3"/>
        <w:jc w:val="center"/>
      </w:pPr>
      <w:r>
        <w:rPr>
          <w:rFonts w:ascii="仿宋" w:hAnsi="仿宋" w:eastAsia="仿宋"/>
          <w:b w:val="0"/>
          <w:color w:val="000000"/>
          <w:sz w:val="40"/>
        </w:rPr>
        <w:t>漏洞处置情况反馈表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872"/>
        <w:gridCol w:w="3744"/>
        <w:gridCol w:w="1872"/>
        <w:gridCol w:w="1872"/>
      </w:tblGrid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sz w:val="28"/>
              </w:rPr>
              <w:t>IP地址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sz w:val="28"/>
              </w:rPr>
              <w:t>漏洞名称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sz w:val="28"/>
              </w:rPr>
              <w:t>是否整改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sz w:val="28"/>
              </w:rPr>
              <w:t>未整改原因</w:t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HTTP Server Administration Server 基于栈的缓冲区溢出漏洞(CVE-2015-4947)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WAS 组件‘System Management/Repository’未明安全漏洞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7.0.0.0 &lt; 7.0.0.45 / 8.0.0.0 &lt; 8.0.0.15 / 8.5.0.0 &lt; 8.5.5.14 / 9.0.0.0 &lt; 9.0.0.7 管理员控制台不明的不安全远程权限提升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JAX-RPC WS-Security 输入验证漏洞(CVE-2009-1172)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Plug-in组件安全绕过漏洞(CVE-2011-1309)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WAR File 信息泄露漏洞(CVE-2009-0508)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XML digital-signature未明安全问题漏洞(CVE-2009-1174)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XML外部实体注入漏洞(CVE-2021-20353)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XML外部实体注入漏洞(CVE-2021-20454)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安全漏洞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安全漏洞 (CVE-2020-4276)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安全漏洞 (CVE-2020-4362)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安全漏洞(CVE-2010-1632)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安全漏洞(CVE-2016-8919)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安全漏洞(CVE-2020-4163)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安全漏洞(CVE-2020-4449)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安全漏洞(CVE-2020-4576)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安全漏洞(CVE-2021-29754)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代码问题漏洞(CVE-2020-4464)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代码问题漏洞(CVE-2020-4643)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代码注入漏洞(CVE-2015-1920)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拒绝服务安全漏洞 (CVE-2019-4046)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拒绝服务漏洞(CVE-2011-1377)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拒绝服务漏洞(CVE-2013-6747)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拒绝服务漏洞(CVE-2014-0050)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拒绝服务漏洞(CVE-2014-0963)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跨站请求伪造漏洞(CVE-2013-0462)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跨站请求伪造漏洞(CVE-2017-1194)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任意文件写入漏洞(CVE-2013-1768)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应用JAX-WS访问限制和安全跳过漏洞(CVE-2009-0903)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远程代码执行漏洞(CVE-2014-0114)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远程代码执行漏洞(CVE-2020-4589)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远程信息泄漏漏洞(CVE-2011-4889)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远程信息泄露漏洞(CVE-2016-5986)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资源管理错误漏洞(CVE-2019-4720)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 资源管理错误漏洞(CVE-2021-38951)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Server本地安全功能绕过漏洞(CVE-2017-1382)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Server和WebSphere Application 路径遍历漏洞(CVE-2021-20354)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Server权限提升漏洞(CVE-2015-1885)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Server权限提升漏洞(CVE-2021-29736)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Server任意代码执行漏洞(CVE-2016-5983)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Server未明漏洞(CVE-2010-2324)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Server远程代码执行漏洞(CVE-2018-1567)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服务器虚拟企业7.0.x/网络部署8.5.x &lt;8.5.5.16/网络部署9.0.0.x &lt;= 9.0.0.11远程执行代码漏洞(CVE-2019-4279)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Application 服务器远程执行代码漏洞(CVE-2018-1904)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AS 代码问题漏洞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Commons Collections组件反序列化漏洞(CVE-2015-7450)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Feature Pack未明漏洞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Windows上的JSPs未明漏洞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 管理控制台弱密码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WebSphere应用服务器CSIv2绕过安全限制漏洞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WebSphere应用服务器ibm-portlet-ext.xmi文件绕过安全限制漏洞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WebSphere应用服务器错误处理时间戳漏洞(CVE-2010-3186)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IBM WebSphere应用服务器单次登录绕过认证漏洞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10.30.13.18,172.16.10.77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支持SSL 64位块大小的密码套件(SWEET32)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10.30.13.18、172.16.10.77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Oracle Database Server Client System Analyzer组件未明漏洞 (CVE-2010-3600)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10.30.13.18、172.16.10.77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Oracle Database Server Core RDBMS组件远程安全漏洞(CVE-2011-2239)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10.30.13.18、172.16.10.77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Oracle Net Foundation Layer未明漏洞(CVE-2010-0903)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10.30.13.18、172.16.10.77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Oracle数据库服务器Listener组件未明安全漏洞(CVE-2010-0911)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10.30.13.18、172.16.10.77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Oracle数据库服务器核心RDBMS组件未指定的漏洞(CVE-2011-2253)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10.30.13.23,172.16.10.82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IIS FastCGI请求头远程溢出漏洞(CVE-2010-2730)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10.30.13.28,172.16.10.67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gSOAP 安全漏洞(CVE-2017-9765)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10.88.47.205,172.16.10.10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Apache Tomcat 安全漏洞(CVE-2017-5647)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10.88.47.205,172.16.10.10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Apache Tomcat 安全特征问题漏洞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10.88.47.205,172.16.10.10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Apache Tomcat 本地提权漏洞(CVE-2016-5425)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10.88.47.205,172.16.10.10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Apache Tomcat 访问控制错误漏洞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10.88.47.205,172.16.10.10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Apache Tomcat 权限许可和访问控制问题漏洞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10.88.47.205,172.16.10.10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Apache Tomcat 输入验证错误漏洞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10.88.47.205,172.16.10.10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Apache Tomcat 信息泄露漏洞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10.88.47.205,172.16.10.10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Apache Tomcat 远程代码执行漏洞(CVE-2016-3427)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10.88.47.205,172.16.10.10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Apache Tomcat 资源管理错误漏洞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10.88.47.205,172.16.10.10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Microsoft IIS 文件更改通知本地权限提升漏洞(MS08-005)(CVE-2008-0074)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10.88.47.205、172.16.10.10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Apache Tomcat AJP协议安全限制绕过漏洞(CVE-2011-3190)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10.88.47.205、172.16.10.10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Apache Tomcat Ghostcat高风险文件读取/包含漏洞(CVE-2020-1938)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10.88.47.205、172.16.10.10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Apache Tomcat 安全漏洞(CVE-2016-6816)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10.88.47.205、172.16.10.10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Microsoft IIS认证令牌处理远程代码执行漏洞(CVE-2010-1256)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10.88.47.205、172.16.10.10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Microsoft Internet Information Services缓冲区溢出漏洞(CVE-2010-2730)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10.88.47.205、172.16.10.10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Microsoft SChannel格式错误的证书请求远程执行代码漏洞(CVE-2010-2566)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10.88.47.205、172.16.10.10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Microsoft Windows Internet打印服务整数溢出漏洞(CVE-2008-1446)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10.88.47.205、172.16.10.10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Red Hat JBoss Enterprise Application Platform 任意文件上传漏洞 (CVE-2013-2185)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10.88.52.110、172.16.10.18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Microsoft Internet Information Services (IIS)URI的请求拒绝服务攻击漏洞(CVE-2007-2897)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10.88.52.135,172.16.10.45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 w:val="0"/>
                <w:sz w:val="22"/>
              </w:rPr>
              <w:t>IIS FastCGI请求头远程溢出漏洞(CVE-2010-2730)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sz w:val="28"/>
              </w:rPr>
              <w:t>*负责人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8"/>
              </w:rPr>
              <w:t>*联系电话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rPr>
                <w:rFonts w:ascii="FangSong" w:hAnsi="FangSong" w:eastAsia="仿宋"/>
                <w:sz w:val="22"/>
              </w:rPr>
            </w:r>
          </w:p>
        </w:tc>
      </w:tr>
      <w:tr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sz w:val="28"/>
              </w:rPr>
              <w:t>*处置人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br/>
              <w:br/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8"/>
              </w:rPr>
              <w:t>*联系电话</w:t>
            </w:r>
          </w:p>
        </w:tc>
        <w:tc>
          <w:tcPr>
            <w:tcW w:type="dxa" w:w="2160"/>
            <w:tcBorders>
              <w:top w:val="single"/>
              <w:left w:val="single"/>
              <w:bottom w:val="single"/>
              <w:right w:val="single"/>
            </w:tcBorders>
          </w:tcPr>
          <w:p/>
        </w:tc>
      </w:tr>
      <w:tr>
        <w:tc>
          <w:tcPr>
            <w:tcW w:type="dxa" w:w="8640"/>
            <w:gridSpan w:val="4"/>
            <w:tcBorders>
              <w:top w:val="single"/>
              <w:left w:val="single"/>
              <w:bottom w:val="single"/>
              <w:right w:val="single"/>
            </w:tcBorders>
            <w:tcBorders>
              <w:top w:val="single"/>
              <w:left w:val="single"/>
              <w:bottom w:val="single"/>
              <w:right w:val="single"/>
            </w:tcBorders>
            <w:tcBorders>
              <w:top w:val="single"/>
              <w:left w:val="single"/>
              <w:bottom w:val="single"/>
              <w:right w:val="single"/>
            </w:tcBorders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>
            <w:pPr>
              <w:jc w:val="right"/>
            </w:pPr>
            <w:r>
              <w:rPr>
                <w:rFonts w:ascii="仿宋" w:hAnsi="仿宋" w:eastAsia="仿宋"/>
                <w:b w:val="0"/>
                <w:sz w:val="28"/>
              </w:rPr>
              <w:br/>
              <w:br/>
              <w:t>*网络安全负责人：（签字）</w:t>
              <w:br/>
              <w:br/>
            </w:r>
          </w:p>
        </w:tc>
      </w:tr>
    </w:tbl>
    <w:p>
      <w:pPr>
        <w:pStyle w:val="Heading3"/>
      </w:pPr>
      <w:r>
        <w:rPr>
          <w:rFonts w:ascii="仿宋" w:hAnsi="仿宋" w:eastAsia="仿宋"/>
          <w:b w:val="0"/>
          <w:color w:val="000000"/>
          <w:sz w:val="28"/>
        </w:rPr>
        <w:t>注：*为必填项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