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0276" w14:textId="77777777" w:rsidR="001A5133" w:rsidRDefault="001A5133" w:rsidP="001A5133">
      <w:pPr>
        <w:pStyle w:val="Ttulo2"/>
      </w:pPr>
      <w:r>
        <w:t>Regulamento de Alocação Patrimonial</w:t>
      </w:r>
    </w:p>
    <w:p w14:paraId="6ACB6FB9" w14:textId="705E5D6A" w:rsidR="001A5133" w:rsidRDefault="001A5133" w:rsidP="001A5133">
      <w:pPr>
        <w:pStyle w:val="Ttulo2"/>
        <w:sectPr w:rsidR="001A5133" w:rsidSect="001A5133">
          <w:headerReference w:type="default" r:id="rId7"/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>JP Wealth Holding</w:t>
      </w:r>
    </w:p>
    <w:p w14:paraId="14F4EDD7" w14:textId="135511FF" w:rsidR="00B20365" w:rsidRPr="00B20365" w:rsidRDefault="00B20365" w:rsidP="00B20365">
      <w:pPr>
        <w:sectPr w:rsidR="00B20365" w:rsidRPr="00B20365" w:rsidSect="00B20365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6D74EBA" w14:textId="77777777" w:rsidR="00111797" w:rsidRDefault="00111797" w:rsidP="00C66287"/>
    <w:p w14:paraId="585D29DB" w14:textId="5C8544BE" w:rsidR="0098317D" w:rsidRDefault="0098317D" w:rsidP="00111797">
      <w:pPr>
        <w:pStyle w:val="Ttulo3"/>
        <w:numPr>
          <w:ilvl w:val="0"/>
          <w:numId w:val="27"/>
        </w:numPr>
        <w:ind w:left="720"/>
      </w:pPr>
      <w:r>
        <w:t>Objetivo do Documento</w:t>
      </w:r>
    </w:p>
    <w:p w14:paraId="0AB1A0AD" w14:textId="77777777" w:rsidR="00735BDE" w:rsidRDefault="0098317D" w:rsidP="00735BDE">
      <w:pPr>
        <w:rPr>
          <w:rStyle w:val="apple-converted-space"/>
        </w:rPr>
      </w:pPr>
      <w:r>
        <w:t xml:space="preserve">Este documento visa estabelecer de forma clara, transparente e auditável as diretrizes formais de alocação patrimonial da </w:t>
      </w:r>
      <w:r>
        <w:rPr>
          <w:i/>
          <w:iCs/>
        </w:rPr>
        <w:t>JP Wealth Holding</w:t>
      </w:r>
      <w:r>
        <w:t>, consolidando suas linhas de gestão patrimonial, reservas estratégicas e investimentos de longo prazo, em conformidade com os princípios institucionais já definidos no Estatuto JP Wealth</w:t>
      </w:r>
      <w:r>
        <w:rPr>
          <w:rStyle w:val="apple-converted-space"/>
        </w:rPr>
        <w:t>.</w:t>
      </w:r>
    </w:p>
    <w:p w14:paraId="66BFAA3D" w14:textId="77777777" w:rsidR="00735BDE" w:rsidRDefault="00735BDE" w:rsidP="00735BDE">
      <w:pPr>
        <w:rPr>
          <w:rStyle w:val="apple-converted-space"/>
        </w:rPr>
      </w:pPr>
    </w:p>
    <w:p w14:paraId="3ACA9A01" w14:textId="12177F8A" w:rsidR="00735BDE" w:rsidRDefault="00735BDE" w:rsidP="00735BDE">
      <w:pPr>
        <w:pStyle w:val="PargrafodaLista"/>
        <w:numPr>
          <w:ilvl w:val="0"/>
          <w:numId w:val="38"/>
        </w:numPr>
        <w:rPr>
          <w:rStyle w:val="apple-converted-space"/>
        </w:rPr>
      </w:pPr>
      <w:r>
        <w:rPr>
          <w:rStyle w:val="apple-converted-space"/>
        </w:rPr>
        <w:t>Distribuição e alocação patrimonial da Holding</w:t>
      </w:r>
    </w:p>
    <w:p w14:paraId="76825F86" w14:textId="352EE356" w:rsidR="00735BDE" w:rsidRDefault="00735BDE" w:rsidP="00735BDE">
      <w:pPr>
        <w:pStyle w:val="PargrafodaLista"/>
        <w:numPr>
          <w:ilvl w:val="0"/>
          <w:numId w:val="38"/>
        </w:numPr>
        <w:rPr>
          <w:rStyle w:val="apple-converted-space"/>
        </w:rPr>
      </w:pPr>
      <w:r>
        <w:rPr>
          <w:rStyle w:val="apple-converted-space"/>
        </w:rPr>
        <w:t>Política de rebalanceamento</w:t>
      </w:r>
    </w:p>
    <w:p w14:paraId="56631B68" w14:textId="23EA861D" w:rsidR="00735BDE" w:rsidRDefault="00735BDE" w:rsidP="00735BDE">
      <w:pPr>
        <w:pStyle w:val="PargrafodaLista"/>
        <w:numPr>
          <w:ilvl w:val="0"/>
          <w:numId w:val="38"/>
        </w:numPr>
        <w:rPr>
          <w:rStyle w:val="apple-converted-space"/>
        </w:rPr>
      </w:pPr>
      <w:r>
        <w:rPr>
          <w:rStyle w:val="apple-converted-space"/>
        </w:rPr>
        <w:t>Diversificação progressiva de brokers</w:t>
      </w:r>
    </w:p>
    <w:p w14:paraId="4B7C46BA" w14:textId="1E69DBF0" w:rsidR="00735BDE" w:rsidRDefault="00735BDE" w:rsidP="00735BDE">
      <w:pPr>
        <w:pStyle w:val="PargrafodaLista"/>
        <w:numPr>
          <w:ilvl w:val="0"/>
          <w:numId w:val="38"/>
        </w:numPr>
        <w:rPr>
          <w:rStyle w:val="apple-converted-space"/>
        </w:rPr>
      </w:pPr>
      <w:r>
        <w:rPr>
          <w:rStyle w:val="apple-converted-space"/>
        </w:rPr>
        <w:t>Brokers Homologadas Pela Gestão</w:t>
      </w:r>
    </w:p>
    <w:p w14:paraId="68592081" w14:textId="5E274520" w:rsidR="00735BDE" w:rsidRDefault="00735BDE" w:rsidP="00735BDE">
      <w:pPr>
        <w:pStyle w:val="PargrafodaLista"/>
        <w:numPr>
          <w:ilvl w:val="0"/>
          <w:numId w:val="38"/>
        </w:numPr>
        <w:rPr>
          <w:rStyle w:val="apple-converted-space"/>
        </w:rPr>
      </w:pPr>
      <w:r>
        <w:rPr>
          <w:rStyle w:val="apple-converted-space"/>
        </w:rPr>
        <w:t>Política de distribuição de lucros da Holding.</w:t>
      </w:r>
    </w:p>
    <w:p w14:paraId="59DE6B01" w14:textId="08ED28E9" w:rsidR="00735BDE" w:rsidRDefault="00735BDE" w:rsidP="00735BDE">
      <w:pPr>
        <w:pStyle w:val="PargrafodaLista"/>
        <w:numPr>
          <w:ilvl w:val="0"/>
          <w:numId w:val="38"/>
        </w:numPr>
        <w:rPr>
          <w:rStyle w:val="apple-converted-space"/>
        </w:rPr>
      </w:pPr>
      <w:r>
        <w:rPr>
          <w:rStyle w:val="apple-converted-space"/>
        </w:rPr>
        <w:t>Destino de saques de Prop Firms</w:t>
      </w:r>
    </w:p>
    <w:p w14:paraId="4FF50176" w14:textId="081D4B31" w:rsidR="00735BDE" w:rsidRDefault="00735BDE" w:rsidP="00735BDE">
      <w:pPr>
        <w:pStyle w:val="PargrafodaLista"/>
        <w:numPr>
          <w:ilvl w:val="0"/>
          <w:numId w:val="38"/>
        </w:numPr>
        <w:rPr>
          <w:rStyle w:val="apple-converted-space"/>
        </w:rPr>
      </w:pPr>
      <w:r>
        <w:rPr>
          <w:rStyle w:val="apple-converted-space"/>
        </w:rPr>
        <w:t>Prop Firms Homologadas</w:t>
      </w:r>
    </w:p>
    <w:p w14:paraId="2F6599F3" w14:textId="77777777" w:rsidR="00111797" w:rsidRDefault="00111797" w:rsidP="00111797"/>
    <w:p w14:paraId="291B4F95" w14:textId="1E25E8ED" w:rsidR="00111797" w:rsidRDefault="00573A0A" w:rsidP="00111797">
      <w:r>
        <w:t xml:space="preserve">A </w:t>
      </w:r>
      <w:r>
        <w:rPr>
          <w:rStyle w:val="s1"/>
          <w:b/>
          <w:bCs/>
        </w:rPr>
        <w:t>JP Wealth Holding</w:t>
      </w:r>
      <w:r>
        <w:t xml:space="preserve"> existe para atuar como uma </w:t>
      </w:r>
      <w:r>
        <w:rPr>
          <w:i/>
          <w:iCs/>
        </w:rPr>
        <w:t>estrutura patrimonial antifrágil de longo prazo</w:t>
      </w:r>
      <w:r>
        <w:t>, cuja missão central é transformar capital em um sistema robusto, auditável, replicável e progressivamente fortalecido ao longo dos ciclos econômicos dentro do mercado de Futuros e CFDs. Sua finalidade não se limita à busca de rentabilidade; ela busca construir um organismo financeiro que</w:t>
      </w:r>
      <w:r w:rsidR="00111797">
        <w:t>;</w:t>
      </w:r>
    </w:p>
    <w:p w14:paraId="29B0BAD6" w14:textId="77777777" w:rsidR="00111797" w:rsidRDefault="00111797" w:rsidP="00111797"/>
    <w:p w14:paraId="5C731B07" w14:textId="0F90E599" w:rsidR="00111797" w:rsidRDefault="00111797" w:rsidP="00111797">
      <w:r>
        <w:rPr>
          <w:rStyle w:val="s1"/>
          <w:b/>
          <w:bCs/>
        </w:rPr>
        <w:t>Preserva o capital</w:t>
      </w:r>
      <w:r>
        <w:t xml:space="preserve"> frente aos riscos sistêmicos dos mercados financeiros globais.</w:t>
      </w:r>
    </w:p>
    <w:p w14:paraId="4EDCC02B" w14:textId="77777777" w:rsidR="00111797" w:rsidRDefault="00111797" w:rsidP="00111797">
      <w:pPr>
        <w:rPr>
          <w:sz w:val="24"/>
        </w:rPr>
      </w:pPr>
      <w:r>
        <w:rPr>
          <w:rStyle w:val="s1"/>
          <w:b/>
          <w:bCs/>
        </w:rPr>
        <w:t>Produz crescimento sustentável</w:t>
      </w:r>
      <w:r>
        <w:t xml:space="preserve"> com base em estatística aplicada, governança técnica e disciplina de execução</w:t>
      </w:r>
    </w:p>
    <w:p w14:paraId="5A71A56A" w14:textId="77777777" w:rsidR="00111797" w:rsidRDefault="00111797" w:rsidP="00111797">
      <w:pPr>
        <w:rPr>
          <w:sz w:val="24"/>
        </w:rPr>
      </w:pPr>
      <w:r>
        <w:rPr>
          <w:rStyle w:val="s1"/>
          <w:b/>
          <w:bCs/>
        </w:rPr>
        <w:t>Diversifica fontes de receita</w:t>
      </w:r>
      <w:r>
        <w:t>, incluindo operações ativas de trading, geração de renda recorrente e acúmulo patrimonial externo</w:t>
      </w:r>
    </w:p>
    <w:p w14:paraId="2DBD1BEC" w14:textId="4AE507C6" w:rsidR="001A5133" w:rsidRPr="001A5133" w:rsidRDefault="00111797" w:rsidP="00C66287">
      <w:r>
        <w:rPr>
          <w:rStyle w:val="s1"/>
          <w:b/>
          <w:bCs/>
        </w:rPr>
        <w:t>Minimiza fragilidades emocionais e operacionais</w:t>
      </w:r>
      <w:r>
        <w:t>, assegurando continuidade de gestão mesmo em cenários adversos.</w:t>
      </w:r>
    </w:p>
    <w:p w14:paraId="7D8D92D3" w14:textId="6928CDD2" w:rsidR="0098317D" w:rsidRDefault="00111797" w:rsidP="0098317D">
      <w:pPr>
        <w:pStyle w:val="Ttulo3"/>
      </w:pPr>
      <w:r>
        <w:t xml:space="preserve">2. </w:t>
      </w:r>
      <w:r w:rsidR="0098317D">
        <w:t xml:space="preserve">Estrutura Geral de Capital </w:t>
      </w:r>
      <w:r>
        <w:t xml:space="preserve">Macro </w:t>
      </w:r>
    </w:p>
    <w:p w14:paraId="024DA1C8" w14:textId="2B2C7C3D" w:rsidR="0098317D" w:rsidRDefault="0098317D" w:rsidP="00C66287">
      <w:r>
        <w:t xml:space="preserve">A totalidade do patrimônio da </w:t>
      </w:r>
      <w:r w:rsidRPr="0098317D">
        <w:rPr>
          <w:b/>
          <w:bCs/>
          <w:i/>
          <w:iCs/>
        </w:rPr>
        <w:t>JP Wealth Holding</w:t>
      </w:r>
      <w:r>
        <w:t xml:space="preserve"> será alocada conforme a seguinte divisão macro:</w:t>
      </w:r>
    </w:p>
    <w:p w14:paraId="4F70597D" w14:textId="00C5E592" w:rsidR="009577D2" w:rsidRDefault="009577D2" w:rsidP="00C66287"/>
    <w:tbl>
      <w:tblPr>
        <w:tblStyle w:val="TabeladeGrade6Colorida"/>
        <w:tblW w:w="4537" w:type="dxa"/>
        <w:tblInd w:w="-147" w:type="dxa"/>
        <w:tblLook w:val="04A0" w:firstRow="1" w:lastRow="0" w:firstColumn="1" w:lastColumn="0" w:noHBand="0" w:noVBand="1"/>
      </w:tblPr>
      <w:tblGrid>
        <w:gridCol w:w="2557"/>
        <w:gridCol w:w="1980"/>
      </w:tblGrid>
      <w:tr w:rsidR="0098317D" w14:paraId="5BC7134A" w14:textId="77777777" w:rsidTr="00611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548D3F3A" w14:textId="6DF4DDF8" w:rsidR="0098317D" w:rsidRPr="00C12F4A" w:rsidRDefault="006111F7" w:rsidP="00C12F4A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Segmento</w:t>
            </w:r>
          </w:p>
        </w:tc>
        <w:tc>
          <w:tcPr>
            <w:tcW w:w="1980" w:type="dxa"/>
          </w:tcPr>
          <w:p w14:paraId="49BF7D58" w14:textId="6ED0E5E7" w:rsidR="0098317D" w:rsidRPr="00C12F4A" w:rsidRDefault="0098317D" w:rsidP="00746F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C12F4A">
              <w:rPr>
                <w:szCs w:val="16"/>
              </w:rPr>
              <w:t>Proporção do Patrimônio</w:t>
            </w:r>
          </w:p>
        </w:tc>
      </w:tr>
      <w:tr w:rsidR="0098317D" w14:paraId="399493B0" w14:textId="77777777" w:rsidTr="00611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7F3BF2EB" w14:textId="4AC724B9" w:rsidR="0098317D" w:rsidRPr="0098317D" w:rsidRDefault="0098317D" w:rsidP="0098317D">
            <w:pPr>
              <w:rPr>
                <w:b w:val="0"/>
                <w:bCs w:val="0"/>
                <w:szCs w:val="16"/>
              </w:rPr>
            </w:pPr>
            <w:r w:rsidRPr="0098317D">
              <w:rPr>
                <w:szCs w:val="16"/>
              </w:rPr>
              <w:t>Contas de Operação Jp Wealth</w:t>
            </w:r>
          </w:p>
        </w:tc>
        <w:tc>
          <w:tcPr>
            <w:tcW w:w="1980" w:type="dxa"/>
          </w:tcPr>
          <w:p w14:paraId="39E316EF" w14:textId="03803B39" w:rsidR="0098317D" w:rsidRDefault="0098317D" w:rsidP="009831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C12F4A">
              <w:rPr>
                <w:b/>
                <w:bCs/>
              </w:rPr>
              <w:t>5</w:t>
            </w:r>
            <w:r>
              <w:rPr>
                <w:b/>
                <w:bCs/>
              </w:rPr>
              <w:t>%</w:t>
            </w:r>
          </w:p>
        </w:tc>
      </w:tr>
      <w:tr w:rsidR="0098317D" w14:paraId="768B6C92" w14:textId="77777777" w:rsidTr="00611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13F2A892" w14:textId="20CDDC9A" w:rsidR="0098317D" w:rsidRPr="0098317D" w:rsidRDefault="00C12F4A" w:rsidP="00746F62">
            <w:pPr>
              <w:rPr>
                <w:b w:val="0"/>
                <w:bCs w:val="0"/>
                <w:szCs w:val="16"/>
              </w:rPr>
            </w:pPr>
            <w:r>
              <w:rPr>
                <w:szCs w:val="16"/>
              </w:rPr>
              <w:t>Investimentos Externos</w:t>
            </w:r>
          </w:p>
        </w:tc>
        <w:tc>
          <w:tcPr>
            <w:tcW w:w="1980" w:type="dxa"/>
          </w:tcPr>
          <w:p w14:paraId="5F39B683" w14:textId="2A6CA194" w:rsidR="0098317D" w:rsidRDefault="00C12F4A" w:rsidP="009831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20%</w:t>
            </w:r>
          </w:p>
        </w:tc>
      </w:tr>
      <w:tr w:rsidR="0098317D" w14:paraId="0B9970A1" w14:textId="77777777" w:rsidTr="00611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5DD12089" w14:textId="663378E1" w:rsidR="0098317D" w:rsidRPr="0098317D" w:rsidRDefault="00C12F4A" w:rsidP="00746F62">
            <w:pPr>
              <w:rPr>
                <w:szCs w:val="16"/>
              </w:rPr>
            </w:pPr>
            <w:r>
              <w:rPr>
                <w:szCs w:val="16"/>
              </w:rPr>
              <w:t>Caixa e Fundo de Resgate</w:t>
            </w:r>
          </w:p>
        </w:tc>
        <w:tc>
          <w:tcPr>
            <w:tcW w:w="1980" w:type="dxa"/>
          </w:tcPr>
          <w:p w14:paraId="3ADA1F95" w14:textId="34813BE5" w:rsidR="0098317D" w:rsidRDefault="00C12F4A" w:rsidP="009831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15%</w:t>
            </w:r>
          </w:p>
        </w:tc>
      </w:tr>
    </w:tbl>
    <w:p w14:paraId="3DEF2761" w14:textId="424F9643" w:rsidR="009577D2" w:rsidRDefault="009577D2" w:rsidP="00746F62">
      <w:pPr>
        <w:rPr>
          <w:b/>
          <w:bCs/>
        </w:rPr>
      </w:pPr>
    </w:p>
    <w:p w14:paraId="2714DE51" w14:textId="247C7C4C" w:rsidR="007B1C00" w:rsidRDefault="00EA6115" w:rsidP="00746F6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BB832C4" wp14:editId="1783D4AB">
            <wp:simplePos x="0" y="0"/>
            <wp:positionH relativeFrom="column">
              <wp:posOffset>-260985</wp:posOffset>
            </wp:positionH>
            <wp:positionV relativeFrom="paragraph">
              <wp:posOffset>103505</wp:posOffset>
            </wp:positionV>
            <wp:extent cx="3042285" cy="1353185"/>
            <wp:effectExtent l="0" t="0" r="0" b="0"/>
            <wp:wrapTight wrapText="bothSides">
              <wp:wrapPolygon edited="0">
                <wp:start x="3607" y="1216"/>
                <wp:lineTo x="3967" y="4865"/>
                <wp:lineTo x="2976" y="5879"/>
                <wp:lineTo x="90" y="10744"/>
                <wp:lineTo x="90" y="11555"/>
                <wp:lineTo x="2164" y="14596"/>
                <wp:lineTo x="2254" y="15204"/>
                <wp:lineTo x="4599" y="17840"/>
                <wp:lineTo x="5140" y="18245"/>
                <wp:lineTo x="11271" y="19056"/>
                <wp:lineTo x="12804" y="19056"/>
                <wp:lineTo x="20559" y="18042"/>
                <wp:lineTo x="20829" y="17434"/>
                <wp:lineTo x="20468" y="16623"/>
                <wp:lineTo x="18575" y="14596"/>
                <wp:lineTo x="18394" y="11352"/>
                <wp:lineTo x="20468" y="9933"/>
                <wp:lineTo x="20108" y="8920"/>
                <wp:lineTo x="12804" y="8109"/>
                <wp:lineTo x="17853" y="6487"/>
                <wp:lineTo x="17763" y="5068"/>
                <wp:lineTo x="19657" y="4865"/>
                <wp:lineTo x="19567" y="2838"/>
                <wp:lineTo x="5230" y="1216"/>
                <wp:lineTo x="3607" y="1216"/>
              </wp:wrapPolygon>
            </wp:wrapTight>
            <wp:docPr id="1157173373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64FDE" w14:textId="0ABA6544" w:rsidR="00C12F4A" w:rsidRDefault="00C12F4A" w:rsidP="00746F62">
      <w:pPr>
        <w:rPr>
          <w:b/>
          <w:bCs/>
        </w:rPr>
      </w:pPr>
    </w:p>
    <w:p w14:paraId="012C958E" w14:textId="77777777" w:rsidR="006111F7" w:rsidRDefault="006111F7" w:rsidP="006111F7"/>
    <w:p w14:paraId="3C6B855D" w14:textId="77777777" w:rsidR="001A5133" w:rsidRDefault="001A5133" w:rsidP="009577D2"/>
    <w:p w14:paraId="7BE4ABB0" w14:textId="77777777" w:rsidR="001A5133" w:rsidRDefault="001A5133" w:rsidP="009577D2"/>
    <w:p w14:paraId="719476B4" w14:textId="03E8251E" w:rsidR="006223F6" w:rsidRDefault="006111F7" w:rsidP="009577D2">
      <w:r>
        <w:t>Este bloco define exclusivamente a arquitetura macro do capital próprio da holding. A composição interna de cada bloco será detalhada nos capítulos subsequentes.</w:t>
      </w:r>
    </w:p>
    <w:p w14:paraId="7E1E9D2F" w14:textId="77777777" w:rsidR="001A5133" w:rsidRDefault="001A5133" w:rsidP="009577D2"/>
    <w:p w14:paraId="5BC312C4" w14:textId="6398F242" w:rsidR="009577D2" w:rsidRPr="006223F6" w:rsidRDefault="00111797" w:rsidP="006223F6">
      <w:pPr>
        <w:pStyle w:val="Ttulo3"/>
        <w:rPr>
          <w:rStyle w:val="nfase"/>
          <w:i w:val="0"/>
          <w:iCs w:val="0"/>
        </w:rPr>
      </w:pPr>
      <w:r>
        <w:t>3. Estrutura Micro de Alocação</w:t>
      </w:r>
    </w:p>
    <w:p w14:paraId="075B00B7" w14:textId="77777777" w:rsidR="00111797" w:rsidRDefault="00111797" w:rsidP="006111F7">
      <w:pPr>
        <w:rPr>
          <w:rStyle w:val="nfase"/>
          <w:b/>
          <w:bCs/>
          <w:sz w:val="18"/>
          <w:szCs w:val="18"/>
        </w:rPr>
      </w:pPr>
    </w:p>
    <w:p w14:paraId="39D7F331" w14:textId="217ACCD6" w:rsidR="006111F7" w:rsidRPr="00573A0A" w:rsidRDefault="00111797" w:rsidP="006111F7">
      <w:pPr>
        <w:rPr>
          <w:sz w:val="18"/>
          <w:szCs w:val="18"/>
        </w:rPr>
      </w:pPr>
      <w:r>
        <w:rPr>
          <w:rStyle w:val="nfase"/>
          <w:b/>
          <w:bCs/>
          <w:sz w:val="18"/>
          <w:szCs w:val="18"/>
        </w:rPr>
        <w:t xml:space="preserve">3.1 </w:t>
      </w:r>
      <w:r w:rsidR="006111F7" w:rsidRPr="00573A0A">
        <w:rPr>
          <w:rStyle w:val="nfase"/>
          <w:b/>
          <w:bCs/>
          <w:sz w:val="18"/>
          <w:szCs w:val="18"/>
        </w:rPr>
        <w:t>Contas de Operação JP Wealth (</w:t>
      </w:r>
      <w:r>
        <w:rPr>
          <w:rStyle w:val="nfase"/>
          <w:b/>
          <w:bCs/>
          <w:sz w:val="18"/>
          <w:szCs w:val="18"/>
        </w:rPr>
        <w:t>65</w:t>
      </w:r>
      <w:r w:rsidR="006111F7" w:rsidRPr="00573A0A">
        <w:rPr>
          <w:rStyle w:val="nfase"/>
          <w:b/>
          <w:bCs/>
          <w:sz w:val="18"/>
          <w:szCs w:val="18"/>
        </w:rPr>
        <w:t>%):</w:t>
      </w:r>
      <w:r w:rsidR="006111F7" w:rsidRPr="00573A0A">
        <w:rPr>
          <w:rStyle w:val="nfase"/>
          <w:sz w:val="18"/>
          <w:szCs w:val="18"/>
        </w:rPr>
        <w:t xml:space="preserve"> </w:t>
      </w:r>
    </w:p>
    <w:p w14:paraId="62FEA2E7" w14:textId="3AE1956F" w:rsidR="006111F7" w:rsidRDefault="006111F7" w:rsidP="00746F62">
      <w:r w:rsidRPr="006111F7">
        <w:t>Dentro do capital operacional da JP Wealth, a alocação inicial entre as linhas será</w:t>
      </w:r>
      <w:r>
        <w:t>.</w:t>
      </w:r>
    </w:p>
    <w:p w14:paraId="2A33D7CF" w14:textId="77777777" w:rsidR="00111797" w:rsidRDefault="00111797" w:rsidP="00746F62"/>
    <w:tbl>
      <w:tblPr>
        <w:tblStyle w:val="TabeladeGrade6Colorida"/>
        <w:tblW w:w="4537" w:type="dxa"/>
        <w:tblInd w:w="-147" w:type="dxa"/>
        <w:tblLook w:val="04A0" w:firstRow="1" w:lastRow="0" w:firstColumn="1" w:lastColumn="0" w:noHBand="0" w:noVBand="1"/>
      </w:tblPr>
      <w:tblGrid>
        <w:gridCol w:w="2557"/>
        <w:gridCol w:w="1980"/>
      </w:tblGrid>
      <w:tr w:rsidR="006111F7" w:rsidRPr="00C12F4A" w14:paraId="1227D845" w14:textId="77777777" w:rsidTr="00834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63A292E0" w14:textId="4F2D7FCD" w:rsidR="006111F7" w:rsidRPr="00C12F4A" w:rsidRDefault="006111F7" w:rsidP="00834AE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Contas Jp Wealth</w:t>
            </w:r>
          </w:p>
        </w:tc>
        <w:tc>
          <w:tcPr>
            <w:tcW w:w="1980" w:type="dxa"/>
          </w:tcPr>
          <w:p w14:paraId="6EE995E1" w14:textId="53945AAB" w:rsidR="006111F7" w:rsidRPr="00C12F4A" w:rsidRDefault="006111F7" w:rsidP="00834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C12F4A">
              <w:rPr>
                <w:szCs w:val="16"/>
              </w:rPr>
              <w:t>Proporção do Patrimônio</w:t>
            </w:r>
          </w:p>
        </w:tc>
      </w:tr>
      <w:tr w:rsidR="006111F7" w14:paraId="4F64EE7B" w14:textId="77777777" w:rsidTr="00834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1DA08864" w14:textId="432A1309" w:rsidR="006111F7" w:rsidRPr="0098317D" w:rsidRDefault="006111F7" w:rsidP="00834AEE">
            <w:pPr>
              <w:rPr>
                <w:b w:val="0"/>
                <w:bCs w:val="0"/>
                <w:szCs w:val="16"/>
              </w:rPr>
            </w:pPr>
            <w:r>
              <w:rPr>
                <w:szCs w:val="16"/>
              </w:rPr>
              <w:t>Jp Wealth Base</w:t>
            </w:r>
          </w:p>
        </w:tc>
        <w:tc>
          <w:tcPr>
            <w:tcW w:w="1980" w:type="dxa"/>
          </w:tcPr>
          <w:p w14:paraId="329D1615" w14:textId="6598179C" w:rsidR="006111F7" w:rsidRDefault="006111F7" w:rsidP="00834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60%</w:t>
            </w:r>
          </w:p>
        </w:tc>
      </w:tr>
      <w:tr w:rsidR="006111F7" w14:paraId="3F754677" w14:textId="77777777" w:rsidTr="00834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6E1DD021" w14:textId="3B4DFEBC" w:rsidR="006111F7" w:rsidRPr="0098317D" w:rsidRDefault="008D14B5" w:rsidP="00834AEE">
            <w:pPr>
              <w:rPr>
                <w:b w:val="0"/>
                <w:bCs w:val="0"/>
                <w:szCs w:val="16"/>
              </w:rPr>
            </w:pPr>
            <w:r>
              <w:rPr>
                <w:szCs w:val="16"/>
              </w:rPr>
              <w:t>Jp Wealth Longevity</w:t>
            </w:r>
          </w:p>
        </w:tc>
        <w:tc>
          <w:tcPr>
            <w:tcW w:w="1980" w:type="dxa"/>
          </w:tcPr>
          <w:p w14:paraId="08C66DF7" w14:textId="28C8F9CC" w:rsidR="006111F7" w:rsidRDefault="006111F7" w:rsidP="00834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20%</w:t>
            </w:r>
          </w:p>
        </w:tc>
      </w:tr>
      <w:tr w:rsidR="006111F7" w14:paraId="250F7A47" w14:textId="77777777" w:rsidTr="00834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111D23BE" w14:textId="185EA31B" w:rsidR="006111F7" w:rsidRPr="0098317D" w:rsidRDefault="008D14B5" w:rsidP="00834AEE">
            <w:pPr>
              <w:rPr>
                <w:szCs w:val="16"/>
              </w:rPr>
            </w:pPr>
            <w:r>
              <w:rPr>
                <w:szCs w:val="16"/>
              </w:rPr>
              <w:t>Jp Wealth High Yeld</w:t>
            </w:r>
          </w:p>
        </w:tc>
        <w:tc>
          <w:tcPr>
            <w:tcW w:w="1980" w:type="dxa"/>
          </w:tcPr>
          <w:p w14:paraId="25F0E1B4" w14:textId="6D3D8C62" w:rsidR="006111F7" w:rsidRDefault="006111F7" w:rsidP="00834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20%</w:t>
            </w:r>
          </w:p>
        </w:tc>
      </w:tr>
    </w:tbl>
    <w:p w14:paraId="7BE0A226" w14:textId="37BFF0FD" w:rsidR="009577D2" w:rsidRDefault="009577D2" w:rsidP="00746F62"/>
    <w:p w14:paraId="2E7C8EA6" w14:textId="0A2077DF" w:rsidR="009577D2" w:rsidRDefault="00573A0A" w:rsidP="00746F62"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7692837A" wp14:editId="517A608A">
            <wp:simplePos x="0" y="0"/>
            <wp:positionH relativeFrom="column">
              <wp:posOffset>-76200</wp:posOffset>
            </wp:positionH>
            <wp:positionV relativeFrom="paragraph">
              <wp:posOffset>47016</wp:posOffset>
            </wp:positionV>
            <wp:extent cx="2778760" cy="1177290"/>
            <wp:effectExtent l="0" t="0" r="0" b="0"/>
            <wp:wrapTight wrapText="bothSides">
              <wp:wrapPolygon edited="0">
                <wp:start x="2863" y="1398"/>
                <wp:lineTo x="3060" y="5592"/>
                <wp:lineTo x="2468" y="6757"/>
                <wp:lineTo x="99" y="12350"/>
                <wp:lineTo x="99" y="13282"/>
                <wp:lineTo x="3060" y="16777"/>
                <wp:lineTo x="3258" y="17942"/>
                <wp:lineTo x="8589" y="19806"/>
                <wp:lineTo x="11550" y="20272"/>
                <wp:lineTo x="13229" y="20272"/>
                <wp:lineTo x="16486" y="18874"/>
                <wp:lineTo x="16486" y="17010"/>
                <wp:lineTo x="20435" y="16777"/>
                <wp:lineTo x="20435" y="14680"/>
                <wp:lineTo x="12834" y="13049"/>
                <wp:lineTo x="17967" y="13049"/>
                <wp:lineTo x="18856" y="12583"/>
                <wp:lineTo x="18757" y="8621"/>
                <wp:lineTo x="16980" y="7689"/>
                <wp:lineTo x="11649" y="5592"/>
                <wp:lineTo x="20336" y="3728"/>
                <wp:lineTo x="20830" y="2330"/>
                <wp:lineTo x="19053" y="1398"/>
                <wp:lineTo x="2863" y="1398"/>
              </wp:wrapPolygon>
            </wp:wrapTight>
            <wp:docPr id="1360767433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CF1C4" w14:textId="339E5805" w:rsidR="009577D2" w:rsidRDefault="009577D2" w:rsidP="00746F62"/>
    <w:p w14:paraId="498DBC99" w14:textId="77777777" w:rsidR="00111797" w:rsidRDefault="00111797" w:rsidP="009577D2">
      <w:pPr>
        <w:rPr>
          <w:rStyle w:val="nfase"/>
          <w:b/>
          <w:bCs/>
          <w:sz w:val="18"/>
          <w:szCs w:val="18"/>
        </w:rPr>
      </w:pPr>
    </w:p>
    <w:p w14:paraId="6C4B23F8" w14:textId="77777777" w:rsidR="00111797" w:rsidRDefault="00111797" w:rsidP="009577D2">
      <w:pPr>
        <w:rPr>
          <w:rStyle w:val="nfase"/>
          <w:b/>
          <w:bCs/>
          <w:sz w:val="18"/>
          <w:szCs w:val="18"/>
        </w:rPr>
      </w:pPr>
    </w:p>
    <w:p w14:paraId="603F894A" w14:textId="77777777" w:rsidR="00111797" w:rsidRDefault="00111797" w:rsidP="009577D2">
      <w:pPr>
        <w:rPr>
          <w:rStyle w:val="nfase"/>
          <w:b/>
          <w:bCs/>
          <w:sz w:val="18"/>
          <w:szCs w:val="18"/>
        </w:rPr>
      </w:pPr>
    </w:p>
    <w:p w14:paraId="2402FD2A" w14:textId="47D76A6A" w:rsidR="009577D2" w:rsidRPr="00573A0A" w:rsidRDefault="00111797" w:rsidP="009577D2">
      <w:pPr>
        <w:rPr>
          <w:rStyle w:val="nfase"/>
          <w:b/>
          <w:bCs/>
          <w:sz w:val="18"/>
          <w:szCs w:val="18"/>
        </w:rPr>
      </w:pPr>
      <w:r>
        <w:rPr>
          <w:rStyle w:val="nfase"/>
          <w:b/>
          <w:bCs/>
          <w:sz w:val="18"/>
          <w:szCs w:val="18"/>
        </w:rPr>
        <w:t xml:space="preserve">3.2 </w:t>
      </w:r>
      <w:r w:rsidR="009577D2" w:rsidRPr="00573A0A">
        <w:rPr>
          <w:rStyle w:val="nfase"/>
          <w:b/>
          <w:bCs/>
          <w:sz w:val="18"/>
          <w:szCs w:val="18"/>
        </w:rPr>
        <w:t>Investimentos Externos (20%):</w:t>
      </w:r>
    </w:p>
    <w:p w14:paraId="6A03EF64" w14:textId="77777777" w:rsidR="009577D2" w:rsidRDefault="009577D2" w:rsidP="009577D2">
      <w:pPr>
        <w:rPr>
          <w:rStyle w:val="nfase"/>
          <w:b/>
          <w:bCs/>
          <w:szCs w:val="16"/>
        </w:rPr>
      </w:pPr>
    </w:p>
    <w:tbl>
      <w:tblPr>
        <w:tblStyle w:val="TabeladeGrade6Colorida"/>
        <w:tblW w:w="4537" w:type="dxa"/>
        <w:tblInd w:w="-147" w:type="dxa"/>
        <w:tblLook w:val="04A0" w:firstRow="1" w:lastRow="0" w:firstColumn="1" w:lastColumn="0" w:noHBand="0" w:noVBand="1"/>
      </w:tblPr>
      <w:tblGrid>
        <w:gridCol w:w="2557"/>
        <w:gridCol w:w="1980"/>
      </w:tblGrid>
      <w:tr w:rsidR="009577D2" w:rsidRPr="00C12F4A" w14:paraId="072530A2" w14:textId="77777777" w:rsidTr="00834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48747AD5" w14:textId="410196E5" w:rsidR="009577D2" w:rsidRPr="00C12F4A" w:rsidRDefault="009577D2" w:rsidP="00834AEE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Investimentos Externos Jp Wealth</w:t>
            </w:r>
          </w:p>
        </w:tc>
        <w:tc>
          <w:tcPr>
            <w:tcW w:w="1980" w:type="dxa"/>
          </w:tcPr>
          <w:p w14:paraId="37991772" w14:textId="77777777" w:rsidR="009577D2" w:rsidRPr="00C12F4A" w:rsidRDefault="009577D2" w:rsidP="00834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C12F4A">
              <w:rPr>
                <w:szCs w:val="16"/>
              </w:rPr>
              <w:t>Proporção do Patrimônio</w:t>
            </w:r>
          </w:p>
        </w:tc>
      </w:tr>
      <w:tr w:rsidR="009577D2" w14:paraId="738A5185" w14:textId="77777777" w:rsidTr="00834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38C75D84" w14:textId="352B44BF" w:rsidR="009577D2" w:rsidRPr="0098317D" w:rsidRDefault="009577D2" w:rsidP="009577D2">
            <w:pPr>
              <w:jc w:val="center"/>
              <w:rPr>
                <w:b w:val="0"/>
                <w:bCs w:val="0"/>
                <w:szCs w:val="16"/>
              </w:rPr>
            </w:pPr>
            <w:r>
              <w:rPr>
                <w:szCs w:val="16"/>
              </w:rPr>
              <w:t>Oracullus</w:t>
            </w:r>
          </w:p>
        </w:tc>
        <w:tc>
          <w:tcPr>
            <w:tcW w:w="1980" w:type="dxa"/>
          </w:tcPr>
          <w:p w14:paraId="535B604D" w14:textId="1431DBED" w:rsidR="009577D2" w:rsidRDefault="006F494F" w:rsidP="00834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FA3C80">
              <w:rPr>
                <w:b/>
                <w:bCs/>
              </w:rPr>
              <w:t>4</w:t>
            </w:r>
            <w:r w:rsidR="009577D2">
              <w:rPr>
                <w:b/>
                <w:bCs/>
              </w:rPr>
              <w:t>%</w:t>
            </w:r>
          </w:p>
        </w:tc>
      </w:tr>
      <w:tr w:rsidR="009577D2" w14:paraId="1CDB43A4" w14:textId="77777777" w:rsidTr="00834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1C665C92" w14:textId="5DD03C6D" w:rsidR="009577D2" w:rsidRPr="009577D2" w:rsidRDefault="009577D2" w:rsidP="009577D2">
            <w:pPr>
              <w:jc w:val="center"/>
              <w:rPr>
                <w:szCs w:val="16"/>
              </w:rPr>
            </w:pPr>
            <w:r w:rsidRPr="009577D2">
              <w:rPr>
                <w:szCs w:val="16"/>
              </w:rPr>
              <w:t>Sollitus</w:t>
            </w:r>
          </w:p>
        </w:tc>
        <w:tc>
          <w:tcPr>
            <w:tcW w:w="1980" w:type="dxa"/>
          </w:tcPr>
          <w:p w14:paraId="1DFA0D41" w14:textId="125879FF" w:rsidR="009577D2" w:rsidRDefault="006F494F" w:rsidP="00834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  <w:r w:rsidR="009577D2">
              <w:rPr>
                <w:b/>
                <w:bCs/>
              </w:rPr>
              <w:t>%</w:t>
            </w:r>
          </w:p>
        </w:tc>
      </w:tr>
      <w:tr w:rsidR="009577D2" w14:paraId="48F2DB31" w14:textId="77777777" w:rsidTr="00834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</w:tcPr>
          <w:p w14:paraId="22BEB9EE" w14:textId="51308511" w:rsidR="009577D2" w:rsidRPr="0098317D" w:rsidRDefault="006223F6" w:rsidP="009577D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Fiis</w:t>
            </w:r>
          </w:p>
        </w:tc>
        <w:tc>
          <w:tcPr>
            <w:tcW w:w="1980" w:type="dxa"/>
          </w:tcPr>
          <w:p w14:paraId="09EFA0A7" w14:textId="56193FC6" w:rsidR="009577D2" w:rsidRDefault="006F494F" w:rsidP="00834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  <w:r w:rsidR="009577D2">
              <w:rPr>
                <w:b/>
                <w:bCs/>
              </w:rPr>
              <w:t>%</w:t>
            </w:r>
          </w:p>
        </w:tc>
      </w:tr>
    </w:tbl>
    <w:p w14:paraId="49C206AA" w14:textId="63AF329E" w:rsidR="009577D2" w:rsidRDefault="00585284" w:rsidP="009577D2">
      <w:pPr>
        <w:rPr>
          <w:rStyle w:val="nfase"/>
          <w:b/>
          <w:bCs/>
          <w:szCs w:val="16"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5335C5EB" wp14:editId="01E1E4E6">
            <wp:simplePos x="0" y="0"/>
            <wp:positionH relativeFrom="column">
              <wp:posOffset>-3810</wp:posOffset>
            </wp:positionH>
            <wp:positionV relativeFrom="paragraph">
              <wp:posOffset>156845</wp:posOffset>
            </wp:positionV>
            <wp:extent cx="2778760" cy="1345565"/>
            <wp:effectExtent l="0" t="0" r="0" b="0"/>
            <wp:wrapTight wrapText="bothSides">
              <wp:wrapPolygon edited="0">
                <wp:start x="494" y="4077"/>
                <wp:lineTo x="494" y="5301"/>
                <wp:lineTo x="1777" y="7747"/>
                <wp:lineTo x="2172" y="7747"/>
                <wp:lineTo x="1876" y="8970"/>
                <wp:lineTo x="1777" y="11009"/>
                <wp:lineTo x="2172" y="14271"/>
                <wp:lineTo x="2271" y="14882"/>
                <wp:lineTo x="4936" y="17533"/>
                <wp:lineTo x="5528" y="17533"/>
                <wp:lineTo x="6318" y="20999"/>
                <wp:lineTo x="8095" y="20999"/>
                <wp:lineTo x="9181" y="17533"/>
                <wp:lineTo x="10069" y="17533"/>
                <wp:lineTo x="18263" y="14679"/>
                <wp:lineTo x="18362" y="14271"/>
                <wp:lineTo x="19941" y="11009"/>
                <wp:lineTo x="20534" y="7747"/>
                <wp:lineTo x="20830" y="6728"/>
                <wp:lineTo x="14216" y="4077"/>
                <wp:lineTo x="494" y="4077"/>
              </wp:wrapPolygon>
            </wp:wrapTight>
            <wp:docPr id="1700396561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3B6ED" w14:textId="77777777" w:rsidR="00585284" w:rsidRDefault="00585284" w:rsidP="009577D2">
      <w:pPr>
        <w:rPr>
          <w:rStyle w:val="nfase"/>
          <w:b/>
          <w:bCs/>
          <w:szCs w:val="16"/>
        </w:rPr>
      </w:pPr>
    </w:p>
    <w:p w14:paraId="18919262" w14:textId="77777777" w:rsidR="00585284" w:rsidRDefault="00585284" w:rsidP="009577D2">
      <w:pPr>
        <w:rPr>
          <w:rStyle w:val="nfase"/>
          <w:b/>
          <w:bCs/>
          <w:szCs w:val="16"/>
        </w:rPr>
      </w:pPr>
    </w:p>
    <w:p w14:paraId="64B01856" w14:textId="77777777" w:rsidR="006F494F" w:rsidRDefault="006F494F" w:rsidP="009577D2">
      <w:pPr>
        <w:rPr>
          <w:rStyle w:val="nfase"/>
          <w:i w:val="0"/>
          <w:iCs w:val="0"/>
          <w:szCs w:val="16"/>
        </w:rPr>
      </w:pPr>
    </w:p>
    <w:p w14:paraId="58DDB516" w14:textId="77777777" w:rsidR="006F494F" w:rsidRDefault="006F494F" w:rsidP="006F494F"/>
    <w:p w14:paraId="5689BC0C" w14:textId="77777777" w:rsidR="006F494F" w:rsidRDefault="006F494F" w:rsidP="006F494F"/>
    <w:p w14:paraId="799F1811" w14:textId="77777777" w:rsidR="00111797" w:rsidRDefault="00111797" w:rsidP="006F494F"/>
    <w:p w14:paraId="77074CFF" w14:textId="7F10F239" w:rsidR="006F494F" w:rsidRPr="006F494F" w:rsidRDefault="00111797" w:rsidP="006F494F">
      <w:pPr>
        <w:rPr>
          <w:sz w:val="24"/>
        </w:rPr>
      </w:pPr>
      <w:r>
        <w:tab/>
      </w:r>
      <w:r w:rsidR="006F494F">
        <w:t xml:space="preserve">Dentro da arquitetura da JP Wealth Holding, o bloco de </w:t>
      </w:r>
      <w:r w:rsidR="006F494F">
        <w:rPr>
          <w:rStyle w:val="s1"/>
          <w:b/>
          <w:bCs/>
        </w:rPr>
        <w:t>Investimentos Externos</w:t>
      </w:r>
      <w:r w:rsidR="006F494F">
        <w:t xml:space="preserve"> cumpre não apenas a função clássica de diversificação técnica e de gestores independentes — como ocorre com os projetos </w:t>
      </w:r>
      <w:r w:rsidR="006F494F">
        <w:rPr>
          <w:rStyle w:val="s1"/>
          <w:b/>
          <w:bCs/>
        </w:rPr>
        <w:t>Oracullus</w:t>
      </w:r>
      <w:r w:rsidR="006F494F">
        <w:t xml:space="preserve"> e </w:t>
      </w:r>
      <w:r w:rsidR="006F494F">
        <w:rPr>
          <w:rStyle w:val="s1"/>
          <w:b/>
          <w:bCs/>
        </w:rPr>
        <w:t>Sollitus</w:t>
      </w:r>
      <w:r w:rsidR="006F494F">
        <w:t xml:space="preserve"> — mas também exerce um papel relevante na </w:t>
      </w:r>
      <w:r w:rsidR="006F494F">
        <w:rPr>
          <w:rStyle w:val="s1"/>
          <w:b/>
          <w:bCs/>
        </w:rPr>
        <w:t>gestão de estabilidade emocional.</w:t>
      </w:r>
    </w:p>
    <w:p w14:paraId="6E21C6FF" w14:textId="482975A9" w:rsidR="006F494F" w:rsidRDefault="00111797" w:rsidP="006F494F">
      <w:r>
        <w:tab/>
      </w:r>
      <w:r w:rsidR="006F494F">
        <w:t xml:space="preserve">A inclusão de veículos de geração de renda mensal paralelos, tem como objetivo criar um fluxo recorrente de capital que não depende exclusivamente da </w:t>
      </w:r>
      <w:r w:rsidR="006F494F">
        <w:lastRenderedPageBreak/>
        <w:t>performance do núcleo de operações ativas. Este fluxo recorrente reduz o peso emocional e a pressão psicológica natural que incide sobre o gestor durante períodos de drawdown ou lateralidade de mercado.</w:t>
      </w:r>
    </w:p>
    <w:p w14:paraId="74D327EA" w14:textId="79939F18" w:rsidR="00585284" w:rsidRDefault="00111797" w:rsidP="009577D2">
      <w:r>
        <w:tab/>
      </w:r>
      <w:r w:rsidR="006F494F">
        <w:t xml:space="preserve">Ao garantir que parte do caixa da holding seja alimentado por rendimentos contínuos, mesmo durante fases de baixa volatilidade operacional, a estrutura cria </w:t>
      </w:r>
      <w:r w:rsidR="006F494F">
        <w:rPr>
          <w:rStyle w:val="s1"/>
          <w:b/>
          <w:bCs/>
        </w:rPr>
        <w:t>amortecedores emocionais internos</w:t>
      </w:r>
      <w:r w:rsidR="006F494F">
        <w:t>, aumentando a estabilidade do processo decisório e fortalecendo o compromisso com a disciplina de longo prazo que rege a filosofia JP Wealth.</w:t>
      </w:r>
    </w:p>
    <w:p w14:paraId="1795C126" w14:textId="77777777" w:rsidR="00111797" w:rsidRPr="00111797" w:rsidRDefault="00111797" w:rsidP="00111797">
      <w:pPr>
        <w:rPr>
          <w:rStyle w:val="nfase"/>
          <w:i w:val="0"/>
          <w:iCs w:val="0"/>
          <w:sz w:val="24"/>
        </w:rPr>
      </w:pPr>
    </w:p>
    <w:p w14:paraId="4CCABEC8" w14:textId="66AE7DB7" w:rsidR="009577D2" w:rsidRPr="00573A0A" w:rsidRDefault="00111797" w:rsidP="009577D2">
      <w:pPr>
        <w:rPr>
          <w:sz w:val="18"/>
          <w:szCs w:val="18"/>
        </w:rPr>
      </w:pPr>
      <w:r>
        <w:rPr>
          <w:rStyle w:val="nfase"/>
          <w:b/>
          <w:bCs/>
          <w:sz w:val="18"/>
          <w:szCs w:val="18"/>
        </w:rPr>
        <w:t xml:space="preserve">3.3 </w:t>
      </w:r>
      <w:r w:rsidR="009577D2" w:rsidRPr="00573A0A">
        <w:rPr>
          <w:rStyle w:val="nfase"/>
          <w:b/>
          <w:bCs/>
          <w:sz w:val="18"/>
          <w:szCs w:val="18"/>
        </w:rPr>
        <w:t>Fundo de Resgate</w:t>
      </w:r>
      <w:r w:rsidR="006223F6" w:rsidRPr="00573A0A">
        <w:rPr>
          <w:rStyle w:val="nfase"/>
          <w:b/>
          <w:bCs/>
          <w:sz w:val="18"/>
          <w:szCs w:val="18"/>
        </w:rPr>
        <w:t>/Caixa</w:t>
      </w:r>
      <w:r w:rsidR="009577D2" w:rsidRPr="00573A0A">
        <w:rPr>
          <w:rStyle w:val="nfase"/>
          <w:b/>
          <w:bCs/>
          <w:sz w:val="18"/>
          <w:szCs w:val="18"/>
        </w:rPr>
        <w:t xml:space="preserve"> (15%):</w:t>
      </w:r>
      <w:r w:rsidR="009577D2" w:rsidRPr="00573A0A">
        <w:rPr>
          <w:rStyle w:val="nfase"/>
          <w:sz w:val="18"/>
          <w:szCs w:val="18"/>
        </w:rPr>
        <w:t xml:space="preserve"> </w:t>
      </w:r>
    </w:p>
    <w:p w14:paraId="1F957159" w14:textId="38658E98" w:rsidR="009577D2" w:rsidRDefault="009577D2" w:rsidP="009577D2">
      <w:r>
        <w:t xml:space="preserve">O Fundo de Resgate segue as regras estabelecidas no Título XI do </w:t>
      </w:r>
      <w:proofErr w:type="gramStart"/>
      <w:r>
        <w:t>Estatuto .</w:t>
      </w:r>
      <w:proofErr w:type="gramEnd"/>
      <w:r>
        <w:rPr>
          <w:sz w:val="24"/>
        </w:rPr>
        <w:t xml:space="preserve"> </w:t>
      </w:r>
      <w:r>
        <w:t>Sua finalidade é oferecer suporte operacional em eventuais regimes de drawdown severos, funcionando como buffer de resiliência estatística e operacional.</w:t>
      </w:r>
    </w:p>
    <w:p w14:paraId="2164AA88" w14:textId="7C45A428" w:rsidR="006223F6" w:rsidRPr="009577D2" w:rsidRDefault="006223F6" w:rsidP="006223F6">
      <w:r>
        <w:t xml:space="preserve">Esses fundos devem ser armazenados em formato de investimento com liquidez +2 dias, como formato do gerenciamento de risco institucional. </w:t>
      </w:r>
    </w:p>
    <w:p w14:paraId="34E384F4" w14:textId="77777777" w:rsidR="00111797" w:rsidRDefault="00111797" w:rsidP="00746F62"/>
    <w:p w14:paraId="3A20DC95" w14:textId="6CFE0999" w:rsidR="006F494F" w:rsidRPr="006F494F" w:rsidRDefault="00111797" w:rsidP="00746F62">
      <w:pPr>
        <w:rPr>
          <w:b/>
          <w:bCs/>
        </w:rPr>
      </w:pPr>
      <w:r>
        <w:rPr>
          <w:b/>
          <w:bCs/>
        </w:rPr>
        <w:t xml:space="preserve">3.4 </w:t>
      </w:r>
      <w:r w:rsidR="006223F6" w:rsidRPr="006F494F">
        <w:rPr>
          <w:b/>
          <w:bCs/>
        </w:rPr>
        <w:t>Considerações</w:t>
      </w:r>
    </w:p>
    <w:p w14:paraId="7A094F94" w14:textId="70330106" w:rsidR="006223F6" w:rsidRDefault="006F494F" w:rsidP="006F494F">
      <w:pPr>
        <w:rPr>
          <w:sz w:val="24"/>
        </w:rPr>
      </w:pPr>
      <w:r>
        <w:tab/>
      </w:r>
      <w:r w:rsidR="006223F6">
        <w:t xml:space="preserve">A estrutura de alocação patrimonial da JP Wealth Holding adota como fundamento o princípio de </w:t>
      </w:r>
      <w:r w:rsidR="006223F6" w:rsidRPr="006F494F">
        <w:rPr>
          <w:b/>
          <w:bCs/>
          <w:i/>
          <w:iCs/>
        </w:rPr>
        <w:t>convexidade antifrágil</w:t>
      </w:r>
      <w:r w:rsidR="006223F6">
        <w:t>, inspirado na obra de Nassim Nicholas Taleb. Ao organizar o capital em camadas com diferentes níveis de exposição e assimetria, buscamos estruturar um portfólio que se beneficia de eventos extremos favoráveis, enquanto mantém perdas controladas e previsíveis em regimes adversos.</w:t>
      </w:r>
    </w:p>
    <w:p w14:paraId="12D79A5F" w14:textId="6FBB33F2" w:rsidR="006F494F" w:rsidRDefault="006F494F" w:rsidP="006F494F">
      <w:pPr>
        <w:rPr>
          <w:sz w:val="24"/>
        </w:rPr>
      </w:pPr>
      <w:r>
        <w:tab/>
        <w:t xml:space="preserve">A conta </w:t>
      </w:r>
      <w:r>
        <w:rPr>
          <w:rStyle w:val="s1"/>
          <w:b/>
          <w:bCs/>
        </w:rPr>
        <w:t>High Yield</w:t>
      </w:r>
      <w:r>
        <w:t xml:space="preserve"> representa, dentro deste modelo, a camada de maior convexidade: trabalha com </w:t>
      </w:r>
      <w:r>
        <w:rPr>
          <w:rStyle w:val="s1"/>
          <w:b/>
          <w:bCs/>
        </w:rPr>
        <w:t>menor alocação patrimonial absoluta</w:t>
      </w:r>
      <w:r>
        <w:t>, mas exposta a oportunidades onde pequenas variações favoráveis podem gerar retornos desproporcionais em relação ao risco assumido. Diferente de modelos lineares que buscam aumento uniforme de exposição, a High Yield opera sob o princípio de capturar ganhos assimétricos com risco limitado.</w:t>
      </w:r>
    </w:p>
    <w:p w14:paraId="136939C1" w14:textId="7BC4B2FC" w:rsidR="006F494F" w:rsidRDefault="006F494F" w:rsidP="006F494F">
      <w:pPr>
        <w:rPr>
          <w:sz w:val="24"/>
        </w:rPr>
      </w:pPr>
      <w:r>
        <w:tab/>
        <w:t xml:space="preserve">As contas </w:t>
      </w:r>
      <w:r>
        <w:rPr>
          <w:rStyle w:val="s1"/>
          <w:b/>
          <w:bCs/>
        </w:rPr>
        <w:t>Base</w:t>
      </w:r>
      <w:r>
        <w:t xml:space="preserve"> e </w:t>
      </w:r>
      <w:r>
        <w:rPr>
          <w:rStyle w:val="s1"/>
          <w:b/>
          <w:bCs/>
        </w:rPr>
        <w:t>Longevity</w:t>
      </w:r>
      <w:r>
        <w:t xml:space="preserve"> representam o núcleo de estabilidade e repetição estatística da holding, oferecendo robustez estrutural e capacidade de crescimento gradual, mesmo diante de ambientes adversos, criando a base estatística necessária para a antifragilidade do sistema como um todo.</w:t>
      </w:r>
    </w:p>
    <w:p w14:paraId="1A76D012" w14:textId="77777777" w:rsidR="006223F6" w:rsidRDefault="006223F6" w:rsidP="00746F62"/>
    <w:p w14:paraId="1C278EBD" w14:textId="2FF289E6" w:rsidR="007E32D2" w:rsidRDefault="007E32D2" w:rsidP="007E32D2">
      <w:pPr>
        <w:pStyle w:val="p1"/>
      </w:pPr>
      <w:r>
        <w:rPr>
          <w:b/>
          <w:bCs/>
        </w:rPr>
        <w:t>4.Regras de Rebalanceamento Patrimonial da JP Wealth Holding</w:t>
      </w:r>
    </w:p>
    <w:p w14:paraId="349B9B3D" w14:textId="06A0FF52" w:rsidR="007E32D2" w:rsidRDefault="007E32D2" w:rsidP="007E32D2">
      <w:r>
        <w:tab/>
        <w:t xml:space="preserve">O rebalanceamento patrimonial da JP Wealth Holding não obedece a ciclos fixos arbitrários, mas sim à maturação natural dos seus próprios ciclos técnicos de gestão. Toda a política de ajuste de alocação respeita a lógica estrutural de </w:t>
      </w:r>
      <w:r>
        <w:rPr>
          <w:i/>
          <w:iCs/>
        </w:rPr>
        <w:t>Período de Gestão</w:t>
      </w:r>
      <w:r>
        <w:t>, conforme definido e normatizado no Estatuto JP Wealth.</w:t>
      </w:r>
    </w:p>
    <w:p w14:paraId="538E6F51" w14:textId="77777777" w:rsidR="007E32D2" w:rsidRDefault="007E32D2" w:rsidP="007E32D2">
      <w:r>
        <w:tab/>
        <w:t xml:space="preserve">O Período de Gestão representa o ciclo </w:t>
      </w:r>
      <w:proofErr w:type="gramStart"/>
      <w:r>
        <w:t>completo  de</w:t>
      </w:r>
      <w:proofErr w:type="gramEnd"/>
      <w:r>
        <w:t xml:space="preserve"> cada conta gerenciada, sendo a unidade mínima válida para qualquer análise de reestruturação patrimonial e rebalanceamento. </w:t>
      </w:r>
    </w:p>
    <w:p w14:paraId="38979837" w14:textId="1A515EF4" w:rsidR="007E32D2" w:rsidRDefault="007E32D2" w:rsidP="007E32D2">
      <w:r>
        <w:tab/>
        <w:t xml:space="preserve">Dessa forma, </w:t>
      </w:r>
      <w:r>
        <w:rPr>
          <w:rStyle w:val="s1"/>
          <w:b/>
          <w:bCs/>
        </w:rPr>
        <w:t>nenhum rebalanceamento será executado durante o curso de um Período de Gestão ativo.</w:t>
      </w:r>
      <w:r>
        <w:t xml:space="preserve"> As avaliações de realocação ocorrerão exclusivamente após o encerramento integral do Período, quando todas as métricas de risco, performance e compliance forem consolidadas.</w:t>
      </w:r>
    </w:p>
    <w:p w14:paraId="61AB8F90" w14:textId="792C3107" w:rsidR="007E32D2" w:rsidRDefault="007E32D2" w:rsidP="007E32D2">
      <w:r>
        <w:tab/>
        <w:t>A dinâmica patrimonial da holding adota a filosofia de capital fechado e progressivo, na qual não há fluxo rotineiro de saques ou resgates operacionais. Os lucros acumulados dentro dos períodos de gestão são reinvestidos ou incorporados ao capital operacional de forma orgânica, respeitando a filosofia de crescimento gradual e a consolidação da convexidade antifrágil ao longo do tempo.</w:t>
      </w:r>
    </w:p>
    <w:p w14:paraId="3A736DC8" w14:textId="4C2EBFE8" w:rsidR="009577D2" w:rsidRDefault="008D14B5" w:rsidP="00746F62">
      <w:r>
        <w:tab/>
        <w:t xml:space="preserve">Ao final de cada período, os resultados serão ponderados, verificando a distribuição dos recursos, e </w:t>
      </w:r>
      <w:proofErr w:type="gramStart"/>
      <w:r>
        <w:t>poderão portanto</w:t>
      </w:r>
      <w:proofErr w:type="gramEnd"/>
      <w:r>
        <w:t xml:space="preserve"> serem redistribuídos ao final de cada período.</w:t>
      </w:r>
    </w:p>
    <w:p w14:paraId="44E24E13" w14:textId="77777777" w:rsidR="009577D2" w:rsidRDefault="009577D2" w:rsidP="00746F62"/>
    <w:p w14:paraId="1FFB6DC8" w14:textId="0CD0F60D" w:rsidR="009577D2" w:rsidRDefault="00BD07D5" w:rsidP="00746F62">
      <w:pPr>
        <w:rPr>
          <w:b/>
          <w:bCs/>
        </w:rPr>
      </w:pPr>
      <w:r w:rsidRPr="00BD07D5">
        <w:rPr>
          <w:b/>
          <w:bCs/>
        </w:rPr>
        <w:t>4.1 Registros de Rebalanceamento</w:t>
      </w:r>
    </w:p>
    <w:p w14:paraId="7781D35D" w14:textId="102E5852" w:rsidR="00BD07D5" w:rsidRDefault="00BD07D5" w:rsidP="00BD07D5">
      <w:pPr>
        <w:rPr>
          <w:sz w:val="24"/>
        </w:rPr>
      </w:pPr>
      <w:r>
        <w:tab/>
        <w:t xml:space="preserve">Os registros oficiais de rebalanceamento serão mantidos em uma seção específica na </w:t>
      </w:r>
      <w:r>
        <w:rPr>
          <w:rStyle w:val="s1"/>
          <w:b/>
          <w:bCs/>
        </w:rPr>
        <w:t>Planilha de Resultados Mensais da JP Wealth Holding</w:t>
      </w:r>
      <w:r>
        <w:t>, que passa a constituir o repositório central de controle documental patrimonial da holding.</w:t>
      </w:r>
    </w:p>
    <w:p w14:paraId="0EEA5A5A" w14:textId="1DE5B3C5" w:rsidR="00BD07D5" w:rsidRDefault="00BD07D5" w:rsidP="00BD07D5">
      <w:pPr>
        <w:rPr>
          <w:sz w:val="24"/>
        </w:rPr>
      </w:pPr>
      <w:r>
        <w:tab/>
        <w:t xml:space="preserve">A autoridade para execução de qualquer ajuste patrimonial cabe exclusivamente ao setor de </w:t>
      </w:r>
      <w:r>
        <w:rPr>
          <w:rStyle w:val="s1"/>
          <w:b/>
          <w:bCs/>
        </w:rPr>
        <w:t>Compliance da JP Wealth Holding</w:t>
      </w:r>
      <w:r>
        <w:t>, que executará e documentará as alterações com base nas regras operacionais e estatutárias vigentes. O Compliance atua como órgão técnico de supervisão normativa, preservando a integridade estrutural e o alinhamento filosófico da holding.</w:t>
      </w:r>
    </w:p>
    <w:p w14:paraId="087121A7" w14:textId="0879E536" w:rsidR="00BD07D5" w:rsidRDefault="00BD07D5" w:rsidP="00BD07D5">
      <w:pPr>
        <w:rPr>
          <w:sz w:val="24"/>
        </w:rPr>
      </w:pPr>
      <w:r>
        <w:tab/>
        <w:t>A Planilha de Resultados Mensais, contendo todos os registros históricos de rebalanceamento, serve também como instrumento de prestação de contas interna e de eventual auditoria externa, garantindo plena rastreabilidade de cada decisão patrimonial executada no curso da gestão. A planilha tem como função principal consolidar resultados mensais de cada conta proprietária da Jp Wealth.</w:t>
      </w:r>
    </w:p>
    <w:p w14:paraId="7C0D4672" w14:textId="77777777" w:rsidR="00BD07D5" w:rsidRDefault="00BD07D5" w:rsidP="00746F62">
      <w:pPr>
        <w:rPr>
          <w:b/>
          <w:bCs/>
        </w:rPr>
      </w:pPr>
    </w:p>
    <w:p w14:paraId="4689F8D0" w14:textId="1913117A" w:rsidR="00BD07D5" w:rsidRDefault="00BD07D5" w:rsidP="00BD07D5">
      <w:pPr>
        <w:pStyle w:val="p1"/>
      </w:pPr>
      <w:r>
        <w:rPr>
          <w:b/>
          <w:bCs/>
        </w:rPr>
        <w:t xml:space="preserve">5. Diversificação de Corretoras da JP Wealth </w:t>
      </w:r>
    </w:p>
    <w:p w14:paraId="0EF1AA7F" w14:textId="188ABD00" w:rsidR="006A5921" w:rsidRDefault="00735BDE" w:rsidP="006A5921">
      <w:pPr>
        <w:rPr>
          <w:sz w:val="24"/>
        </w:rPr>
      </w:pPr>
      <w:r>
        <w:tab/>
      </w:r>
      <w:r w:rsidR="006A5921">
        <w:t>A arquitetura operacional da JP Wealth Holding está baseada majoritariamente em corretoras ECN ou híbridas de nível institucional, devidamente reguladas em jurisdições sérias e consolidadas como Reino Unido (FCA), Suíça (FINMA) e Austrália (ASIC). Essas instituições já oferecem, por si, elevado grau de segurança jurídica, infraestrutura de liquidez transparente e segregação patrimonial regulamentada.</w:t>
      </w:r>
    </w:p>
    <w:p w14:paraId="46270D1D" w14:textId="1D8173EE" w:rsidR="006A5921" w:rsidRDefault="00735BDE" w:rsidP="006A5921">
      <w:pPr>
        <w:rPr>
          <w:sz w:val="24"/>
        </w:rPr>
      </w:pPr>
      <w:r>
        <w:tab/>
      </w:r>
      <w:r w:rsidR="006A5921">
        <w:t>Entretanto, mesmo dentro deste universo de alta robustez, a gestão institucional patrimonial exige a aplicação de princípios de blindagem sistêmica superiores, inspirados na lógica de antifragilidade aplicada a estruturas de longo prazo. A concentração operacional excessiva em uma única corretora — por mais sólida que seja — ainda representa uma vulnerabilidade residual diante de:</w:t>
      </w:r>
    </w:p>
    <w:p w14:paraId="08076235" w14:textId="77777777" w:rsidR="006A5921" w:rsidRDefault="006A5921" w:rsidP="006A5921"/>
    <w:p w14:paraId="304234E5" w14:textId="496964F1" w:rsidR="006A5921" w:rsidRDefault="006A5921" w:rsidP="006A5921">
      <w:pPr>
        <w:pStyle w:val="PargrafodaLista"/>
        <w:numPr>
          <w:ilvl w:val="0"/>
          <w:numId w:val="29"/>
        </w:numPr>
      </w:pPr>
      <w:r>
        <w:t>Riscos não financeiros de natureza jurídica, política ou regulatória;</w:t>
      </w:r>
    </w:p>
    <w:p w14:paraId="1A5B7B0F" w14:textId="224E488E" w:rsidR="006A5921" w:rsidRDefault="006A5921" w:rsidP="006A5921">
      <w:pPr>
        <w:pStyle w:val="PargrafodaLista"/>
        <w:numPr>
          <w:ilvl w:val="0"/>
          <w:numId w:val="29"/>
        </w:numPr>
      </w:pPr>
      <w:r>
        <w:lastRenderedPageBreak/>
        <w:t>Eventos administrativos, como bloqueios ou disputas legais entre instituições;</w:t>
      </w:r>
    </w:p>
    <w:p w14:paraId="428CA020" w14:textId="495C8306" w:rsidR="006A5921" w:rsidRDefault="006A5921" w:rsidP="006A5921">
      <w:pPr>
        <w:pStyle w:val="PargrafodaLista"/>
        <w:numPr>
          <w:ilvl w:val="0"/>
          <w:numId w:val="29"/>
        </w:numPr>
      </w:pPr>
      <w:r>
        <w:t>Falhas operacionais internas específicas de tecnologia, custódia ou sistemas de compensação;</w:t>
      </w:r>
    </w:p>
    <w:p w14:paraId="27E7D5E0" w14:textId="5CEFC5C3" w:rsidR="006A5921" w:rsidRDefault="006A5921" w:rsidP="006A5921">
      <w:pPr>
        <w:pStyle w:val="PargrafodaLista"/>
        <w:numPr>
          <w:ilvl w:val="0"/>
          <w:numId w:val="29"/>
        </w:numPr>
      </w:pPr>
      <w:r>
        <w:t>Eventos de cisne negro exógenos que possam afetar jurisdições inteiras, mesmo as de alta reputação.</w:t>
      </w:r>
    </w:p>
    <w:p w14:paraId="6331BF04" w14:textId="1C314F25" w:rsidR="009577D2" w:rsidRDefault="009577D2" w:rsidP="00746F62"/>
    <w:p w14:paraId="6CD9793C" w14:textId="62E4B123" w:rsidR="006A5921" w:rsidRDefault="006A5921" w:rsidP="006A5921">
      <w:pPr>
        <w:rPr>
          <w:sz w:val="24"/>
        </w:rPr>
      </w:pPr>
      <w:r>
        <w:tab/>
        <w:t xml:space="preserve">Dessa forma, a política de diversificação entre múltiplas corretoras institucionais não reflete desconfiança nas instituições individualmente selecionadas, mas sim a aplicação de uma </w:t>
      </w:r>
      <w:r>
        <w:rPr>
          <w:rStyle w:val="s1"/>
          <w:b/>
          <w:bCs/>
        </w:rPr>
        <w:t>estratégia deliberada de dispersão de pontos de fragilidade operacional</w:t>
      </w:r>
      <w:r>
        <w:t>, assegurando que o núcleo técnico-operacional da holding continue funcional e preservado mesmo em cenários improváveis, porém estatisticamente possíveis.</w:t>
      </w:r>
    </w:p>
    <w:p w14:paraId="010FDE21" w14:textId="144352BA" w:rsidR="006A5921" w:rsidRDefault="006A5921" w:rsidP="006A5921">
      <w:pPr>
        <w:rPr>
          <w:sz w:val="24"/>
        </w:rPr>
      </w:pPr>
      <w:r>
        <w:tab/>
        <w:t>Esta diversificação controlada permite que o capital da JP Wealth Holding permaneça continuamente disponível, auditável e funcional, evitando pontos de falha centralizada e reforçando sua missão maior: garantir longevidade institucional robusta, independente de ciclos de mercado e de eventos inesperados.</w:t>
      </w:r>
    </w:p>
    <w:p w14:paraId="5050DF6C" w14:textId="77777777" w:rsidR="006A5921" w:rsidRDefault="006A5921" w:rsidP="00746F62"/>
    <w:p w14:paraId="32847452" w14:textId="49652AB7" w:rsidR="006A5921" w:rsidRDefault="006A5921" w:rsidP="006A5921">
      <w:pPr>
        <w:rPr>
          <w:b/>
          <w:bCs/>
        </w:rPr>
      </w:pPr>
      <w:r>
        <w:rPr>
          <w:b/>
          <w:bCs/>
        </w:rPr>
        <w:t xml:space="preserve">5.1 </w:t>
      </w:r>
      <w:r w:rsidRPr="006A5921">
        <w:rPr>
          <w:b/>
          <w:bCs/>
        </w:rPr>
        <w:t>Expansão Progressiva Entre Corretoras</w:t>
      </w:r>
    </w:p>
    <w:p w14:paraId="121F5907" w14:textId="77777777" w:rsidR="006A5921" w:rsidRDefault="006A5921" w:rsidP="006A5921">
      <w:r>
        <w:tab/>
        <w:t xml:space="preserve">A diversificação operacional não ocorre de forma abrupta, mas sim adaptativa e progressiva, respeitando o crescimento orgânico do próprio capital da holding. </w:t>
      </w:r>
    </w:p>
    <w:p w14:paraId="75CEEFB3" w14:textId="77777777" w:rsidR="006A5921" w:rsidRDefault="006A5921" w:rsidP="006A5921">
      <w:r>
        <w:tab/>
        <w:t xml:space="preserve">Foi estabelecido o modelo de </w:t>
      </w:r>
      <w:r>
        <w:rPr>
          <w:rStyle w:val="s1"/>
          <w:b/>
          <w:bCs/>
        </w:rPr>
        <w:t>expansão escalonada por ciclos patrimoniais acumulados</w:t>
      </w:r>
      <w:r>
        <w:t>.</w:t>
      </w:r>
    </w:p>
    <w:p w14:paraId="2AF09D51" w14:textId="5067BCE4" w:rsidR="006A5921" w:rsidRDefault="006A5921" w:rsidP="006A5921">
      <w:pPr>
        <w:rPr>
          <w:sz w:val="24"/>
        </w:rPr>
      </w:pPr>
      <w:r>
        <w:tab/>
        <w:t xml:space="preserve"> A cada incremento de USD 10.000 de capital efetivamente acumulado, é ativada a abertura e capitalização de uma nova conta operacional ativa na corretora seguinte.</w:t>
      </w:r>
    </w:p>
    <w:p w14:paraId="6ECF789C" w14:textId="77777777" w:rsidR="006A5921" w:rsidRDefault="006A5921" w:rsidP="006A5921"/>
    <w:p w14:paraId="097E1A44" w14:textId="1108C7CD" w:rsidR="006A5921" w:rsidRDefault="006A5921" w:rsidP="006A5921">
      <w:pPr>
        <w:rPr>
          <w:sz w:val="24"/>
        </w:rPr>
      </w:pPr>
      <w:r>
        <w:t>Este mecanismo cria um crescimento contínuo de dispersão operacional, sem forçar complexidade administrativa antecipada, mas garantindo que, à medida que o patrimônio cresce, a distribuição de risco entre contrapartes se aprofunda gradualmente.</w:t>
      </w:r>
    </w:p>
    <w:p w14:paraId="177D9B42" w14:textId="77777777" w:rsidR="006A5921" w:rsidRPr="006A5921" w:rsidRDefault="006A5921" w:rsidP="006A5921">
      <w:pPr>
        <w:rPr>
          <w:b/>
          <w:bCs/>
        </w:rPr>
      </w:pPr>
    </w:p>
    <w:p w14:paraId="2039C761" w14:textId="0A5E2384" w:rsidR="006111F7" w:rsidRDefault="006A5921" w:rsidP="00746F62">
      <w:pPr>
        <w:rPr>
          <w:b/>
          <w:bCs/>
        </w:rPr>
      </w:pPr>
      <w:r w:rsidRPr="006A5921">
        <w:rPr>
          <w:b/>
          <w:bCs/>
        </w:rPr>
        <w:t>5.2 Contas Modelo (TrackRecord Puro)</w:t>
      </w:r>
    </w:p>
    <w:p w14:paraId="3AD434FE" w14:textId="77777777" w:rsidR="000F29DB" w:rsidRPr="001A5133" w:rsidRDefault="000F29DB" w:rsidP="000F29DB">
      <w:pPr>
        <w:rPr>
          <w:b/>
          <w:bCs/>
        </w:rPr>
      </w:pPr>
      <w:r>
        <w:t xml:space="preserve">JP Wealth Holding mantém as chamadas </w:t>
      </w:r>
      <w:r>
        <w:rPr>
          <w:rStyle w:val="s1"/>
          <w:b/>
          <w:bCs/>
        </w:rPr>
        <w:t>contas modelo (track record puro)</w:t>
      </w:r>
      <w:r>
        <w:t xml:space="preserve"> nas corretoras </w:t>
      </w:r>
      <w:r w:rsidRPr="001A5133">
        <w:rPr>
          <w:b/>
          <w:bCs/>
        </w:rPr>
        <w:t xml:space="preserve">Vantage (Cent) e Hantec (Cent). </w:t>
      </w:r>
    </w:p>
    <w:p w14:paraId="66987C92" w14:textId="5C441486" w:rsidR="000F29DB" w:rsidRDefault="000F29DB" w:rsidP="000F29DB">
      <w:pPr>
        <w:rPr>
          <w:sz w:val="24"/>
        </w:rPr>
      </w:pPr>
      <w:r>
        <w:t>Estas contas não realizam aportes ou saques, operam sob capital inicial fixo e têm como única finalidade gerar histórico técnico puro de performance, livre de interferências contábeis, servindo como instrumento documental de validação técnica contínua do modelo operacional JP Wealth.</w:t>
      </w:r>
    </w:p>
    <w:p w14:paraId="7581B319" w14:textId="77777777" w:rsidR="000F29DB" w:rsidRDefault="000F29DB" w:rsidP="00746F62">
      <w:pPr>
        <w:rPr>
          <w:b/>
          <w:bCs/>
        </w:rPr>
      </w:pPr>
    </w:p>
    <w:p w14:paraId="310B0EB1" w14:textId="1382C31F" w:rsidR="000F29DB" w:rsidRDefault="000F29DB" w:rsidP="000F29DB">
      <w:pPr>
        <w:pStyle w:val="Ttulo3"/>
      </w:pPr>
      <w:r>
        <w:t>6. Corretoras Homologadas Jp Wealth</w:t>
      </w:r>
    </w:p>
    <w:p w14:paraId="328DF5C7" w14:textId="50A55A60" w:rsidR="000F29DB" w:rsidRPr="00B20365" w:rsidRDefault="000F29DB" w:rsidP="00B20365">
      <w:pPr>
        <w:jc w:val="center"/>
        <w:rPr>
          <w:b/>
          <w:bCs/>
        </w:rPr>
      </w:pPr>
      <w:r w:rsidRPr="00B20365">
        <w:rPr>
          <w:b/>
          <w:bCs/>
        </w:rPr>
        <w:t>1ª FxPro</w:t>
      </w:r>
    </w:p>
    <w:p w14:paraId="7BDCBFDB" w14:textId="5955D128" w:rsidR="000F29DB" w:rsidRDefault="000F29DB" w:rsidP="000F29DB">
      <w:pPr>
        <w:rPr>
          <w:sz w:val="24"/>
        </w:rPr>
      </w:pPr>
      <w:r>
        <w:t>Fundação:</w:t>
      </w:r>
      <w:r>
        <w:rPr>
          <w:rStyle w:val="s1"/>
        </w:rPr>
        <w:t xml:space="preserve"> 2006</w:t>
      </w:r>
      <w:r w:rsidR="00B20365" w:rsidRPr="00B20365">
        <w:rPr>
          <w:noProof/>
        </w:rPr>
        <w:t xml:space="preserve"> </w:t>
      </w:r>
    </w:p>
    <w:p w14:paraId="5EB93CDA" w14:textId="28E5549D" w:rsidR="000F29DB" w:rsidRDefault="000F29DB" w:rsidP="000F29DB">
      <w:r>
        <w:rPr>
          <w:rStyle w:val="s1"/>
          <w:b/>
          <w:bCs/>
        </w:rPr>
        <w:t>Sede:</w:t>
      </w:r>
      <w:r>
        <w:t xml:space="preserve"> Londres, Reino Unido</w:t>
      </w:r>
    </w:p>
    <w:p w14:paraId="036060A0" w14:textId="7059D78D" w:rsidR="000F29DB" w:rsidRDefault="000F29DB" w:rsidP="000F29DB">
      <w:r>
        <w:rPr>
          <w:rStyle w:val="s1"/>
          <w:b/>
          <w:bCs/>
        </w:rPr>
        <w:t>Regulação:</w:t>
      </w:r>
      <w:r>
        <w:t xml:space="preserve"> FCA (UK), CySEC (Chipre), SCB (Bahamas)</w:t>
      </w:r>
    </w:p>
    <w:p w14:paraId="23677D0B" w14:textId="348BB173" w:rsidR="000F29DB" w:rsidRDefault="000F29DB" w:rsidP="000F29DB">
      <w:r>
        <w:rPr>
          <w:rStyle w:val="s1"/>
          <w:b/>
          <w:bCs/>
        </w:rPr>
        <w:t>Modelo de Negócio:</w:t>
      </w:r>
      <w:r>
        <w:t xml:space="preserve"> ECN/STP híbrido, com forte execução institucional</w:t>
      </w:r>
    </w:p>
    <w:p w14:paraId="5434DB32" w14:textId="246C1C5B" w:rsidR="000F29DB" w:rsidRDefault="000F29DB" w:rsidP="000F29DB">
      <w:r>
        <w:rPr>
          <w:rStyle w:val="s1"/>
          <w:b/>
          <w:bCs/>
        </w:rPr>
        <w:t>Histórico de Operação:</w:t>
      </w:r>
      <w:r>
        <w:t xml:space="preserve"> Presente em mais de 170 países, possui longa tradição de estabilidade, profunda infraestrutura de liquidez e execução eficiente, com elevada reputação na Europa e Ásia.</w:t>
      </w:r>
    </w:p>
    <w:p w14:paraId="6B5CC736" w14:textId="77777777" w:rsidR="000F29DB" w:rsidRDefault="000F29DB" w:rsidP="000F29DB"/>
    <w:p w14:paraId="25F733D8" w14:textId="77777777" w:rsidR="00D8334B" w:rsidRDefault="00D8334B" w:rsidP="000F29DB"/>
    <w:p w14:paraId="1346D2A3" w14:textId="5A3ACD3B" w:rsidR="000F29DB" w:rsidRPr="00B20365" w:rsidRDefault="000F29DB" w:rsidP="00B20365">
      <w:pPr>
        <w:jc w:val="center"/>
        <w:rPr>
          <w:b/>
          <w:bCs/>
        </w:rPr>
      </w:pPr>
      <w:r w:rsidRPr="00B20365">
        <w:rPr>
          <w:b/>
          <w:bCs/>
        </w:rPr>
        <w:t>2ª Valutrades</w:t>
      </w:r>
    </w:p>
    <w:p w14:paraId="4312AF13" w14:textId="77777777" w:rsidR="000F29DB" w:rsidRDefault="000F29DB" w:rsidP="000F29DB">
      <w:pPr>
        <w:rPr>
          <w:sz w:val="24"/>
        </w:rPr>
      </w:pPr>
      <w:r w:rsidRPr="000F29DB">
        <w:rPr>
          <w:b/>
          <w:bCs/>
        </w:rPr>
        <w:t>Fundação:</w:t>
      </w:r>
      <w:r>
        <w:rPr>
          <w:rStyle w:val="s1"/>
        </w:rPr>
        <w:t xml:space="preserve"> 2012</w:t>
      </w:r>
    </w:p>
    <w:p w14:paraId="3ED34EBC" w14:textId="77777777" w:rsidR="000F29DB" w:rsidRDefault="000F29DB" w:rsidP="000F29DB">
      <w:r>
        <w:rPr>
          <w:rStyle w:val="s1"/>
          <w:b/>
          <w:bCs/>
        </w:rPr>
        <w:t>Sede:</w:t>
      </w:r>
      <w:r>
        <w:t xml:space="preserve"> Londres, Reino Unido</w:t>
      </w:r>
    </w:p>
    <w:p w14:paraId="4B804C2D" w14:textId="77777777" w:rsidR="000F29DB" w:rsidRDefault="000F29DB" w:rsidP="000F29DB">
      <w:r>
        <w:rPr>
          <w:rStyle w:val="s1"/>
          <w:b/>
          <w:bCs/>
        </w:rPr>
        <w:t>Regulação:</w:t>
      </w:r>
      <w:r>
        <w:t xml:space="preserve"> FCA (UK), SCB (Bahamas)</w:t>
      </w:r>
    </w:p>
    <w:p w14:paraId="13F737F0" w14:textId="77777777" w:rsidR="000F29DB" w:rsidRDefault="000F29DB" w:rsidP="000F29DB">
      <w:r w:rsidRPr="000F29DB">
        <w:rPr>
          <w:b/>
          <w:bCs/>
        </w:rPr>
        <w:t>Modelo de Negócio:</w:t>
      </w:r>
      <w:r>
        <w:rPr>
          <w:rStyle w:val="s1"/>
        </w:rPr>
        <w:t xml:space="preserve"> Puro ECN</w:t>
      </w:r>
    </w:p>
    <w:p w14:paraId="0E29A0A5" w14:textId="77777777" w:rsidR="000F29DB" w:rsidRDefault="000F29DB" w:rsidP="000F29DB">
      <w:r>
        <w:rPr>
          <w:rStyle w:val="s1"/>
          <w:b/>
          <w:bCs/>
        </w:rPr>
        <w:t>Histórico de Operação:</w:t>
      </w:r>
      <w:r>
        <w:t xml:space="preserve"> Corretora boutique com forte foco em execução de alta velocidade, acesso direto ao mercado interbancário e excelente reputação entre traders profissionais de alta frequência e swing traders institucionais.</w:t>
      </w:r>
    </w:p>
    <w:p w14:paraId="0AE66DB0" w14:textId="178CA037" w:rsidR="00D8334B" w:rsidRDefault="00D8334B" w:rsidP="00D8334B"/>
    <w:p w14:paraId="450AAE10" w14:textId="530FD5D7" w:rsidR="00D8334B" w:rsidRPr="00B20365" w:rsidRDefault="00D8334B" w:rsidP="00B20365">
      <w:pPr>
        <w:jc w:val="center"/>
        <w:rPr>
          <w:b/>
          <w:bCs/>
        </w:rPr>
      </w:pPr>
      <w:r w:rsidRPr="00B20365">
        <w:rPr>
          <w:b/>
          <w:bCs/>
        </w:rPr>
        <w:t>3ª Pepperstone</w:t>
      </w:r>
    </w:p>
    <w:p w14:paraId="45C46D56" w14:textId="77777777" w:rsidR="00D8334B" w:rsidRDefault="00D8334B" w:rsidP="00D8334B">
      <w:r>
        <w:rPr>
          <w:b/>
          <w:bCs/>
        </w:rPr>
        <w:t>Fundação:</w:t>
      </w:r>
      <w:r>
        <w:rPr>
          <w:rStyle w:val="s1"/>
        </w:rPr>
        <w:t xml:space="preserve"> 2010</w:t>
      </w:r>
    </w:p>
    <w:p w14:paraId="1BA347B3" w14:textId="77777777" w:rsidR="00D8334B" w:rsidRDefault="00D8334B" w:rsidP="00D8334B">
      <w:r>
        <w:rPr>
          <w:rStyle w:val="s1"/>
          <w:b/>
          <w:bCs/>
        </w:rPr>
        <w:t>Sede:</w:t>
      </w:r>
      <w:r>
        <w:t xml:space="preserve"> Melbourne, Austrália (sede global); Londres (subsidiária europeia)</w:t>
      </w:r>
    </w:p>
    <w:p w14:paraId="62024E21" w14:textId="77777777" w:rsidR="00D8334B" w:rsidRDefault="00D8334B" w:rsidP="00D8334B">
      <w:r>
        <w:rPr>
          <w:rStyle w:val="s1"/>
          <w:b/>
          <w:bCs/>
        </w:rPr>
        <w:t>Regulação:</w:t>
      </w:r>
      <w:r>
        <w:t xml:space="preserve"> ASIC (Austrália), FCA (UK), BaFin (Alemanha), DFSA (Dubai), CMA (Quênia)</w:t>
      </w:r>
    </w:p>
    <w:p w14:paraId="0D7C395C" w14:textId="77777777" w:rsidR="00D8334B" w:rsidRDefault="00D8334B" w:rsidP="00D8334B">
      <w:pPr>
        <w:rPr>
          <w:rStyle w:val="s1"/>
        </w:rPr>
      </w:pPr>
      <w:r>
        <w:rPr>
          <w:b/>
          <w:bCs/>
        </w:rPr>
        <w:t>Modelo de Negócio:</w:t>
      </w:r>
      <w:r>
        <w:rPr>
          <w:rStyle w:val="s1"/>
        </w:rPr>
        <w:t xml:space="preserve"> ECN/STP híbrido</w:t>
      </w:r>
    </w:p>
    <w:p w14:paraId="2B3C74AF" w14:textId="77777777" w:rsidR="00D8334B" w:rsidRDefault="00D8334B" w:rsidP="00D8334B"/>
    <w:p w14:paraId="71B12B14" w14:textId="77777777" w:rsidR="00D8334B" w:rsidRDefault="00D8334B" w:rsidP="00D8334B">
      <w:r>
        <w:rPr>
          <w:rStyle w:val="s1"/>
          <w:b/>
          <w:bCs/>
        </w:rPr>
        <w:t>Histórico de Operação:</w:t>
      </w:r>
      <w:r>
        <w:t xml:space="preserve"> Uma das maiores corretoras globais de Forex, reconhecida por sua robusta rede de liquidez, execução veloz e excelente tecnologia de infraestrutura.</w:t>
      </w:r>
    </w:p>
    <w:p w14:paraId="6C765925" w14:textId="77777777" w:rsidR="000F29DB" w:rsidRDefault="000F29DB" w:rsidP="000F29DB"/>
    <w:p w14:paraId="478C5186" w14:textId="097790AE" w:rsidR="00D8334B" w:rsidRPr="00B20365" w:rsidRDefault="00D8334B" w:rsidP="00B20365">
      <w:pPr>
        <w:jc w:val="center"/>
        <w:rPr>
          <w:b/>
          <w:bCs/>
          <w:sz w:val="27"/>
        </w:rPr>
      </w:pPr>
      <w:r w:rsidRPr="00B20365">
        <w:rPr>
          <w:b/>
          <w:bCs/>
        </w:rPr>
        <w:t>4ª Key To Markets</w:t>
      </w:r>
    </w:p>
    <w:p w14:paraId="6D204F9A" w14:textId="77777777" w:rsidR="00D8334B" w:rsidRDefault="00D8334B" w:rsidP="00D8334B">
      <w:r>
        <w:t>Fundação:</w:t>
      </w:r>
      <w:r>
        <w:rPr>
          <w:rStyle w:val="s1"/>
        </w:rPr>
        <w:t xml:space="preserve"> 2010</w:t>
      </w:r>
    </w:p>
    <w:p w14:paraId="0B9AC38E" w14:textId="77777777" w:rsidR="00D8334B" w:rsidRDefault="00D8334B" w:rsidP="00D8334B">
      <w:r>
        <w:rPr>
          <w:rStyle w:val="s1"/>
          <w:b/>
          <w:bCs/>
        </w:rPr>
        <w:t>Sede:</w:t>
      </w:r>
      <w:r>
        <w:t xml:space="preserve"> Londres, Reino Unido (UK Branch); Ilhas Maurício (Global)</w:t>
      </w:r>
    </w:p>
    <w:p w14:paraId="4B4CD4C2" w14:textId="77777777" w:rsidR="00D8334B" w:rsidRDefault="00D8334B" w:rsidP="00D8334B">
      <w:r>
        <w:rPr>
          <w:rStyle w:val="s1"/>
          <w:b/>
          <w:bCs/>
        </w:rPr>
        <w:t>Regulação:</w:t>
      </w:r>
      <w:r>
        <w:t xml:space="preserve"> FCA (UK), FSC (Maurício)</w:t>
      </w:r>
    </w:p>
    <w:p w14:paraId="5D8AFCD4" w14:textId="77777777" w:rsidR="00D8334B" w:rsidRDefault="00D8334B" w:rsidP="00D8334B">
      <w:r>
        <w:rPr>
          <w:rStyle w:val="s1"/>
          <w:b/>
          <w:bCs/>
        </w:rPr>
        <w:t>Modelo de Negócio:</w:t>
      </w:r>
      <w:r>
        <w:t xml:space="preserve"> ECN puro com DMA (Direct Market Access)</w:t>
      </w:r>
    </w:p>
    <w:p w14:paraId="38122F80" w14:textId="77777777" w:rsidR="00D8334B" w:rsidRDefault="00D8334B" w:rsidP="00D8334B">
      <w:r>
        <w:rPr>
          <w:rStyle w:val="s1"/>
          <w:b/>
          <w:bCs/>
        </w:rPr>
        <w:t>Histórico de Operação:</w:t>
      </w:r>
      <w:r>
        <w:t xml:space="preserve"> Corretora institucional com forte base em acesso direto a múltiplos provedores de liquidez interbancária, conhecida por transparência operacional e customização de contas para gestão profissional.</w:t>
      </w:r>
    </w:p>
    <w:p w14:paraId="6256108B" w14:textId="77777777" w:rsidR="00D8334B" w:rsidRDefault="00D8334B" w:rsidP="000F29DB"/>
    <w:p w14:paraId="7E4FD706" w14:textId="6B5626E4" w:rsidR="00D8334B" w:rsidRPr="00B20365" w:rsidRDefault="00D8334B" w:rsidP="00B20365">
      <w:pPr>
        <w:jc w:val="center"/>
        <w:rPr>
          <w:b/>
          <w:bCs/>
          <w:sz w:val="27"/>
        </w:rPr>
      </w:pPr>
      <w:r w:rsidRPr="00B20365">
        <w:rPr>
          <w:b/>
          <w:bCs/>
        </w:rPr>
        <w:t>5ª IG</w:t>
      </w:r>
    </w:p>
    <w:p w14:paraId="57F8F551" w14:textId="77777777" w:rsidR="00D8334B" w:rsidRDefault="00D8334B" w:rsidP="00D8334B">
      <w:r>
        <w:t>Fundação:</w:t>
      </w:r>
      <w:r>
        <w:rPr>
          <w:rStyle w:val="s1"/>
        </w:rPr>
        <w:t xml:space="preserve"> 1974</w:t>
      </w:r>
    </w:p>
    <w:p w14:paraId="04E81319" w14:textId="77777777" w:rsidR="00D8334B" w:rsidRDefault="00D8334B" w:rsidP="00D8334B">
      <w:r>
        <w:rPr>
          <w:rStyle w:val="s1"/>
          <w:b/>
          <w:bCs/>
        </w:rPr>
        <w:t>Sede:</w:t>
      </w:r>
      <w:r>
        <w:t xml:space="preserve"> Londres, Reino Unido</w:t>
      </w:r>
    </w:p>
    <w:p w14:paraId="5631646C" w14:textId="77777777" w:rsidR="00D8334B" w:rsidRDefault="00D8334B" w:rsidP="00D8334B">
      <w:r>
        <w:rPr>
          <w:rStyle w:val="s1"/>
          <w:b/>
          <w:bCs/>
        </w:rPr>
        <w:t>Regulação:</w:t>
      </w:r>
      <w:r>
        <w:t xml:space="preserve"> FCA (UK), FINMA (Suíça), ASIC (Austrália), MAS (Singapura), entre outros</w:t>
      </w:r>
    </w:p>
    <w:p w14:paraId="3FE661DE" w14:textId="77777777" w:rsidR="00D8334B" w:rsidRDefault="00D8334B" w:rsidP="00D8334B">
      <w:r>
        <w:rPr>
          <w:rStyle w:val="s1"/>
          <w:b/>
          <w:bCs/>
        </w:rPr>
        <w:t>Modelo de Negócio:</w:t>
      </w:r>
      <w:r>
        <w:t xml:space="preserve"> ECN/STP institucional com derivados regulados e oferta ampla de CFDs globais</w:t>
      </w:r>
    </w:p>
    <w:p w14:paraId="04456B4D" w14:textId="77777777" w:rsidR="00D8334B" w:rsidRDefault="00D8334B" w:rsidP="00D8334B">
      <w:r>
        <w:rPr>
          <w:rStyle w:val="s1"/>
          <w:b/>
          <w:bCs/>
        </w:rPr>
        <w:t>Histórico de Operação:</w:t>
      </w:r>
      <w:r>
        <w:t xml:space="preserve"> Uma das instituições mais antigas e sólidas do setor, com presença global consolidada e status de player sistêmico na oferta de CFDs em múltiplos ativos e mercados.</w:t>
      </w:r>
    </w:p>
    <w:p w14:paraId="70F88EEC" w14:textId="5F51F81C" w:rsidR="00D8334B" w:rsidRDefault="00D8334B" w:rsidP="000F29DB">
      <w:r>
        <w:t>Pela sua profundidade institucional, força histórica de solvência, múltiplas jurisdições de atuação e ampla oferta de instrumentos sob regulação bancária de alto nível, representa um dos vértices de estabilidade da holding.</w:t>
      </w:r>
    </w:p>
    <w:p w14:paraId="50238935" w14:textId="77777777" w:rsidR="00D8334B" w:rsidRDefault="00D8334B" w:rsidP="000F29DB"/>
    <w:p w14:paraId="60C69374" w14:textId="77777777" w:rsidR="00B20365" w:rsidRDefault="00B20365" w:rsidP="000F29DB"/>
    <w:p w14:paraId="265D464A" w14:textId="7493E886" w:rsidR="00D8334B" w:rsidRPr="00B20365" w:rsidRDefault="00D8334B" w:rsidP="00B20365">
      <w:pPr>
        <w:rPr>
          <w:b/>
          <w:bCs/>
          <w:sz w:val="27"/>
        </w:rPr>
      </w:pPr>
      <w:r w:rsidRPr="00B20365">
        <w:rPr>
          <w:b/>
          <w:bCs/>
        </w:rPr>
        <w:lastRenderedPageBreak/>
        <w:t>6ª Swissquote</w:t>
      </w:r>
    </w:p>
    <w:p w14:paraId="635E58A7" w14:textId="77777777" w:rsidR="00D8334B" w:rsidRDefault="00D8334B" w:rsidP="00D8334B">
      <w:r>
        <w:t>Fundação:</w:t>
      </w:r>
      <w:r>
        <w:rPr>
          <w:rStyle w:val="s1"/>
        </w:rPr>
        <w:t xml:space="preserve"> 1996</w:t>
      </w:r>
    </w:p>
    <w:p w14:paraId="357BDB5B" w14:textId="77777777" w:rsidR="00D8334B" w:rsidRDefault="00D8334B" w:rsidP="00D8334B">
      <w:r>
        <w:rPr>
          <w:rStyle w:val="s1"/>
          <w:b/>
          <w:bCs/>
        </w:rPr>
        <w:t>Sede:</w:t>
      </w:r>
      <w:r>
        <w:t xml:space="preserve"> Gland, Suíça</w:t>
      </w:r>
    </w:p>
    <w:p w14:paraId="6B9AFFFB" w14:textId="77777777" w:rsidR="00D8334B" w:rsidRDefault="00D8334B" w:rsidP="00D8334B">
      <w:r>
        <w:rPr>
          <w:rStyle w:val="s1"/>
          <w:b/>
          <w:bCs/>
        </w:rPr>
        <w:t>Regulação:</w:t>
      </w:r>
      <w:r>
        <w:t xml:space="preserve"> FINMA (Suíça - Regulação bancária)</w:t>
      </w:r>
    </w:p>
    <w:p w14:paraId="345B3CCA" w14:textId="77777777" w:rsidR="00D8334B" w:rsidRDefault="00D8334B" w:rsidP="00D8334B">
      <w:r>
        <w:rPr>
          <w:rStyle w:val="s1"/>
          <w:b/>
          <w:bCs/>
        </w:rPr>
        <w:t>Modelo de Negócio:</w:t>
      </w:r>
      <w:r>
        <w:t xml:space="preserve"> Banco suíço com plataforma de trading institucional multiativos</w:t>
      </w:r>
    </w:p>
    <w:p w14:paraId="2B37EDEC" w14:textId="77777777" w:rsidR="00D8334B" w:rsidRDefault="00D8334B" w:rsidP="00D8334B">
      <w:r>
        <w:rPr>
          <w:rStyle w:val="s1"/>
          <w:b/>
          <w:bCs/>
        </w:rPr>
        <w:t>Histórico de Operação:</w:t>
      </w:r>
      <w:r>
        <w:t xml:space="preserve"> Swissquote opera não apenas como corretora de CFDs, mas como banco institucional completo, com sólida solvência, fortíssima proteção jurídica suíça e plataforma de trading robusta para clientes institucionais de alta exigência.</w:t>
      </w:r>
    </w:p>
    <w:p w14:paraId="1BAF36BA" w14:textId="032E6E02" w:rsidR="00D8334B" w:rsidRDefault="00D8334B" w:rsidP="00D8334B">
      <w:r>
        <w:t>Pela fortaleza jurídica suíça, solidez bancária integral, alta confiabilidade de custódia e estabilidade institucional para longos ciclos patrimoniais.</w:t>
      </w:r>
    </w:p>
    <w:p w14:paraId="6E6EF9AF" w14:textId="77777777" w:rsidR="00B930DF" w:rsidRDefault="00B930DF" w:rsidP="00B930DF">
      <w:pPr>
        <w:pStyle w:val="PargrafodaLista"/>
        <w:ind w:left="360"/>
        <w:rPr>
          <w:rStyle w:val="apple-converted-space"/>
        </w:rPr>
      </w:pPr>
    </w:p>
    <w:p w14:paraId="43F3425F" w14:textId="1176CE96" w:rsidR="00B930DF" w:rsidRDefault="00B930DF" w:rsidP="00B930DF">
      <w:pPr>
        <w:pStyle w:val="Ttulo3"/>
        <w:rPr>
          <w:rStyle w:val="apple-converted-space"/>
        </w:rPr>
      </w:pPr>
      <w:r>
        <w:rPr>
          <w:rStyle w:val="apple-converted-space"/>
        </w:rPr>
        <w:t>7. Política de distribuição de lucros da Holding</w:t>
      </w:r>
    </w:p>
    <w:p w14:paraId="625EE9DE" w14:textId="77777777" w:rsidR="0074324D" w:rsidRDefault="0074324D" w:rsidP="0074324D">
      <w:pPr>
        <w:rPr>
          <w:sz w:val="24"/>
        </w:rPr>
      </w:pPr>
      <w:r>
        <w:t>A política de distribuição de lucros da JP Wealth Holding acompanha a evolução do seu ciclo patrimonial e institucional, permitindo que a holding se adapte dinamicamente aos diferentes estágios de maturação de capital, sempre preservando seus princípios centrais de antifragilidade, disciplina estatística e estabilidade emocional dos seus sócios.</w:t>
      </w:r>
    </w:p>
    <w:p w14:paraId="6E3EE1AE" w14:textId="77777777" w:rsidR="0074324D" w:rsidRDefault="0074324D" w:rsidP="0074324D"/>
    <w:p w14:paraId="7D64CFF6" w14:textId="77777777" w:rsidR="0074324D" w:rsidRDefault="0074324D" w:rsidP="0074324D">
      <w:r>
        <w:t>A cada encerramento de Período de Gestão, o Compliance Board avaliará e determinará qual dos regimes de distribuição será aplicado no ciclo subsequente:</w:t>
      </w:r>
    </w:p>
    <w:p w14:paraId="0CFB928B" w14:textId="77777777" w:rsidR="00B930DF" w:rsidRDefault="00B930DF" w:rsidP="00B930DF"/>
    <w:p w14:paraId="5091F168" w14:textId="56CC0D52" w:rsidR="00B930DF" w:rsidRPr="00B930DF" w:rsidRDefault="00B930DF" w:rsidP="00B930DF">
      <w:r>
        <w:t xml:space="preserve">A </w:t>
      </w:r>
      <w:r w:rsidR="0074324D">
        <w:t>Jp Wealth</w:t>
      </w:r>
      <w:r>
        <w:t xml:space="preserve"> poderá operar sob </w:t>
      </w:r>
      <w:r w:rsidR="0074324D">
        <w:t>três</w:t>
      </w:r>
      <w:r>
        <w:t xml:space="preserve"> regimes distintos de distribuição de lucros:</w:t>
      </w:r>
    </w:p>
    <w:p w14:paraId="3324D988" w14:textId="2CE9026E" w:rsidR="00B930DF" w:rsidRPr="00B930DF" w:rsidRDefault="00B930DF" w:rsidP="00B930DF">
      <w:pPr>
        <w:pStyle w:val="PargrafodaLista"/>
        <w:numPr>
          <w:ilvl w:val="0"/>
          <w:numId w:val="41"/>
        </w:numPr>
        <w:rPr>
          <w:b/>
          <w:bCs/>
          <w:lang w:eastAsia="pt-BR"/>
        </w:rPr>
      </w:pPr>
      <w:r w:rsidRPr="00B930DF">
        <w:rPr>
          <w:b/>
          <w:bCs/>
          <w:lang w:eastAsia="pt-BR"/>
        </w:rPr>
        <w:t>Regime de Crescimento</w:t>
      </w:r>
    </w:p>
    <w:p w14:paraId="157E7268" w14:textId="3E89813B" w:rsidR="00B930DF" w:rsidRDefault="00B930DF" w:rsidP="00B930DF">
      <w:pPr>
        <w:pStyle w:val="PargrafodaLista"/>
        <w:numPr>
          <w:ilvl w:val="0"/>
          <w:numId w:val="41"/>
        </w:numPr>
        <w:rPr>
          <w:b/>
          <w:bCs/>
          <w:lang w:eastAsia="pt-BR"/>
        </w:rPr>
      </w:pPr>
      <w:r>
        <w:rPr>
          <w:b/>
          <w:bCs/>
          <w:lang w:eastAsia="pt-BR"/>
        </w:rPr>
        <w:t>Regime Híbrido</w:t>
      </w:r>
    </w:p>
    <w:p w14:paraId="33CCD3EA" w14:textId="3EC9DC2F" w:rsidR="00B930DF" w:rsidRPr="00B930DF" w:rsidRDefault="00B930DF" w:rsidP="00B930DF">
      <w:pPr>
        <w:pStyle w:val="PargrafodaLista"/>
        <w:numPr>
          <w:ilvl w:val="0"/>
          <w:numId w:val="41"/>
        </w:numPr>
        <w:rPr>
          <w:b/>
          <w:bCs/>
          <w:lang w:eastAsia="pt-BR"/>
        </w:rPr>
      </w:pPr>
      <w:r w:rsidRPr="00B930DF">
        <w:rPr>
          <w:b/>
          <w:bCs/>
        </w:rPr>
        <w:t>Regime de Dividendos</w:t>
      </w:r>
    </w:p>
    <w:p w14:paraId="29C13FDC" w14:textId="7AA7C368" w:rsidR="00B930DF" w:rsidRDefault="00B930DF" w:rsidP="000F29DB"/>
    <w:p w14:paraId="6DADE9E7" w14:textId="3EDFB202" w:rsidR="00B930DF" w:rsidRPr="00B930DF" w:rsidRDefault="00B930DF" w:rsidP="000F29DB">
      <w:pPr>
        <w:rPr>
          <w:b/>
          <w:bCs/>
        </w:rPr>
      </w:pPr>
      <w:r w:rsidRPr="00B930DF">
        <w:rPr>
          <w:b/>
          <w:bCs/>
        </w:rPr>
        <w:t>7.1 Regime de Crescimento</w:t>
      </w:r>
    </w:p>
    <w:p w14:paraId="7139ECEE" w14:textId="77777777" w:rsidR="0074324D" w:rsidRDefault="0074324D" w:rsidP="0074324D">
      <w:pPr>
        <w:rPr>
          <w:sz w:val="24"/>
        </w:rPr>
      </w:pPr>
      <w:r>
        <w:t>O Regime de Crescimento representa a fase de construção estrutural da holding, onde o objetivo central não é a geração de fluxo financeiro aos sócios, mas a ampliação máxima do capital próprio. Este regime prioriza a força do efeito composto e a consolidação estatística da antifragilidade patrimonial, permitindo a acumulação contínua de reservas técnicas e expansão da capacidade operacional futura.</w:t>
      </w:r>
    </w:p>
    <w:p w14:paraId="6B7408B3" w14:textId="77777777" w:rsidR="00B930DF" w:rsidRDefault="00B930DF" w:rsidP="000F29DB"/>
    <w:p w14:paraId="1B099C55" w14:textId="77777777" w:rsidR="00B930DF" w:rsidRDefault="00B930DF" w:rsidP="00B930DF">
      <w:r>
        <w:rPr>
          <w:rStyle w:val="s1"/>
          <w:b/>
          <w:bCs/>
        </w:rPr>
        <w:t>Distribuição de lucros:</w:t>
      </w:r>
      <w:r>
        <w:t xml:space="preserve"> Não há distribuição ordinária de lucros aos sócios durante os Períodos de Gestão sob este regime. Todo lucro líquido é reinvestido diretamente no capital próprio.</w:t>
      </w:r>
    </w:p>
    <w:p w14:paraId="6AA74726" w14:textId="75AB7B66" w:rsidR="0074324D" w:rsidRDefault="0074324D" w:rsidP="00B930DF">
      <w:pPr>
        <w:rPr>
          <w:sz w:val="24"/>
        </w:rPr>
      </w:pPr>
      <w:r>
        <w:t>100% do lucro líquido permanece incorporado ao capital operacional.</w:t>
      </w:r>
    </w:p>
    <w:p w14:paraId="5ABF263E" w14:textId="77777777" w:rsidR="00B930DF" w:rsidRDefault="00B930DF" w:rsidP="00B930DF">
      <w:r>
        <w:rPr>
          <w:rStyle w:val="s1"/>
          <w:b/>
          <w:bCs/>
        </w:rPr>
        <w:t>Exceções:</w:t>
      </w:r>
      <w:r>
        <w:t xml:space="preserve"> Distribuições extraordinárias poderão ser avaliadas apenas em situações excepcionais, com aprovação formal do Compliance, e limitadas a no máximo 20% do excedente líquido acumulado do período encerrado.</w:t>
      </w:r>
    </w:p>
    <w:p w14:paraId="722B0FA8" w14:textId="77777777" w:rsidR="00B930DF" w:rsidRDefault="00B930DF" w:rsidP="00B930DF">
      <w:r>
        <w:rPr>
          <w:rStyle w:val="s1"/>
          <w:b/>
          <w:bCs/>
        </w:rPr>
        <w:t>Prioridade absoluta:</w:t>
      </w:r>
      <w:r>
        <w:t xml:space="preserve"> Manutenção da convexidade antifrágil e fortalecimento contínuo do capital institucional.</w:t>
      </w:r>
    </w:p>
    <w:p w14:paraId="33D0E567" w14:textId="77777777" w:rsidR="00B930DF" w:rsidRDefault="00B930DF" w:rsidP="0074324D"/>
    <w:p w14:paraId="1993EEBA" w14:textId="77777777" w:rsidR="0074324D" w:rsidRDefault="0074324D" w:rsidP="0074324D"/>
    <w:p w14:paraId="7FC693D2" w14:textId="64FE7B4C" w:rsidR="0074324D" w:rsidRDefault="0074324D" w:rsidP="0074324D">
      <w:pPr>
        <w:rPr>
          <w:b/>
          <w:bCs/>
        </w:rPr>
      </w:pPr>
      <w:r w:rsidRPr="0074324D">
        <w:rPr>
          <w:b/>
          <w:bCs/>
        </w:rPr>
        <w:t>7.2 Regime Híbrido</w:t>
      </w:r>
    </w:p>
    <w:p w14:paraId="692FF2F3" w14:textId="231B463A" w:rsidR="0074324D" w:rsidRPr="0074324D" w:rsidRDefault="0074324D" w:rsidP="0074324D">
      <w:pPr>
        <w:rPr>
          <w:sz w:val="24"/>
        </w:rPr>
      </w:pPr>
      <w:r>
        <w:t>O Regime Híbrido marca a transição natural da holding entre o estágio inicial de acumulação e o estágio maduro de geração de renda recorrente. Reconhece-se que, à medida que a holding acumula robustez estatística e reservas de capital, é saudável permitir uma liberação parcial dos lucros aos sócios, ao mesmo tempo em que a estrutura patrimonial segue crescendo e consolidando sua resiliência de longo prazo.</w:t>
      </w:r>
    </w:p>
    <w:p w14:paraId="113AD875" w14:textId="77777777" w:rsidR="0074324D" w:rsidRDefault="0074324D" w:rsidP="0074324D">
      <w:pPr>
        <w:rPr>
          <w:rStyle w:val="s1"/>
          <w:b/>
          <w:bCs/>
        </w:rPr>
      </w:pPr>
    </w:p>
    <w:p w14:paraId="0021E74A" w14:textId="6861F682" w:rsidR="0074324D" w:rsidRDefault="0074324D" w:rsidP="0074324D">
      <w:r>
        <w:rPr>
          <w:rStyle w:val="s1"/>
          <w:b/>
          <w:bCs/>
        </w:rPr>
        <w:t>Objetivo:</w:t>
      </w:r>
      <w:r>
        <w:t xml:space="preserve"> Manter crescimento patrimonial contínuo com geração parcial de fluxo aos sócios.</w:t>
      </w:r>
    </w:p>
    <w:p w14:paraId="2FB2A912" w14:textId="77777777" w:rsidR="0074324D" w:rsidRDefault="0074324D" w:rsidP="0074324D">
      <w:r>
        <w:rPr>
          <w:b/>
          <w:bCs/>
        </w:rPr>
        <w:t>Distribuição de lucros:</w:t>
      </w:r>
    </w:p>
    <w:p w14:paraId="740CF14D" w14:textId="77777777" w:rsidR="0074324D" w:rsidRDefault="0074324D" w:rsidP="0074324D">
      <w:r>
        <w:t xml:space="preserve">Ao final do Período de Gestão, poderá ser distribuído entre </w:t>
      </w:r>
      <w:r>
        <w:rPr>
          <w:rStyle w:val="s1"/>
          <w:b/>
          <w:bCs/>
        </w:rPr>
        <w:t>30% e 50%</w:t>
      </w:r>
      <w:r>
        <w:t xml:space="preserve"> do lucro líquido consolidado do período, conforme deliberado pelo Compliance Board, com o saldo remanescente sendo reinvestido no capital patrimonial da holding.</w:t>
      </w:r>
    </w:p>
    <w:p w14:paraId="2F92166D" w14:textId="77777777" w:rsidR="0074324D" w:rsidRDefault="0074324D" w:rsidP="0074324D">
      <w:r>
        <w:rPr>
          <w:rStyle w:val="s1"/>
          <w:b/>
          <w:bCs/>
        </w:rPr>
        <w:t>Critério:</w:t>
      </w:r>
      <w:r>
        <w:t xml:space="preserve"> Este regime é preferido para fases de transição patrimonial, quando há robustez já acumulada, mas ainda com horizonte de expansão relevante.</w:t>
      </w:r>
    </w:p>
    <w:p w14:paraId="58093844" w14:textId="77777777" w:rsidR="0074324D" w:rsidRDefault="0074324D" w:rsidP="0074324D"/>
    <w:p w14:paraId="43734A0E" w14:textId="7542C944" w:rsidR="0074324D" w:rsidRDefault="0074324D" w:rsidP="0074324D">
      <w:pPr>
        <w:rPr>
          <w:b/>
          <w:bCs/>
        </w:rPr>
      </w:pPr>
      <w:r w:rsidRPr="0074324D">
        <w:rPr>
          <w:b/>
          <w:bCs/>
        </w:rPr>
        <w:t>7.3. Regime de Dividendos</w:t>
      </w:r>
    </w:p>
    <w:p w14:paraId="07DE5DE1" w14:textId="77777777" w:rsidR="0074324D" w:rsidRDefault="0074324D" w:rsidP="0074324D">
      <w:pPr>
        <w:rPr>
          <w:sz w:val="24"/>
        </w:rPr>
      </w:pPr>
      <w:r>
        <w:t>O Regime de Dividendos é aplicável quando a JP Wealth Holding já consolidou plenamente seu capital patrimonial, atingindo níveis estratégicos de maturação antifrágil. Neste estágio, o foco desloca-se do crescimento puro para a geração de fluxo financeiro estável e recorrente aos sócios, sempre preservando margens técnicas de capitalização suficientes para absorção de choques futuros.</w:t>
      </w:r>
    </w:p>
    <w:p w14:paraId="150E19AA" w14:textId="77777777" w:rsidR="0074324D" w:rsidRPr="0074324D" w:rsidRDefault="0074324D" w:rsidP="0074324D"/>
    <w:p w14:paraId="230795E4" w14:textId="13E505A9" w:rsidR="00B20365" w:rsidRPr="00B20365" w:rsidRDefault="0074324D" w:rsidP="0074324D">
      <w:r>
        <w:rPr>
          <w:rStyle w:val="s1"/>
          <w:b/>
          <w:bCs/>
        </w:rPr>
        <w:t>Objetivo:</w:t>
      </w:r>
      <w:r>
        <w:t xml:space="preserve"> Geração regular de dividendos com manutenção de reservas mínimas.</w:t>
      </w:r>
    </w:p>
    <w:p w14:paraId="7063BD42" w14:textId="5EF2C8A0" w:rsidR="0074324D" w:rsidRDefault="0074324D" w:rsidP="0074324D">
      <w:r>
        <w:rPr>
          <w:b/>
          <w:bCs/>
        </w:rPr>
        <w:t>Distribuição de lucros:</w:t>
      </w:r>
    </w:p>
    <w:p w14:paraId="38AE5AFA" w14:textId="5416D9E4" w:rsidR="00B20365" w:rsidRPr="00B20365" w:rsidRDefault="0074324D" w:rsidP="0074324D">
      <w:pPr>
        <w:rPr>
          <w:rStyle w:val="s1"/>
        </w:rPr>
      </w:pPr>
      <w:r>
        <w:t xml:space="preserve">Até </w:t>
      </w:r>
      <w:r>
        <w:rPr>
          <w:rStyle w:val="s1"/>
          <w:b/>
          <w:bCs/>
        </w:rPr>
        <w:t>70% do lucro líquido</w:t>
      </w:r>
      <w:r>
        <w:t xml:space="preserve"> poderá ser distribuído aos sócios ao final do Período de Gestão, preservando-se no mínimo 30% de reinvestimento contínuo.</w:t>
      </w:r>
    </w:p>
    <w:p w14:paraId="3B7116C1" w14:textId="750E17A7" w:rsidR="0074324D" w:rsidRDefault="0074324D" w:rsidP="0074324D">
      <w:r>
        <w:rPr>
          <w:rStyle w:val="s1"/>
          <w:b/>
          <w:bCs/>
        </w:rPr>
        <w:t>Critério:</w:t>
      </w:r>
      <w:r>
        <w:t xml:space="preserve"> Aplicável em estágios de maturação plena da holding, quando o patrimônio institucional já alcançou níveis estratégicos de longevidade e reserva estrutural.</w:t>
      </w:r>
    </w:p>
    <w:p w14:paraId="2CB1EE43" w14:textId="77777777" w:rsidR="0074324D" w:rsidRDefault="0074324D" w:rsidP="000F29DB"/>
    <w:p w14:paraId="6502D19F" w14:textId="6730C665" w:rsidR="0074324D" w:rsidRPr="0074324D" w:rsidRDefault="0074324D" w:rsidP="0074324D">
      <w:pPr>
        <w:rPr>
          <w:b/>
          <w:bCs/>
          <w:sz w:val="27"/>
        </w:rPr>
      </w:pPr>
      <w:r>
        <w:rPr>
          <w:b/>
          <w:bCs/>
        </w:rPr>
        <w:t xml:space="preserve">7.4 </w:t>
      </w:r>
      <w:r w:rsidRPr="0074324D">
        <w:rPr>
          <w:b/>
          <w:bCs/>
        </w:rPr>
        <w:t>Governança Documental</w:t>
      </w:r>
    </w:p>
    <w:p w14:paraId="3830BC9E" w14:textId="5538098D" w:rsidR="0074324D" w:rsidRDefault="0074324D" w:rsidP="0074324D">
      <w:r>
        <w:tab/>
        <w:t>Todas as deliberações sobre mudança de regime e distribuição de lucros são documentadas na Planilha de Resultados Mensais, com parecer técnico completo e validação formal do Compliance Board, mantendo a integridade auditável contínua da holding.</w:t>
      </w:r>
    </w:p>
    <w:p w14:paraId="51E5EF11" w14:textId="77777777" w:rsidR="0074324D" w:rsidRDefault="0074324D" w:rsidP="000F29DB"/>
    <w:p w14:paraId="42ED36B6" w14:textId="0E01F5E3" w:rsidR="0005180E" w:rsidRDefault="0005180E" w:rsidP="0005180E">
      <w:pPr>
        <w:pStyle w:val="p1"/>
      </w:pPr>
      <w:r>
        <w:rPr>
          <w:b/>
          <w:bCs/>
        </w:rPr>
        <w:t xml:space="preserve">8. Programas de Prop Firms </w:t>
      </w:r>
    </w:p>
    <w:p w14:paraId="1C260BF4" w14:textId="215560AE" w:rsidR="0005180E" w:rsidRDefault="0005180E" w:rsidP="0005180E">
      <w:pPr>
        <w:rPr>
          <w:sz w:val="24"/>
        </w:rPr>
      </w:pPr>
      <w:r>
        <w:tab/>
        <w:t xml:space="preserve">As contas de Prop Firms não podem ser classificadas como capital próprio da holding no momento de sua operação ativa, pois constituem capital de </w:t>
      </w:r>
      <w:proofErr w:type="gramStart"/>
      <w:r>
        <w:t>terceiros operado</w:t>
      </w:r>
      <w:proofErr w:type="gramEnd"/>
      <w:r>
        <w:t xml:space="preserve"> sob contrato específico. Entretanto, os resultados líquidos captados a partir dos lucros gerados nessas operações, quando resgatados e consolidados, passam a integrar o patrimônio próprio da JP Wealth Holding.</w:t>
      </w:r>
    </w:p>
    <w:p w14:paraId="7C196F19" w14:textId="77777777" w:rsidR="0005180E" w:rsidRDefault="0005180E" w:rsidP="000F29DB"/>
    <w:p w14:paraId="1C36854A" w14:textId="184C4CBB" w:rsidR="0005180E" w:rsidRPr="0005180E" w:rsidRDefault="0005180E" w:rsidP="0005180E">
      <w:pPr>
        <w:rPr>
          <w:b/>
          <w:bCs/>
          <w:sz w:val="27"/>
        </w:rPr>
      </w:pPr>
      <w:r w:rsidRPr="0005180E">
        <w:rPr>
          <w:b/>
          <w:bCs/>
        </w:rPr>
        <w:t>8.1 Destino dos Saques de Prop Firms</w:t>
      </w:r>
    </w:p>
    <w:p w14:paraId="12DBE254" w14:textId="7EE14D51" w:rsidR="0005180E" w:rsidRDefault="0005180E" w:rsidP="0005180E">
      <w:pPr>
        <w:rPr>
          <w:sz w:val="24"/>
        </w:rPr>
      </w:pPr>
      <w:r>
        <w:t>Todos os recursos efetivamente resgatados das Prop Firms serão direcionados da seguinte forma:</w:t>
      </w:r>
    </w:p>
    <w:p w14:paraId="66E5D66D" w14:textId="3344EE03" w:rsidR="0005180E" w:rsidRPr="0005180E" w:rsidRDefault="0005180E" w:rsidP="0005180E">
      <w:pPr>
        <w:rPr>
          <w:sz w:val="24"/>
        </w:rPr>
      </w:pPr>
      <w:r>
        <w:lastRenderedPageBreak/>
        <w:tab/>
        <w:t xml:space="preserve">O valor de 100% dos saques líquidos das Prop Firms, após dedução de eventuais encargos operacionais e fiscais incidentes, serão destinados a capitalizar a </w:t>
      </w:r>
      <w:r w:rsidRPr="0005180E">
        <w:rPr>
          <w:rStyle w:val="s1"/>
          <w:b/>
          <w:bCs/>
        </w:rPr>
        <w:t>JP Wealth Holding</w:t>
      </w:r>
      <w:r>
        <w:t>, em seu capital próprio.</w:t>
      </w:r>
    </w:p>
    <w:p w14:paraId="7D60A325" w14:textId="771FFE16" w:rsidR="0005180E" w:rsidRDefault="0005180E" w:rsidP="000F29DB">
      <w:pPr>
        <w:rPr>
          <w:sz w:val="24"/>
        </w:rPr>
      </w:pPr>
      <w:r>
        <w:tab/>
        <w:t>Estes recursos passam a ser contabilizados dentro da estrutura patrimonial da holding, entrando nos mesmos critérios de alocação patrimonial definidos na estrutura macro (65% Operação JP Wealth, 20% Investimentos Externos, 15% Fundo de Resgate).</w:t>
      </w:r>
    </w:p>
    <w:p w14:paraId="3AF35F57" w14:textId="77777777" w:rsidR="00D56E1E" w:rsidRDefault="00D56E1E" w:rsidP="00D56E1E">
      <w:pPr>
        <w:rPr>
          <w:rStyle w:val="apple-converted-space"/>
        </w:rPr>
      </w:pPr>
      <w:r>
        <w:rPr>
          <w:rStyle w:val="apple-converted-space"/>
        </w:rPr>
        <w:t> </w:t>
      </w:r>
    </w:p>
    <w:p w14:paraId="01825D8B" w14:textId="40517888" w:rsidR="00D56E1E" w:rsidRDefault="00D56E1E" w:rsidP="00D56E1E">
      <w:pPr>
        <w:rPr>
          <w:b/>
          <w:bCs/>
        </w:rPr>
      </w:pPr>
      <w:r>
        <w:rPr>
          <w:b/>
          <w:bCs/>
        </w:rPr>
        <w:t xml:space="preserve">8.2 </w:t>
      </w:r>
      <w:r w:rsidRPr="00D56E1E">
        <w:rPr>
          <w:b/>
          <w:bCs/>
        </w:rPr>
        <w:t>Os</w:t>
      </w:r>
      <w:r>
        <w:rPr>
          <w:b/>
          <w:bCs/>
        </w:rPr>
        <w:t xml:space="preserve"> </w:t>
      </w:r>
      <w:r w:rsidRPr="00D56E1E">
        <w:rPr>
          <w:b/>
          <w:bCs/>
        </w:rPr>
        <w:t xml:space="preserve">fluxos de Prop Firms são capital de natureza </w:t>
      </w:r>
      <w:r>
        <w:rPr>
          <w:b/>
          <w:bCs/>
        </w:rPr>
        <w:t>“</w:t>
      </w:r>
      <w:r w:rsidRPr="00D56E1E">
        <w:rPr>
          <w:b/>
          <w:bCs/>
        </w:rPr>
        <w:t>Não Programada”</w:t>
      </w:r>
      <w:r>
        <w:rPr>
          <w:b/>
          <w:bCs/>
        </w:rPr>
        <w:t>:</w:t>
      </w:r>
    </w:p>
    <w:p w14:paraId="006B5F67" w14:textId="77777777" w:rsidR="00D56E1E" w:rsidRDefault="00D56E1E" w:rsidP="00D56E1E">
      <w:pPr>
        <w:rPr>
          <w:sz w:val="24"/>
        </w:rPr>
      </w:pPr>
      <w:r>
        <w:t>Tecnicamente, o capital proveniente de Prop Firms não é parte do fluxo estatístico operacional da holding.</w:t>
      </w:r>
    </w:p>
    <w:p w14:paraId="3237AC57" w14:textId="77777777" w:rsidR="00D56E1E" w:rsidRDefault="00D56E1E" w:rsidP="00D56E1E">
      <w:r>
        <w:t>Ele representa uma fonte externa de captação e, portanto, tem características diferentes de crescimento orgânico patrimonial.</w:t>
      </w:r>
    </w:p>
    <w:p w14:paraId="43E76EF6" w14:textId="74D370AE" w:rsidR="00D56E1E" w:rsidRDefault="00D56E1E" w:rsidP="00D56E1E">
      <w:pPr>
        <w:rPr>
          <w:b/>
          <w:bCs/>
        </w:rPr>
      </w:pPr>
      <w:r w:rsidRPr="00D56E1E">
        <w:rPr>
          <w:b/>
          <w:bCs/>
        </w:rPr>
        <w:t>8.3 Política de Gestão de Risco Operacional sobre Prop Firms</w:t>
      </w:r>
      <w:r>
        <w:rPr>
          <w:b/>
          <w:bCs/>
        </w:rPr>
        <w:t>:</w:t>
      </w:r>
    </w:p>
    <w:p w14:paraId="6EAB9905" w14:textId="53B6C272" w:rsidR="00D56E1E" w:rsidRDefault="00D56E1E" w:rsidP="00D56E1E">
      <w:pPr>
        <w:rPr>
          <w:sz w:val="24"/>
        </w:rPr>
      </w:pPr>
      <w:r>
        <w:t xml:space="preserve">Embora as Prop Firms sejam uma camada operacional paralela, elas têm risco operacional próprio (limites de perda, regras de alavancagem, potencial de bloqueio de </w:t>
      </w:r>
      <w:proofErr w:type="gramStart"/>
      <w:r>
        <w:t>conta, etc.</w:t>
      </w:r>
      <w:proofErr w:type="gramEnd"/>
      <w:r>
        <w:t>). Esses pontos já estão no documento Jp Wealth Prop Firms.</w:t>
      </w:r>
    </w:p>
    <w:p w14:paraId="07ECC4C9" w14:textId="77777777" w:rsidR="00F201C4" w:rsidRDefault="00F201C4" w:rsidP="00F201C4">
      <w:pPr>
        <w:rPr>
          <w:b/>
          <w:bCs/>
        </w:rPr>
      </w:pPr>
    </w:p>
    <w:p w14:paraId="19FEF490" w14:textId="585E7F36" w:rsidR="00F201C4" w:rsidRDefault="00F201C4" w:rsidP="00F201C4">
      <w:pPr>
        <w:rPr>
          <w:b/>
          <w:bCs/>
        </w:rPr>
      </w:pPr>
      <w:r w:rsidRPr="00F201C4">
        <w:rPr>
          <w:b/>
          <w:bCs/>
        </w:rPr>
        <w:t>8.</w:t>
      </w:r>
      <w:r w:rsidR="00D56E1E">
        <w:rPr>
          <w:b/>
          <w:bCs/>
        </w:rPr>
        <w:t>4</w:t>
      </w:r>
      <w:r w:rsidRPr="00F201C4">
        <w:rPr>
          <w:b/>
          <w:bCs/>
        </w:rPr>
        <w:t xml:space="preserve"> Prop Firms </w:t>
      </w:r>
      <w:r>
        <w:rPr>
          <w:b/>
          <w:bCs/>
        </w:rPr>
        <w:t>que trabalhamos</w:t>
      </w:r>
    </w:p>
    <w:p w14:paraId="74DEA498" w14:textId="321AD0A4" w:rsidR="00F201C4" w:rsidRDefault="00F201C4" w:rsidP="00F201C4">
      <w:pPr>
        <w:rPr>
          <w:b/>
          <w:bCs/>
        </w:rPr>
      </w:pPr>
      <w:r>
        <w:rPr>
          <w:b/>
          <w:bCs/>
        </w:rPr>
        <w:t>* FTMO</w:t>
      </w:r>
    </w:p>
    <w:p w14:paraId="580DC8B7" w14:textId="36FE490D" w:rsidR="00F201C4" w:rsidRDefault="00F201C4" w:rsidP="00F201C4">
      <w:pPr>
        <w:rPr>
          <w:b/>
          <w:bCs/>
        </w:rPr>
      </w:pPr>
      <w:r>
        <w:rPr>
          <w:b/>
          <w:bCs/>
        </w:rPr>
        <w:t xml:space="preserve">* The Fivers Percenters </w:t>
      </w:r>
    </w:p>
    <w:p w14:paraId="0256D2FD" w14:textId="7F7827D0" w:rsidR="00F201C4" w:rsidRDefault="00F201C4" w:rsidP="00F201C4">
      <w:pPr>
        <w:rPr>
          <w:b/>
          <w:bCs/>
        </w:rPr>
      </w:pPr>
      <w:r>
        <w:rPr>
          <w:b/>
          <w:bCs/>
        </w:rPr>
        <w:t>* The Trading Pit</w:t>
      </w:r>
    </w:p>
    <w:p w14:paraId="6DB637FB" w14:textId="70DD3577" w:rsidR="00F201C4" w:rsidRPr="00F201C4" w:rsidRDefault="00F201C4" w:rsidP="00F201C4">
      <w:pPr>
        <w:rPr>
          <w:b/>
          <w:bCs/>
          <w:sz w:val="27"/>
        </w:rPr>
      </w:pPr>
      <w:r>
        <w:rPr>
          <w:b/>
          <w:bCs/>
        </w:rPr>
        <w:t>* Hantec</w:t>
      </w:r>
    </w:p>
    <w:p w14:paraId="6D014A0F" w14:textId="77777777" w:rsidR="00F201C4" w:rsidRDefault="00F201C4" w:rsidP="00D56E1E"/>
    <w:p w14:paraId="52BC17F6" w14:textId="77777777" w:rsidR="00D56E1E" w:rsidRDefault="00D56E1E" w:rsidP="00D56E1E">
      <w:pPr>
        <w:pStyle w:val="Ttulo3"/>
        <w:rPr>
          <w:sz w:val="27"/>
        </w:rPr>
      </w:pPr>
      <w:r>
        <w:t>9. Caixa Institucional da JP Wealth Holding</w:t>
      </w:r>
    </w:p>
    <w:p w14:paraId="626B84BB" w14:textId="77777777" w:rsidR="00A676FB" w:rsidRPr="00A676FB" w:rsidRDefault="00A676FB" w:rsidP="00A676FB">
      <w:pPr>
        <w:rPr>
          <w:lang w:eastAsia="pt-BR"/>
        </w:rPr>
      </w:pPr>
      <w:r w:rsidRPr="00A676FB">
        <w:rPr>
          <w:lang w:eastAsia="pt-BR"/>
        </w:rPr>
        <w:t>O Caixa Central da JP Wealth Holding constitui o núcleo único e obrigatório de movimentação patrimonial e financeira da holding, assegurando total rastreabilidade documental, governança financeira contínua e blindagem operacional.</w:t>
      </w:r>
    </w:p>
    <w:p w14:paraId="6C33C406" w14:textId="77777777" w:rsidR="00D56E1E" w:rsidRDefault="00D56E1E" w:rsidP="00A676FB"/>
    <w:p w14:paraId="524F17EF" w14:textId="4B1E807B" w:rsidR="00D56E1E" w:rsidRDefault="00D56E1E" w:rsidP="00D56E1E">
      <w:pPr>
        <w:rPr>
          <w:sz w:val="24"/>
        </w:rPr>
      </w:pPr>
      <w:r>
        <w:t>Sua função é assegurar total rastreabilidade documental, governança financeira transparente e blindagem operacional sobre:</w:t>
      </w:r>
    </w:p>
    <w:p w14:paraId="3F55FE52" w14:textId="77777777" w:rsidR="00D56E1E" w:rsidRDefault="00D56E1E" w:rsidP="00D56E1E">
      <w:pPr>
        <w:pStyle w:val="PargrafodaLista"/>
        <w:numPr>
          <w:ilvl w:val="0"/>
          <w:numId w:val="50"/>
        </w:numPr>
      </w:pPr>
      <w:r>
        <w:t>Recebimento de saques oriundos de Prop Firms homologadas;</w:t>
      </w:r>
    </w:p>
    <w:p w14:paraId="610A691A" w14:textId="77777777" w:rsidR="00D56E1E" w:rsidRDefault="00D56E1E" w:rsidP="00D56E1E">
      <w:pPr>
        <w:pStyle w:val="PargrafodaLista"/>
        <w:numPr>
          <w:ilvl w:val="0"/>
          <w:numId w:val="50"/>
        </w:numPr>
      </w:pPr>
      <w:r>
        <w:t>Depósitos e aportes de capital próprio;</w:t>
      </w:r>
    </w:p>
    <w:p w14:paraId="676EF810" w14:textId="77777777" w:rsidR="00D56E1E" w:rsidRDefault="00D56E1E" w:rsidP="00D56E1E">
      <w:pPr>
        <w:pStyle w:val="PargrafodaLista"/>
        <w:numPr>
          <w:ilvl w:val="0"/>
          <w:numId w:val="50"/>
        </w:numPr>
      </w:pPr>
      <w:r>
        <w:t>Transferências internas entre corretoras operacionais;</w:t>
      </w:r>
    </w:p>
    <w:p w14:paraId="272F740D" w14:textId="77777777" w:rsidR="00D56E1E" w:rsidRDefault="00D56E1E" w:rsidP="00D56E1E">
      <w:pPr>
        <w:pStyle w:val="PargrafodaLista"/>
        <w:numPr>
          <w:ilvl w:val="0"/>
          <w:numId w:val="50"/>
        </w:numPr>
      </w:pPr>
      <w:r>
        <w:t>Envio de capital para as contas de operação ativa;</w:t>
      </w:r>
    </w:p>
    <w:p w14:paraId="6283E253" w14:textId="77777777" w:rsidR="00D56E1E" w:rsidRDefault="00D56E1E" w:rsidP="00D56E1E">
      <w:pPr>
        <w:pStyle w:val="PargrafodaLista"/>
        <w:numPr>
          <w:ilvl w:val="0"/>
          <w:numId w:val="50"/>
        </w:numPr>
      </w:pPr>
      <w:r>
        <w:t>Reintegração de retornos patrimoniais de investimentos externos;</w:t>
      </w:r>
    </w:p>
    <w:p w14:paraId="788E6E8E" w14:textId="77777777" w:rsidR="00D56E1E" w:rsidRDefault="00D56E1E" w:rsidP="00D56E1E">
      <w:pPr>
        <w:pStyle w:val="PargrafodaLista"/>
        <w:numPr>
          <w:ilvl w:val="0"/>
          <w:numId w:val="50"/>
        </w:numPr>
      </w:pPr>
      <w:r>
        <w:t>Execução de distribuições patrimoniais aos sócios autorizadas pelo Compliance Board;</w:t>
      </w:r>
    </w:p>
    <w:p w14:paraId="0B3426B7" w14:textId="77777777" w:rsidR="00D56E1E" w:rsidRDefault="00D56E1E" w:rsidP="00D56E1E">
      <w:pPr>
        <w:pStyle w:val="PargrafodaLista"/>
        <w:numPr>
          <w:ilvl w:val="0"/>
          <w:numId w:val="50"/>
        </w:numPr>
      </w:pPr>
      <w:r>
        <w:t>Gestão e eventual mobilização do Fundo de Resgate.</w:t>
      </w:r>
    </w:p>
    <w:p w14:paraId="16128066" w14:textId="36F991B0" w:rsidR="00D56E1E" w:rsidRDefault="00D56E1E" w:rsidP="00D56E1E">
      <w:pPr>
        <w:pStyle w:val="PargrafodaLista"/>
        <w:numPr>
          <w:ilvl w:val="0"/>
          <w:numId w:val="50"/>
        </w:numPr>
      </w:pPr>
      <w:r>
        <w:t>Permanência do fundo de resgate</w:t>
      </w:r>
    </w:p>
    <w:p w14:paraId="0FB18A72" w14:textId="77777777" w:rsidR="00D56E1E" w:rsidRDefault="00D56E1E" w:rsidP="00D56E1E"/>
    <w:p w14:paraId="6236C51A" w14:textId="24C511F7" w:rsidR="00D56E1E" w:rsidRPr="00A676FB" w:rsidRDefault="00D56E1E" w:rsidP="00D56E1E">
      <w:pPr>
        <w:rPr>
          <w:sz w:val="24"/>
        </w:rPr>
      </w:pPr>
      <w:r>
        <w:t>Nenhuma movimentação patrimonial poderá ser realizada fora do Caixa Central, garantindo absoluta visibilidade e controle institucional sobre o fluxo financeiro consolidado da holding.</w:t>
      </w:r>
    </w:p>
    <w:p w14:paraId="3C5C1460" w14:textId="4B24BAE9" w:rsidR="00A676FB" w:rsidRPr="00A676FB" w:rsidRDefault="00D56E1E" w:rsidP="00A676FB">
      <w:pPr>
        <w:pStyle w:val="NormalWeb"/>
        <w:rPr>
          <w:color w:val="000000"/>
          <w:sz w:val="24"/>
        </w:rPr>
      </w:pPr>
      <w:r w:rsidRPr="00D56E1E">
        <w:rPr>
          <w:b/>
          <w:bCs/>
        </w:rPr>
        <w:t xml:space="preserve">9.2 </w:t>
      </w:r>
      <w:r w:rsidR="00A676FB" w:rsidRPr="00A676FB">
        <w:rPr>
          <w:rFonts w:eastAsiaTheme="majorEastAsia"/>
          <w:b/>
          <w:bCs/>
        </w:rPr>
        <w:t>Segmentação Técnica do Caixa Central</w:t>
      </w:r>
    </w:p>
    <w:p w14:paraId="50F61934" w14:textId="77777777" w:rsidR="00A676FB" w:rsidRPr="00A676FB" w:rsidRDefault="00A676FB" w:rsidP="00A676FB">
      <w:pPr>
        <w:rPr>
          <w:lang w:eastAsia="pt-BR"/>
        </w:rPr>
      </w:pPr>
      <w:r w:rsidRPr="00A676FB">
        <w:rPr>
          <w:lang w:eastAsia="pt-BR"/>
        </w:rPr>
        <w:t>Para fins de eficiência operacional e blindagem patrimonial, o Caixa Central da holding é segmentado institucionalmente em duas camadas complementares, ambas integralmente registradas e auditadas pela governança documental:</w:t>
      </w:r>
    </w:p>
    <w:p w14:paraId="591EC005" w14:textId="33867148" w:rsidR="00D56E1E" w:rsidRPr="00D56E1E" w:rsidRDefault="00D56E1E" w:rsidP="00A676FB"/>
    <w:p w14:paraId="6F60F6C5" w14:textId="77777777" w:rsidR="00A676FB" w:rsidRDefault="00A676FB" w:rsidP="00A676FB">
      <w:pPr>
        <w:pStyle w:val="PargrafodaLista"/>
        <w:numPr>
          <w:ilvl w:val="0"/>
          <w:numId w:val="51"/>
        </w:numPr>
        <w:rPr>
          <w:b/>
          <w:bCs/>
          <w:lang w:eastAsia="pt-BR"/>
        </w:rPr>
      </w:pPr>
      <w:r w:rsidRPr="00A676FB">
        <w:rPr>
          <w:b/>
          <w:bCs/>
          <w:lang w:eastAsia="pt-BR"/>
        </w:rPr>
        <w:t>Caixa Patrimonial Principal (Interactive Brokers — IBKR)</w:t>
      </w:r>
    </w:p>
    <w:p w14:paraId="734D4AB2" w14:textId="75E7D4B5" w:rsidR="00A676FB" w:rsidRPr="00A676FB" w:rsidRDefault="00A676FB" w:rsidP="00A676FB">
      <w:pPr>
        <w:pStyle w:val="PargrafodaLista"/>
        <w:ind w:left="0"/>
        <w:rPr>
          <w:b/>
          <w:bCs/>
          <w:lang w:eastAsia="pt-BR"/>
        </w:rPr>
      </w:pPr>
      <w:r w:rsidRPr="00A676FB">
        <w:rPr>
          <w:lang w:eastAsia="pt-BR"/>
        </w:rPr>
        <w:t>50% do saldo total do Caixa Central é mantido sob custódia bancária institucional na Interactive Brokers (IBKR);</w:t>
      </w:r>
    </w:p>
    <w:p w14:paraId="66DE152E" w14:textId="77777777" w:rsidR="00A676FB" w:rsidRPr="00A676FB" w:rsidRDefault="00A676FB" w:rsidP="00A676FB">
      <w:pPr>
        <w:pStyle w:val="PargrafodaLista"/>
        <w:numPr>
          <w:ilvl w:val="0"/>
          <w:numId w:val="53"/>
        </w:numPr>
        <w:rPr>
          <w:lang w:eastAsia="pt-BR"/>
        </w:rPr>
      </w:pPr>
      <w:r w:rsidRPr="00A676FB">
        <w:rPr>
          <w:lang w:eastAsia="pt-BR"/>
        </w:rPr>
        <w:t>Inicialmente estabelecido sob titularidade pessoal do fundador (Pessoa Física), até a formalização completa da estrutura jurídica da holding;</w:t>
      </w:r>
    </w:p>
    <w:p w14:paraId="1776A9E5" w14:textId="77777777" w:rsidR="00A676FB" w:rsidRPr="00A676FB" w:rsidRDefault="00A676FB" w:rsidP="00A676FB">
      <w:pPr>
        <w:pStyle w:val="PargrafodaLista"/>
        <w:numPr>
          <w:ilvl w:val="0"/>
          <w:numId w:val="53"/>
        </w:numPr>
        <w:rPr>
          <w:lang w:eastAsia="pt-BR"/>
        </w:rPr>
      </w:pPr>
      <w:r w:rsidRPr="00A676FB">
        <w:rPr>
          <w:lang w:eastAsia="pt-BR"/>
        </w:rPr>
        <w:t>Permite custódia segregada em moeda fiduciária (USD), com movimentação internacional via wire transfer SWIFT exclusivamente entre contas de mesma titularidade;</w:t>
      </w:r>
    </w:p>
    <w:p w14:paraId="3B747300" w14:textId="3986F6DB" w:rsidR="00A676FB" w:rsidRDefault="00A676FB" w:rsidP="00A676FB">
      <w:pPr>
        <w:rPr>
          <w:lang w:eastAsia="pt-BR"/>
        </w:rPr>
      </w:pPr>
      <w:r w:rsidRPr="00A676FB">
        <w:rPr>
          <w:lang w:eastAsia="pt-BR"/>
        </w:rPr>
        <w:t>Constitui o pilar central d</w:t>
      </w:r>
      <w:r>
        <w:rPr>
          <w:lang w:eastAsia="pt-BR"/>
        </w:rPr>
        <w:t>o caixa</w:t>
      </w:r>
      <w:r w:rsidRPr="00A676FB">
        <w:rPr>
          <w:lang w:eastAsia="pt-BR"/>
        </w:rPr>
        <w:t xml:space="preserve"> patrimonial de longo prazo da JP Wealth Holding.</w:t>
      </w:r>
    </w:p>
    <w:p w14:paraId="0F2D15AE" w14:textId="77777777" w:rsidR="00A676FB" w:rsidRPr="00A676FB" w:rsidRDefault="00A676FB" w:rsidP="00A676FB">
      <w:pPr>
        <w:rPr>
          <w:lang w:eastAsia="pt-BR"/>
        </w:rPr>
      </w:pPr>
    </w:p>
    <w:p w14:paraId="4C1EC7DA" w14:textId="5C9C721F" w:rsidR="00A676FB" w:rsidRPr="00A676FB" w:rsidRDefault="00A676FB" w:rsidP="00A676FB">
      <w:pPr>
        <w:pStyle w:val="PargrafodaLista"/>
        <w:numPr>
          <w:ilvl w:val="0"/>
          <w:numId w:val="51"/>
        </w:numPr>
        <w:rPr>
          <w:b/>
          <w:bCs/>
          <w:lang w:eastAsia="pt-BR"/>
        </w:rPr>
      </w:pPr>
      <w:r w:rsidRPr="00A676FB">
        <w:rPr>
          <w:b/>
          <w:bCs/>
          <w:lang w:eastAsia="pt-BR"/>
        </w:rPr>
        <w:t>Caixa Operacional Ágil (USDT Custodial)</w:t>
      </w:r>
    </w:p>
    <w:p w14:paraId="0632E98B" w14:textId="77777777" w:rsidR="00A676FB" w:rsidRPr="00A676FB" w:rsidRDefault="00A676FB" w:rsidP="00A676FB">
      <w:pPr>
        <w:rPr>
          <w:lang w:eastAsia="pt-BR"/>
        </w:rPr>
      </w:pPr>
      <w:r w:rsidRPr="00A676FB">
        <w:rPr>
          <w:lang w:eastAsia="pt-BR"/>
        </w:rPr>
        <w:t>50% do saldo total do Caixa Central é mantido em USDT (Tether), vinculado nominalmente a USD 1:1, como camada de liquidez operacional imediata;</w:t>
      </w:r>
    </w:p>
    <w:p w14:paraId="4F624469" w14:textId="77777777" w:rsidR="00A676FB" w:rsidRPr="00A676FB" w:rsidRDefault="00A676FB" w:rsidP="00A676FB">
      <w:pPr>
        <w:pStyle w:val="PargrafodaLista"/>
        <w:numPr>
          <w:ilvl w:val="0"/>
          <w:numId w:val="54"/>
        </w:numPr>
        <w:rPr>
          <w:lang w:eastAsia="pt-BR"/>
        </w:rPr>
      </w:pPr>
      <w:r w:rsidRPr="00A676FB">
        <w:rPr>
          <w:lang w:eastAsia="pt-BR"/>
        </w:rPr>
        <w:t>Destinado a otimizar o fluxo de capital técnico entre prop firms, corretoras e plataformas operacionais globais;</w:t>
      </w:r>
    </w:p>
    <w:p w14:paraId="4E493FA7" w14:textId="3B3AA501" w:rsidR="00D56E1E" w:rsidRDefault="00A676FB" w:rsidP="00766FD8">
      <w:pPr>
        <w:pStyle w:val="PargrafodaLista"/>
        <w:numPr>
          <w:ilvl w:val="0"/>
          <w:numId w:val="54"/>
        </w:numPr>
      </w:pPr>
      <w:r w:rsidRPr="00A676FB">
        <w:rPr>
          <w:lang w:eastAsia="pt-BR"/>
        </w:rPr>
        <w:t xml:space="preserve">A custódia será realizada exclusivamente por carteiras privadas controladas internamente pela holding, sob controle documental </w:t>
      </w:r>
      <w:r>
        <w:rPr>
          <w:lang w:eastAsia="pt-BR"/>
        </w:rPr>
        <w:t>feito em planilha de caixa.</w:t>
      </w:r>
    </w:p>
    <w:p w14:paraId="0C07DF20" w14:textId="3D694AAB" w:rsidR="00A676FB" w:rsidRDefault="00A51E7E" w:rsidP="00A676FB">
      <w:pPr>
        <w:rPr>
          <w:b/>
          <w:bCs/>
          <w:lang w:eastAsia="pt-BR"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6DC84A6D" wp14:editId="2850251A">
            <wp:simplePos x="0" y="0"/>
            <wp:positionH relativeFrom="column">
              <wp:posOffset>-3175</wp:posOffset>
            </wp:positionH>
            <wp:positionV relativeFrom="paragraph">
              <wp:posOffset>108585</wp:posOffset>
            </wp:positionV>
            <wp:extent cx="3059430" cy="1694815"/>
            <wp:effectExtent l="0" t="0" r="0" b="0"/>
            <wp:wrapTight wrapText="bothSides">
              <wp:wrapPolygon edited="0">
                <wp:start x="6725" y="1133"/>
                <wp:lineTo x="6545" y="1942"/>
                <wp:lineTo x="6725" y="2590"/>
                <wp:lineTo x="10760" y="4046"/>
                <wp:lineTo x="5469" y="5341"/>
                <wp:lineTo x="3228" y="5989"/>
                <wp:lineTo x="3228" y="6636"/>
                <wp:lineTo x="2690" y="7284"/>
                <wp:lineTo x="359" y="11816"/>
                <wp:lineTo x="359" y="12463"/>
                <wp:lineTo x="2062" y="14405"/>
                <wp:lineTo x="2600" y="14405"/>
                <wp:lineTo x="2600" y="15053"/>
                <wp:lineTo x="5559" y="16833"/>
                <wp:lineTo x="6545" y="17157"/>
                <wp:lineTo x="8249" y="17157"/>
                <wp:lineTo x="9235" y="16833"/>
                <wp:lineTo x="12105" y="15053"/>
                <wp:lineTo x="12105" y="14405"/>
                <wp:lineTo x="17753" y="14082"/>
                <wp:lineTo x="17753" y="12787"/>
                <wp:lineTo x="12822" y="11816"/>
                <wp:lineTo x="20623" y="11330"/>
                <wp:lineTo x="20892" y="10359"/>
                <wp:lineTo x="19816" y="8740"/>
                <wp:lineTo x="18202" y="8255"/>
                <wp:lineTo x="11477" y="6636"/>
                <wp:lineTo x="10760" y="4046"/>
                <wp:lineTo x="14884" y="2752"/>
                <wp:lineTo x="15064" y="1780"/>
                <wp:lineTo x="14167" y="1133"/>
                <wp:lineTo x="6725" y="1133"/>
              </wp:wrapPolygon>
            </wp:wrapTight>
            <wp:docPr id="520438501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DFED2" w14:textId="7B711CC2" w:rsidR="00A676FB" w:rsidRDefault="00A676FB" w:rsidP="00A676FB">
      <w:pPr>
        <w:rPr>
          <w:b/>
          <w:bCs/>
          <w:lang w:eastAsia="pt-BR"/>
        </w:rPr>
      </w:pPr>
    </w:p>
    <w:p w14:paraId="08FA8458" w14:textId="77777777" w:rsidR="00A676FB" w:rsidRDefault="00A676FB" w:rsidP="00A676FB">
      <w:pPr>
        <w:rPr>
          <w:b/>
          <w:bCs/>
          <w:lang w:eastAsia="pt-BR"/>
        </w:rPr>
      </w:pPr>
    </w:p>
    <w:p w14:paraId="496DEA4A" w14:textId="77777777" w:rsidR="00A676FB" w:rsidRDefault="00A676FB" w:rsidP="00A676FB">
      <w:pPr>
        <w:rPr>
          <w:b/>
          <w:bCs/>
          <w:lang w:eastAsia="pt-BR"/>
        </w:rPr>
      </w:pPr>
    </w:p>
    <w:p w14:paraId="64D12622" w14:textId="77777777" w:rsidR="00A676FB" w:rsidRDefault="00A676FB" w:rsidP="00A676FB">
      <w:pPr>
        <w:rPr>
          <w:b/>
          <w:bCs/>
          <w:lang w:eastAsia="pt-BR"/>
        </w:rPr>
      </w:pPr>
    </w:p>
    <w:p w14:paraId="0A0E3855" w14:textId="77777777" w:rsidR="00A676FB" w:rsidRDefault="00A676FB" w:rsidP="00A676FB">
      <w:pPr>
        <w:rPr>
          <w:b/>
          <w:bCs/>
          <w:lang w:eastAsia="pt-BR"/>
        </w:rPr>
      </w:pPr>
    </w:p>
    <w:p w14:paraId="4DE1B769" w14:textId="77777777" w:rsidR="00A676FB" w:rsidRDefault="00A676FB" w:rsidP="00A676FB">
      <w:pPr>
        <w:rPr>
          <w:b/>
          <w:bCs/>
          <w:lang w:eastAsia="pt-BR"/>
        </w:rPr>
      </w:pPr>
    </w:p>
    <w:p w14:paraId="25483729" w14:textId="77777777" w:rsidR="00A51E7E" w:rsidRDefault="00A51E7E" w:rsidP="00A676FB">
      <w:pPr>
        <w:rPr>
          <w:b/>
          <w:bCs/>
          <w:lang w:eastAsia="pt-BR"/>
        </w:rPr>
      </w:pPr>
    </w:p>
    <w:p w14:paraId="556EE024" w14:textId="250782ED" w:rsidR="00A676FB" w:rsidRPr="00A676FB" w:rsidRDefault="00A676FB" w:rsidP="00A676FB">
      <w:pPr>
        <w:rPr>
          <w:b/>
          <w:bCs/>
          <w:lang w:eastAsia="pt-BR"/>
        </w:rPr>
      </w:pPr>
      <w:r>
        <w:rPr>
          <w:b/>
          <w:bCs/>
          <w:lang w:eastAsia="pt-BR"/>
        </w:rPr>
        <w:t xml:space="preserve">9.3 </w:t>
      </w:r>
      <w:r w:rsidRPr="00A676FB">
        <w:rPr>
          <w:b/>
          <w:bCs/>
          <w:lang w:eastAsia="pt-BR"/>
        </w:rPr>
        <w:t>Governança Documental — Planilha de Caixa Institucional</w:t>
      </w:r>
    </w:p>
    <w:p w14:paraId="2AEBF526" w14:textId="77777777" w:rsidR="00A676FB" w:rsidRPr="00A676FB" w:rsidRDefault="00A676FB" w:rsidP="00A676FB">
      <w:pPr>
        <w:pStyle w:val="PargrafodaLista"/>
        <w:numPr>
          <w:ilvl w:val="0"/>
          <w:numId w:val="56"/>
        </w:numPr>
        <w:rPr>
          <w:lang w:eastAsia="pt-BR"/>
        </w:rPr>
      </w:pPr>
      <w:r w:rsidRPr="00A676FB">
        <w:rPr>
          <w:lang w:eastAsia="pt-BR"/>
        </w:rPr>
        <w:t>Toda e qualquer movimentação de recursos no Caixa Central será registrada na Planilha de Caixa Institucional, com data, valor, natureza da operação, contrapartes e plataformas envolvidas;</w:t>
      </w:r>
    </w:p>
    <w:p w14:paraId="39286B9A" w14:textId="77777777" w:rsidR="00A676FB" w:rsidRPr="00A676FB" w:rsidRDefault="00A676FB" w:rsidP="00A676FB">
      <w:pPr>
        <w:pStyle w:val="PargrafodaLista"/>
        <w:numPr>
          <w:ilvl w:val="0"/>
          <w:numId w:val="56"/>
        </w:numPr>
        <w:rPr>
          <w:lang w:eastAsia="pt-BR"/>
        </w:rPr>
      </w:pPr>
      <w:r w:rsidRPr="00A676FB">
        <w:rPr>
          <w:lang w:eastAsia="pt-BR"/>
        </w:rPr>
        <w:t>O Compliance Board validará formalmente cada registro, assegurando governança documental completa;</w:t>
      </w:r>
    </w:p>
    <w:p w14:paraId="04CEDD47" w14:textId="18BB846C" w:rsidR="00FA3C80" w:rsidRPr="00A676FB" w:rsidRDefault="00A676FB" w:rsidP="00A676FB">
      <w:pPr>
        <w:pStyle w:val="PargrafodaLista"/>
        <w:numPr>
          <w:ilvl w:val="0"/>
          <w:numId w:val="56"/>
        </w:numPr>
        <w:rPr>
          <w:lang w:eastAsia="pt-BR"/>
        </w:rPr>
      </w:pPr>
      <w:r w:rsidRPr="00A676FB">
        <w:rPr>
          <w:lang w:eastAsia="pt-BR"/>
        </w:rPr>
        <w:t>A Planilha de Caixa constitui o livro-razão patrimonial financeiro oficial da holding, servindo como base primária de governança, defesa jurídica, auditoria e prestação de contas.</w:t>
      </w:r>
    </w:p>
    <w:p w14:paraId="1F935570" w14:textId="75F93061" w:rsidR="00A676FB" w:rsidRDefault="00A676FB" w:rsidP="00A676FB">
      <w:pPr>
        <w:pStyle w:val="Ttulo3"/>
        <w:rPr>
          <w:sz w:val="27"/>
        </w:rPr>
      </w:pPr>
      <w:r>
        <w:t>10. Política de Custódia de Chaves Privadas da JP Wealth Holding</w:t>
      </w:r>
    </w:p>
    <w:p w14:paraId="4636D7B7" w14:textId="48F00C68" w:rsidR="00A676FB" w:rsidRDefault="00A676FB" w:rsidP="00A676FB">
      <w:r>
        <w:tab/>
        <w:t xml:space="preserve">Dentro da arquitetura do Caixa Central da JP Wealth Holding, a camada operacional de liquidez ágil em USDT exige a criação de mecanismos formais de segurança institucional sobre o acesso, armazenamento e controle das </w:t>
      </w:r>
      <w:r>
        <w:rPr>
          <w:rStyle w:val="s1"/>
          <w:b/>
          <w:bCs/>
        </w:rPr>
        <w:lastRenderedPageBreak/>
        <w:t>chaves privadas</w:t>
      </w:r>
      <w:r>
        <w:t xml:space="preserve"> associadas às carteiras digitais sob custódia direta da holding.</w:t>
      </w:r>
      <w:r>
        <w:rPr>
          <w:sz w:val="24"/>
        </w:rPr>
        <w:t xml:space="preserve"> </w:t>
      </w:r>
      <w:r>
        <w:t>A posse e integridade das chaves privadas representam, na prática, a titularidade real sobre os ativos mantidos em stablecoins. Sua governança documental passa a integrar diretamente a blindagem jurídica patrimonial da holding.</w:t>
      </w:r>
    </w:p>
    <w:p w14:paraId="6B952A35" w14:textId="77777777" w:rsidR="00FA3C80" w:rsidRDefault="00FA3C80" w:rsidP="00A676FB"/>
    <w:p w14:paraId="7921BDF5" w14:textId="4AD1ED38" w:rsidR="00FA3C80" w:rsidRPr="00FA3C80" w:rsidRDefault="00FA3C80" w:rsidP="00FA3C80">
      <w:pPr>
        <w:pStyle w:val="Ttulo3"/>
      </w:pPr>
      <w:r w:rsidRPr="00FA3C80">
        <w:t>Conclusão</w:t>
      </w:r>
    </w:p>
    <w:p w14:paraId="2A620C2B" w14:textId="238BA143" w:rsidR="008D12DA" w:rsidRDefault="008D12DA" w:rsidP="008D12DA">
      <w:r>
        <w:t>A estrutura do documento foi concebida com base em fundamentos sólidos de antifragilidade, disciplina estatística, governança documental rigorosa e resiliência operacional, criando uma plataforma patrimonial preparada para atravessar múltiplos ciclos econômicos com estabilidade e crescimento progressivo.</w:t>
      </w:r>
    </w:p>
    <w:p w14:paraId="0E798BAA" w14:textId="77777777" w:rsidR="008D12DA" w:rsidRDefault="008D12DA" w:rsidP="008D12DA"/>
    <w:p w14:paraId="67EFBB84" w14:textId="77777777" w:rsidR="008D12DA" w:rsidRDefault="008D12DA" w:rsidP="008D12DA">
      <w:r>
        <w:t xml:space="preserve">Cada bloco desta governança — da alocação macro ao controle de rebalanceamento, da blindagem documental de caixa à política de distribuição de lucros, da diversificação operacional entre corretoras à governança de Prop Firms, da custódia de chaves digitais à integração contínua do Compliance — foi cuidadosamente desenhado para garantir que a JP Wealth Holding não seja apenas uma gestora de capital, mas uma </w:t>
      </w:r>
      <w:r>
        <w:rPr>
          <w:rStyle w:val="s1"/>
          <w:b/>
          <w:bCs/>
        </w:rPr>
        <w:t>estrutura patrimonial inteligente, robusta e eticamente sólida</w:t>
      </w:r>
      <w:r>
        <w:t>.</w:t>
      </w:r>
    </w:p>
    <w:p w14:paraId="72F9B115" w14:textId="77777777" w:rsidR="008D12DA" w:rsidRDefault="008D12DA" w:rsidP="008D12DA"/>
    <w:p w14:paraId="700B75AD" w14:textId="77777777" w:rsidR="008D12DA" w:rsidRDefault="008D12DA" w:rsidP="008D12DA">
      <w:r>
        <w:t>Este Regulamento passa a integrar oficialmente o corpo normativo da JP Wealth Holding, servindo como instrumento de governança vinculante, de defesa documental e de auditoria contínua, protegendo o capital, os sócios e a integridade institucional ao longo de sua trajetória.</w:t>
      </w:r>
    </w:p>
    <w:p w14:paraId="189B565E" w14:textId="69D8A5BB" w:rsidR="00FA3C80" w:rsidRDefault="00FA3C80" w:rsidP="00A676FB">
      <w:r>
        <w:rPr>
          <w:noProof/>
        </w:rPr>
        <w:drawing>
          <wp:anchor distT="0" distB="0" distL="114300" distR="114300" simplePos="0" relativeHeight="251665408" behindDoc="1" locked="0" layoutInCell="1" allowOverlap="1" wp14:anchorId="36C0E113" wp14:editId="665AF8BF">
            <wp:simplePos x="0" y="0"/>
            <wp:positionH relativeFrom="column">
              <wp:posOffset>-574040</wp:posOffset>
            </wp:positionH>
            <wp:positionV relativeFrom="paragraph">
              <wp:posOffset>251460</wp:posOffset>
            </wp:positionV>
            <wp:extent cx="3836670" cy="2179955"/>
            <wp:effectExtent l="0" t="0" r="0" b="4445"/>
            <wp:wrapTight wrapText="bothSides">
              <wp:wrapPolygon edited="0">
                <wp:start x="0" y="0"/>
                <wp:lineTo x="0" y="21518"/>
                <wp:lineTo x="21521" y="21518"/>
                <wp:lineTo x="21521" y="0"/>
                <wp:lineTo x="0" y="0"/>
              </wp:wrapPolygon>
            </wp:wrapTight>
            <wp:docPr id="1829533720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3720" name="Imagem 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7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2DA">
        <w:t>Abaixo um resumo da alocação da Jp Wealth Holding:</w:t>
      </w:r>
    </w:p>
    <w:p w14:paraId="17839E4D" w14:textId="22E524DB" w:rsidR="00FA3C80" w:rsidRPr="00A676FB" w:rsidRDefault="00FA3C80" w:rsidP="00A676FB">
      <w:pPr>
        <w:rPr>
          <w:sz w:val="24"/>
        </w:rPr>
      </w:pPr>
      <w:r>
        <w:fldChar w:fldCharType="begin"/>
      </w:r>
      <w:r>
        <w:instrText xml:space="preserve"> INCLUDEPICTURE "https://documents.lucid.app/documents/db697b0f-fd83-4eb9-8ebd-92352a14c700/pages/0_0?a=2929&amp;x=432&amp;y=501&amp;w=1476&amp;h=838&amp;store=1&amp;accept=image%2F*&amp;auth=LCA%20746413204e5f054beb5ea6ee02ec1cb2337e7cdff5fad257432af886c7da9569-ts%3D1750620221" \* MERGEFORMATINET </w:instrText>
      </w:r>
      <w:r>
        <w:fldChar w:fldCharType="separate"/>
      </w:r>
      <w:r>
        <w:fldChar w:fldCharType="end"/>
      </w:r>
    </w:p>
    <w:sectPr w:rsidR="00FA3C80" w:rsidRPr="00A676FB" w:rsidSect="00B20365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76619" w14:textId="77777777" w:rsidR="00AB0FEF" w:rsidRDefault="00AB0FEF" w:rsidP="00405D17">
      <w:pPr>
        <w:spacing w:after="0" w:line="240" w:lineRule="auto"/>
      </w:pPr>
      <w:r>
        <w:separator/>
      </w:r>
    </w:p>
  </w:endnote>
  <w:endnote w:type="continuationSeparator" w:id="0">
    <w:p w14:paraId="67500D71" w14:textId="77777777" w:rsidR="00AB0FEF" w:rsidRDefault="00AB0FEF" w:rsidP="00405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A5B3" w14:textId="77777777" w:rsidR="00AB0FEF" w:rsidRDefault="00AB0FEF" w:rsidP="00405D17">
      <w:pPr>
        <w:spacing w:after="0" w:line="240" w:lineRule="auto"/>
      </w:pPr>
      <w:r>
        <w:separator/>
      </w:r>
    </w:p>
  </w:footnote>
  <w:footnote w:type="continuationSeparator" w:id="0">
    <w:p w14:paraId="17F15943" w14:textId="77777777" w:rsidR="00AB0FEF" w:rsidRDefault="00AB0FEF" w:rsidP="00405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0F2C" w14:textId="66FF8848" w:rsidR="0098317D" w:rsidRDefault="0098317D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1C19A1" wp14:editId="1664233B">
          <wp:simplePos x="0" y="0"/>
          <wp:positionH relativeFrom="column">
            <wp:posOffset>5587121</wp:posOffset>
          </wp:positionH>
          <wp:positionV relativeFrom="paragraph">
            <wp:posOffset>-393700</wp:posOffset>
          </wp:positionV>
          <wp:extent cx="801370" cy="801370"/>
          <wp:effectExtent l="0" t="0" r="0" b="0"/>
          <wp:wrapTight wrapText="bothSides">
            <wp:wrapPolygon edited="0">
              <wp:start x="7873" y="3765"/>
              <wp:lineTo x="1027" y="9585"/>
              <wp:lineTo x="4108" y="15404"/>
              <wp:lineTo x="4108" y="16773"/>
              <wp:lineTo x="16773" y="16773"/>
              <wp:lineTo x="18143" y="15404"/>
              <wp:lineTo x="20197" y="11296"/>
              <wp:lineTo x="20539" y="9927"/>
              <wp:lineTo x="19512" y="8900"/>
              <wp:lineTo x="12666" y="3765"/>
              <wp:lineTo x="7873" y="3765"/>
            </wp:wrapPolygon>
          </wp:wrapTight>
          <wp:docPr id="1927459950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222499" name="Imagem 1" descr="Logotipo, nome da empresa&#10;&#10;O conteúdo gerado por IA pode estar incorreto."/>
                  <pic:cNvPicPr/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1370" cy="801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4C8D692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AA3285"/>
    <w:multiLevelType w:val="hybridMultilevel"/>
    <w:tmpl w:val="0D7494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E47BCE"/>
    <w:multiLevelType w:val="multilevel"/>
    <w:tmpl w:val="B67421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11F"/>
    <w:multiLevelType w:val="hybridMultilevel"/>
    <w:tmpl w:val="65165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150D6"/>
    <w:multiLevelType w:val="hybridMultilevel"/>
    <w:tmpl w:val="81844C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67565F"/>
    <w:multiLevelType w:val="multilevel"/>
    <w:tmpl w:val="A5CC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863E5"/>
    <w:multiLevelType w:val="hybridMultilevel"/>
    <w:tmpl w:val="DB4807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3063E8"/>
    <w:multiLevelType w:val="hybridMultilevel"/>
    <w:tmpl w:val="0BA6513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7F1C60"/>
    <w:multiLevelType w:val="multilevel"/>
    <w:tmpl w:val="75F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B4997"/>
    <w:multiLevelType w:val="hybridMultilevel"/>
    <w:tmpl w:val="08667856"/>
    <w:lvl w:ilvl="0" w:tplc="C97C2C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7B275B"/>
    <w:multiLevelType w:val="multilevel"/>
    <w:tmpl w:val="245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04D7A"/>
    <w:multiLevelType w:val="multilevel"/>
    <w:tmpl w:val="06C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A1FA1"/>
    <w:multiLevelType w:val="multilevel"/>
    <w:tmpl w:val="39C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C72E2"/>
    <w:multiLevelType w:val="multilevel"/>
    <w:tmpl w:val="4A18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14700"/>
    <w:multiLevelType w:val="multilevel"/>
    <w:tmpl w:val="058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50577"/>
    <w:multiLevelType w:val="hybridMultilevel"/>
    <w:tmpl w:val="0F046B4C"/>
    <w:lvl w:ilvl="0" w:tplc="0416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6457F6"/>
    <w:multiLevelType w:val="multilevel"/>
    <w:tmpl w:val="A43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9362F"/>
    <w:multiLevelType w:val="multilevel"/>
    <w:tmpl w:val="C7A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C3F44"/>
    <w:multiLevelType w:val="hybridMultilevel"/>
    <w:tmpl w:val="82DEF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807F33"/>
    <w:multiLevelType w:val="multilevel"/>
    <w:tmpl w:val="56E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46898"/>
    <w:multiLevelType w:val="multilevel"/>
    <w:tmpl w:val="BD16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42B95"/>
    <w:multiLevelType w:val="multilevel"/>
    <w:tmpl w:val="513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02A04"/>
    <w:multiLevelType w:val="multilevel"/>
    <w:tmpl w:val="174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A2280"/>
    <w:multiLevelType w:val="multilevel"/>
    <w:tmpl w:val="7B5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030BD"/>
    <w:multiLevelType w:val="hybridMultilevel"/>
    <w:tmpl w:val="F2C64B7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BE42D9"/>
    <w:multiLevelType w:val="hybridMultilevel"/>
    <w:tmpl w:val="FD44A71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F450255"/>
    <w:multiLevelType w:val="hybridMultilevel"/>
    <w:tmpl w:val="535E91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347BD7"/>
    <w:multiLevelType w:val="multilevel"/>
    <w:tmpl w:val="54D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22D64"/>
    <w:multiLevelType w:val="hybridMultilevel"/>
    <w:tmpl w:val="F7B21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50004C"/>
    <w:multiLevelType w:val="hybridMultilevel"/>
    <w:tmpl w:val="397CD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007545"/>
    <w:multiLevelType w:val="multilevel"/>
    <w:tmpl w:val="5A9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3333A"/>
    <w:multiLevelType w:val="multilevel"/>
    <w:tmpl w:val="FF4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F75A1"/>
    <w:multiLevelType w:val="hybridMultilevel"/>
    <w:tmpl w:val="DB54C4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ED601A"/>
    <w:multiLevelType w:val="hybridMultilevel"/>
    <w:tmpl w:val="1F24FE4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CEA7CA9"/>
    <w:multiLevelType w:val="multilevel"/>
    <w:tmpl w:val="4AC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7462D"/>
    <w:multiLevelType w:val="hybridMultilevel"/>
    <w:tmpl w:val="49825E60"/>
    <w:lvl w:ilvl="0" w:tplc="0416000F">
      <w:start w:val="1"/>
      <w:numFmt w:val="decimal"/>
      <w:lvlText w:val="%1."/>
      <w:lvlJc w:val="left"/>
      <w:pPr>
        <w:ind w:left="-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440" w:hanging="360"/>
      </w:pPr>
    </w:lvl>
    <w:lvl w:ilvl="2" w:tplc="0416001B" w:tentative="1">
      <w:start w:val="1"/>
      <w:numFmt w:val="lowerRoman"/>
      <w:lvlText w:val="%3."/>
      <w:lvlJc w:val="right"/>
      <w:pPr>
        <w:ind w:left="-720" w:hanging="180"/>
      </w:pPr>
    </w:lvl>
    <w:lvl w:ilvl="3" w:tplc="0416000F" w:tentative="1">
      <w:start w:val="1"/>
      <w:numFmt w:val="decimal"/>
      <w:lvlText w:val="%4."/>
      <w:lvlJc w:val="left"/>
      <w:pPr>
        <w:ind w:left="0" w:hanging="360"/>
      </w:pPr>
    </w:lvl>
    <w:lvl w:ilvl="4" w:tplc="04160019" w:tentative="1">
      <w:start w:val="1"/>
      <w:numFmt w:val="lowerLetter"/>
      <w:lvlText w:val="%5."/>
      <w:lvlJc w:val="left"/>
      <w:pPr>
        <w:ind w:left="720" w:hanging="360"/>
      </w:pPr>
    </w:lvl>
    <w:lvl w:ilvl="5" w:tplc="0416001B" w:tentative="1">
      <w:start w:val="1"/>
      <w:numFmt w:val="lowerRoman"/>
      <w:lvlText w:val="%6."/>
      <w:lvlJc w:val="right"/>
      <w:pPr>
        <w:ind w:left="1440" w:hanging="180"/>
      </w:pPr>
    </w:lvl>
    <w:lvl w:ilvl="6" w:tplc="0416000F" w:tentative="1">
      <w:start w:val="1"/>
      <w:numFmt w:val="decimal"/>
      <w:lvlText w:val="%7."/>
      <w:lvlJc w:val="left"/>
      <w:pPr>
        <w:ind w:left="2160" w:hanging="360"/>
      </w:pPr>
    </w:lvl>
    <w:lvl w:ilvl="7" w:tplc="04160019" w:tentative="1">
      <w:start w:val="1"/>
      <w:numFmt w:val="lowerLetter"/>
      <w:lvlText w:val="%8."/>
      <w:lvlJc w:val="left"/>
      <w:pPr>
        <w:ind w:left="2880" w:hanging="360"/>
      </w:pPr>
    </w:lvl>
    <w:lvl w:ilvl="8" w:tplc="0416001B" w:tentative="1">
      <w:start w:val="1"/>
      <w:numFmt w:val="lowerRoman"/>
      <w:lvlText w:val="%9."/>
      <w:lvlJc w:val="right"/>
      <w:pPr>
        <w:ind w:left="3600" w:hanging="180"/>
      </w:pPr>
    </w:lvl>
  </w:abstractNum>
  <w:abstractNum w:abstractNumId="36" w15:restartNumberingAfterBreak="0">
    <w:nsid w:val="52FA0156"/>
    <w:multiLevelType w:val="multilevel"/>
    <w:tmpl w:val="F73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B4236"/>
    <w:multiLevelType w:val="hybridMultilevel"/>
    <w:tmpl w:val="91AE5F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8E1AE2"/>
    <w:multiLevelType w:val="multilevel"/>
    <w:tmpl w:val="F63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794A9B"/>
    <w:multiLevelType w:val="multilevel"/>
    <w:tmpl w:val="DE7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B52CFC"/>
    <w:multiLevelType w:val="hybridMultilevel"/>
    <w:tmpl w:val="FB904CD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E6355D9"/>
    <w:multiLevelType w:val="multilevel"/>
    <w:tmpl w:val="64D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15390"/>
    <w:multiLevelType w:val="hybridMultilevel"/>
    <w:tmpl w:val="0254B7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2049DC"/>
    <w:multiLevelType w:val="hybridMultilevel"/>
    <w:tmpl w:val="6BECDB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5324EA"/>
    <w:multiLevelType w:val="multilevel"/>
    <w:tmpl w:val="B28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CB3B6D"/>
    <w:multiLevelType w:val="multilevel"/>
    <w:tmpl w:val="EF5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2A7042"/>
    <w:multiLevelType w:val="multilevel"/>
    <w:tmpl w:val="EC5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EE121F"/>
    <w:multiLevelType w:val="multilevel"/>
    <w:tmpl w:val="E35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14FF6"/>
    <w:multiLevelType w:val="multilevel"/>
    <w:tmpl w:val="B79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D214F"/>
    <w:multiLevelType w:val="multilevel"/>
    <w:tmpl w:val="286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9C03C8"/>
    <w:multiLevelType w:val="hybridMultilevel"/>
    <w:tmpl w:val="937A5A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0750C5A"/>
    <w:multiLevelType w:val="hybridMultilevel"/>
    <w:tmpl w:val="854E64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7A0C1C"/>
    <w:multiLevelType w:val="hybridMultilevel"/>
    <w:tmpl w:val="0756B6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6F01D68"/>
    <w:multiLevelType w:val="hybridMultilevel"/>
    <w:tmpl w:val="A8008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6164F3"/>
    <w:multiLevelType w:val="multilevel"/>
    <w:tmpl w:val="028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C335CE"/>
    <w:multiLevelType w:val="hybridMultilevel"/>
    <w:tmpl w:val="B7E8B35E"/>
    <w:lvl w:ilvl="0" w:tplc="F10C199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1118072">
    <w:abstractNumId w:val="48"/>
  </w:num>
  <w:num w:numId="2" w16cid:durableId="1362853657">
    <w:abstractNumId w:val="24"/>
  </w:num>
  <w:num w:numId="3" w16cid:durableId="1577667013">
    <w:abstractNumId w:val="32"/>
  </w:num>
  <w:num w:numId="4" w16cid:durableId="441341943">
    <w:abstractNumId w:val="51"/>
  </w:num>
  <w:num w:numId="5" w16cid:durableId="1992559245">
    <w:abstractNumId w:val="46"/>
  </w:num>
  <w:num w:numId="6" w16cid:durableId="351735414">
    <w:abstractNumId w:val="1"/>
  </w:num>
  <w:num w:numId="7" w16cid:durableId="697392790">
    <w:abstractNumId w:val="50"/>
  </w:num>
  <w:num w:numId="8" w16cid:durableId="1761873021">
    <w:abstractNumId w:val="12"/>
  </w:num>
  <w:num w:numId="9" w16cid:durableId="1638218368">
    <w:abstractNumId w:val="11"/>
  </w:num>
  <w:num w:numId="10" w16cid:durableId="745036308">
    <w:abstractNumId w:val="23"/>
  </w:num>
  <w:num w:numId="11" w16cid:durableId="1318801668">
    <w:abstractNumId w:val="26"/>
  </w:num>
  <w:num w:numId="12" w16cid:durableId="2103643473">
    <w:abstractNumId w:val="19"/>
  </w:num>
  <w:num w:numId="13" w16cid:durableId="1096556143">
    <w:abstractNumId w:val="22"/>
  </w:num>
  <w:num w:numId="14" w16cid:durableId="1066949309">
    <w:abstractNumId w:val="29"/>
  </w:num>
  <w:num w:numId="15" w16cid:durableId="1688561564">
    <w:abstractNumId w:val="49"/>
  </w:num>
  <w:num w:numId="16" w16cid:durableId="1369725082">
    <w:abstractNumId w:val="37"/>
  </w:num>
  <w:num w:numId="17" w16cid:durableId="1175538443">
    <w:abstractNumId w:val="21"/>
  </w:num>
  <w:num w:numId="18" w16cid:durableId="1316302059">
    <w:abstractNumId w:val="53"/>
  </w:num>
  <w:num w:numId="19" w16cid:durableId="1679962083">
    <w:abstractNumId w:val="28"/>
  </w:num>
  <w:num w:numId="20" w16cid:durableId="1912541579">
    <w:abstractNumId w:val="0"/>
  </w:num>
  <w:num w:numId="21" w16cid:durableId="1155100399">
    <w:abstractNumId w:val="3"/>
  </w:num>
  <w:num w:numId="22" w16cid:durableId="2049332717">
    <w:abstractNumId w:val="43"/>
  </w:num>
  <w:num w:numId="23" w16cid:durableId="725421592">
    <w:abstractNumId w:val="5"/>
  </w:num>
  <w:num w:numId="24" w16cid:durableId="2120487461">
    <w:abstractNumId w:val="39"/>
  </w:num>
  <w:num w:numId="25" w16cid:durableId="60060878">
    <w:abstractNumId w:val="17"/>
  </w:num>
  <w:num w:numId="26" w16cid:durableId="443697883">
    <w:abstractNumId w:val="41"/>
  </w:num>
  <w:num w:numId="27" w16cid:durableId="2067483857">
    <w:abstractNumId w:val="35"/>
  </w:num>
  <w:num w:numId="28" w16cid:durableId="1082026808">
    <w:abstractNumId w:val="44"/>
  </w:num>
  <w:num w:numId="29" w16cid:durableId="1252735402">
    <w:abstractNumId w:val="42"/>
  </w:num>
  <w:num w:numId="30" w16cid:durableId="377633159">
    <w:abstractNumId w:val="18"/>
  </w:num>
  <w:num w:numId="31" w16cid:durableId="1288509347">
    <w:abstractNumId w:val="2"/>
  </w:num>
  <w:num w:numId="32" w16cid:durableId="1376738955">
    <w:abstractNumId w:val="27"/>
  </w:num>
  <w:num w:numId="33" w16cid:durableId="1065224541">
    <w:abstractNumId w:val="47"/>
  </w:num>
  <w:num w:numId="34" w16cid:durableId="44911484">
    <w:abstractNumId w:val="31"/>
  </w:num>
  <w:num w:numId="35" w16cid:durableId="2117211589">
    <w:abstractNumId w:val="13"/>
  </w:num>
  <w:num w:numId="36" w16cid:durableId="373626771">
    <w:abstractNumId w:val="16"/>
  </w:num>
  <w:num w:numId="37" w16cid:durableId="541943163">
    <w:abstractNumId w:val="25"/>
  </w:num>
  <w:num w:numId="38" w16cid:durableId="1129396921">
    <w:abstractNumId w:val="55"/>
  </w:num>
  <w:num w:numId="39" w16cid:durableId="139395455">
    <w:abstractNumId w:val="15"/>
  </w:num>
  <w:num w:numId="40" w16cid:durableId="1058747762">
    <w:abstractNumId w:val="14"/>
  </w:num>
  <w:num w:numId="41" w16cid:durableId="1329480623">
    <w:abstractNumId w:val="9"/>
  </w:num>
  <w:num w:numId="42" w16cid:durableId="1532840479">
    <w:abstractNumId w:val="10"/>
  </w:num>
  <w:num w:numId="43" w16cid:durableId="1521964367">
    <w:abstractNumId w:val="30"/>
  </w:num>
  <w:num w:numId="44" w16cid:durableId="1748767646">
    <w:abstractNumId w:val="45"/>
  </w:num>
  <w:num w:numId="45" w16cid:durableId="1102339010">
    <w:abstractNumId w:val="8"/>
  </w:num>
  <w:num w:numId="46" w16cid:durableId="1884708550">
    <w:abstractNumId w:val="20"/>
  </w:num>
  <w:num w:numId="47" w16cid:durableId="1767074743">
    <w:abstractNumId w:val="54"/>
  </w:num>
  <w:num w:numId="48" w16cid:durableId="1480460888">
    <w:abstractNumId w:val="38"/>
  </w:num>
  <w:num w:numId="49" w16cid:durableId="273440230">
    <w:abstractNumId w:val="36"/>
  </w:num>
  <w:num w:numId="50" w16cid:durableId="1243954358">
    <w:abstractNumId w:val="40"/>
  </w:num>
  <w:num w:numId="51" w16cid:durableId="743843868">
    <w:abstractNumId w:val="6"/>
  </w:num>
  <w:num w:numId="52" w16cid:durableId="347296890">
    <w:abstractNumId w:val="7"/>
  </w:num>
  <w:num w:numId="53" w16cid:durableId="1321884470">
    <w:abstractNumId w:val="52"/>
  </w:num>
  <w:num w:numId="54" w16cid:durableId="574317367">
    <w:abstractNumId w:val="4"/>
  </w:num>
  <w:num w:numId="55" w16cid:durableId="924459041">
    <w:abstractNumId w:val="34"/>
  </w:num>
  <w:num w:numId="56" w16cid:durableId="13206651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87"/>
    <w:rsid w:val="00027F6C"/>
    <w:rsid w:val="0005180E"/>
    <w:rsid w:val="00072063"/>
    <w:rsid w:val="000D3E01"/>
    <w:rsid w:val="000F07D2"/>
    <w:rsid w:val="000F29DB"/>
    <w:rsid w:val="001054B4"/>
    <w:rsid w:val="00107AD5"/>
    <w:rsid w:val="00111797"/>
    <w:rsid w:val="001170C6"/>
    <w:rsid w:val="001339C2"/>
    <w:rsid w:val="00140DDF"/>
    <w:rsid w:val="00156180"/>
    <w:rsid w:val="00157276"/>
    <w:rsid w:val="00173355"/>
    <w:rsid w:val="001A5133"/>
    <w:rsid w:val="00254505"/>
    <w:rsid w:val="00265EDE"/>
    <w:rsid w:val="00275CA9"/>
    <w:rsid w:val="00285C19"/>
    <w:rsid w:val="00291A66"/>
    <w:rsid w:val="002A0801"/>
    <w:rsid w:val="00385414"/>
    <w:rsid w:val="003B7FDE"/>
    <w:rsid w:val="0040285C"/>
    <w:rsid w:val="00405D17"/>
    <w:rsid w:val="00440110"/>
    <w:rsid w:val="004527CD"/>
    <w:rsid w:val="00483BD9"/>
    <w:rsid w:val="004A440F"/>
    <w:rsid w:val="00517B08"/>
    <w:rsid w:val="00554133"/>
    <w:rsid w:val="00573A0A"/>
    <w:rsid w:val="00585284"/>
    <w:rsid w:val="00590105"/>
    <w:rsid w:val="005F2493"/>
    <w:rsid w:val="006111F7"/>
    <w:rsid w:val="006223F6"/>
    <w:rsid w:val="006349EA"/>
    <w:rsid w:val="006730A7"/>
    <w:rsid w:val="006A5921"/>
    <w:rsid w:val="006C537D"/>
    <w:rsid w:val="006F494F"/>
    <w:rsid w:val="00735BDE"/>
    <w:rsid w:val="00736338"/>
    <w:rsid w:val="0074324D"/>
    <w:rsid w:val="007469FE"/>
    <w:rsid w:val="00746F62"/>
    <w:rsid w:val="00750953"/>
    <w:rsid w:val="0077750E"/>
    <w:rsid w:val="007912F4"/>
    <w:rsid w:val="007A05A3"/>
    <w:rsid w:val="007A6D84"/>
    <w:rsid w:val="007B1C00"/>
    <w:rsid w:val="007B70D4"/>
    <w:rsid w:val="007B77BD"/>
    <w:rsid w:val="007C6B0B"/>
    <w:rsid w:val="007E32D2"/>
    <w:rsid w:val="008137F2"/>
    <w:rsid w:val="0084250C"/>
    <w:rsid w:val="00862A2A"/>
    <w:rsid w:val="0086409D"/>
    <w:rsid w:val="008D12DA"/>
    <w:rsid w:val="008D14B5"/>
    <w:rsid w:val="00934764"/>
    <w:rsid w:val="009577D2"/>
    <w:rsid w:val="00972ECE"/>
    <w:rsid w:val="0098317D"/>
    <w:rsid w:val="00985D2E"/>
    <w:rsid w:val="00992E69"/>
    <w:rsid w:val="009A51ED"/>
    <w:rsid w:val="00A00FBB"/>
    <w:rsid w:val="00A01701"/>
    <w:rsid w:val="00A51E7E"/>
    <w:rsid w:val="00A523EE"/>
    <w:rsid w:val="00A676FB"/>
    <w:rsid w:val="00A81348"/>
    <w:rsid w:val="00AB0FEF"/>
    <w:rsid w:val="00AB1BFF"/>
    <w:rsid w:val="00AD05CC"/>
    <w:rsid w:val="00B20365"/>
    <w:rsid w:val="00B4728A"/>
    <w:rsid w:val="00B930DF"/>
    <w:rsid w:val="00BD07D5"/>
    <w:rsid w:val="00C12F4A"/>
    <w:rsid w:val="00C66287"/>
    <w:rsid w:val="00C67776"/>
    <w:rsid w:val="00CB6584"/>
    <w:rsid w:val="00CF34B0"/>
    <w:rsid w:val="00D10DB9"/>
    <w:rsid w:val="00D31582"/>
    <w:rsid w:val="00D56E1E"/>
    <w:rsid w:val="00D61C7A"/>
    <w:rsid w:val="00D8334B"/>
    <w:rsid w:val="00DD2219"/>
    <w:rsid w:val="00DD4883"/>
    <w:rsid w:val="00E567E2"/>
    <w:rsid w:val="00EA6115"/>
    <w:rsid w:val="00ED4716"/>
    <w:rsid w:val="00ED64C7"/>
    <w:rsid w:val="00F201C4"/>
    <w:rsid w:val="00F471BC"/>
    <w:rsid w:val="00F71B0B"/>
    <w:rsid w:val="00F74F49"/>
    <w:rsid w:val="00F80EBF"/>
    <w:rsid w:val="00F81067"/>
    <w:rsid w:val="00FA041B"/>
    <w:rsid w:val="00FA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DD979"/>
  <w15:chartTrackingRefBased/>
  <w15:docId w15:val="{2983F458-8512-6B4D-AF7A-37E4A12C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1F7"/>
    <w:pPr>
      <w:spacing w:after="40"/>
    </w:pPr>
    <w:rPr>
      <w:rFonts w:ascii="Times New Roman" w:hAnsi="Times New Roman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C6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0365"/>
    <w:pPr>
      <w:keepNext/>
      <w:keepLines/>
      <w:spacing w:after="0"/>
      <w:jc w:val="center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A5133"/>
    <w:pPr>
      <w:keepNext/>
      <w:keepLines/>
      <w:spacing w:after="0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6287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6287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036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A513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62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62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6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62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6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6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62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62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62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62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62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628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66287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405D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5D17"/>
    <w:rPr>
      <w:rFonts w:ascii="Garamond" w:hAnsi="Garamond"/>
      <w:sz w:val="20"/>
    </w:rPr>
  </w:style>
  <w:style w:type="paragraph" w:styleId="Rodap">
    <w:name w:val="footer"/>
    <w:basedOn w:val="Normal"/>
    <w:link w:val="RodapChar"/>
    <w:uiPriority w:val="99"/>
    <w:unhideWhenUsed/>
    <w:rsid w:val="00405D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5D17"/>
    <w:rPr>
      <w:rFonts w:ascii="Garamond" w:hAnsi="Garamond"/>
      <w:sz w:val="20"/>
    </w:rPr>
  </w:style>
  <w:style w:type="paragraph" w:styleId="Corpodetexto">
    <w:name w:val="Body Text"/>
    <w:basedOn w:val="Normal"/>
    <w:link w:val="CorpodetextoChar"/>
    <w:qFormat/>
    <w:rsid w:val="007B70D4"/>
    <w:pPr>
      <w:spacing w:before="180" w:after="180" w:line="240" w:lineRule="auto"/>
    </w:pPr>
    <w:rPr>
      <w:rFonts w:asciiTheme="minorHAnsi" w:hAnsiTheme="minorHAnsi"/>
      <w:kern w:val="0"/>
      <w:sz w:val="24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7B70D4"/>
    <w:rPr>
      <w:kern w:val="0"/>
      <w:lang w:val="en-US"/>
      <w14:ligatures w14:val="none"/>
    </w:rPr>
  </w:style>
  <w:style w:type="paragraph" w:customStyle="1" w:styleId="Compact">
    <w:name w:val="Compact"/>
    <w:basedOn w:val="Corpodetexto"/>
    <w:qFormat/>
    <w:rsid w:val="004527CD"/>
    <w:pPr>
      <w:spacing w:before="36" w:after="36"/>
    </w:pPr>
  </w:style>
  <w:style w:type="paragraph" w:customStyle="1" w:styleId="FirstParagraph">
    <w:name w:val="First Paragraph"/>
    <w:basedOn w:val="Corpodetexto"/>
    <w:next w:val="Corpodetexto"/>
    <w:qFormat/>
    <w:rsid w:val="00985D2E"/>
  </w:style>
  <w:style w:type="paragraph" w:customStyle="1" w:styleId="p1">
    <w:name w:val="p1"/>
    <w:basedOn w:val="Normal"/>
    <w:rsid w:val="0015618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pt-BR"/>
      <w14:ligatures w14:val="none"/>
    </w:rPr>
  </w:style>
  <w:style w:type="character" w:customStyle="1" w:styleId="s1">
    <w:name w:val="s1"/>
    <w:basedOn w:val="Fontepargpadro"/>
    <w:rsid w:val="00156180"/>
  </w:style>
  <w:style w:type="paragraph" w:styleId="SemEspaamento">
    <w:name w:val="No Spacing"/>
    <w:uiPriority w:val="1"/>
    <w:qFormat/>
    <w:rsid w:val="0098317D"/>
    <w:pPr>
      <w:spacing w:after="0" w:line="240" w:lineRule="auto"/>
    </w:pPr>
    <w:rPr>
      <w:rFonts w:ascii="Garamond" w:hAnsi="Garamond"/>
      <w:sz w:val="20"/>
    </w:rPr>
  </w:style>
  <w:style w:type="paragraph" w:customStyle="1" w:styleId="p2">
    <w:name w:val="p2"/>
    <w:basedOn w:val="Normal"/>
    <w:rsid w:val="0098317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pt-BR"/>
      <w14:ligatures w14:val="none"/>
    </w:rPr>
  </w:style>
  <w:style w:type="paragraph" w:customStyle="1" w:styleId="p3">
    <w:name w:val="p3"/>
    <w:basedOn w:val="Normal"/>
    <w:rsid w:val="0098317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98317D"/>
  </w:style>
  <w:style w:type="table" w:styleId="Tabelacomgrade">
    <w:name w:val="Table Grid"/>
    <w:basedOn w:val="Tabelanormal"/>
    <w:uiPriority w:val="39"/>
    <w:rsid w:val="00983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C12F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6Colorida">
    <w:name w:val="Grid Table 6 Colorful"/>
    <w:basedOn w:val="Tabelanormal"/>
    <w:uiPriority w:val="51"/>
    <w:rsid w:val="00C12F4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fase">
    <w:name w:val="Emphasis"/>
    <w:basedOn w:val="Fontepargpadro"/>
    <w:uiPriority w:val="20"/>
    <w:qFormat/>
    <w:rsid w:val="006111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7595401897288441E-2"/>
          <c:y val="0.13513100396950217"/>
          <c:w val="0.50961442852919836"/>
          <c:h val="0.78256070582791548"/>
        </c:manualLayout>
      </c:layout>
      <c:pie3D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Coluna1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AA1-DD4D-9C4F-67D5A9C1B4C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8C34-7742-83AD-5D3E7BB4265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4-AAA1-DD4D-9C4F-67D5A9C1B4C0}"/>
              </c:ext>
            </c:extLst>
          </c:dPt>
          <c:dLbls>
            <c:dLbl>
              <c:idx val="0"/>
              <c:layout>
                <c:manualLayout>
                  <c:x val="-7.459593866556162E-2"/>
                  <c:y val="0.15913493779625681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AA1-DD4D-9C4F-67D5A9C1B4C0}"/>
                </c:ext>
              </c:extLst>
            </c:dLbl>
            <c:dLbl>
              <c:idx val="2"/>
              <c:layout>
                <c:manualLayout>
                  <c:x val="1.7064846416382253E-2"/>
                  <c:y val="-3.3014196104324857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AAA1-DD4D-9C4F-67D5A9C1B4C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Planilha1!$A$2:$A$4</c:f>
              <c:strCache>
                <c:ptCount val="3"/>
                <c:pt idx="0">
                  <c:v>Operação Jp Wealth</c:v>
                </c:pt>
                <c:pt idx="1">
                  <c:v>Investimentos Externos</c:v>
                </c:pt>
                <c:pt idx="2">
                  <c:v>Fundo de Resgate / Caixa</c:v>
                </c:pt>
              </c:strCache>
            </c:strRef>
          </c:cat>
          <c:val>
            <c:numRef>
              <c:f>Planilha1!$B$2:$B$4</c:f>
              <c:numCache>
                <c:formatCode>0%</c:formatCode>
                <c:ptCount val="3"/>
                <c:pt idx="0">
                  <c:v>0.65</c:v>
                </c:pt>
                <c:pt idx="1">
                  <c:v>0.2</c:v>
                </c:pt>
                <c:pt idx="2">
                  <c:v>0.15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A1-DD4D-9C4F-67D5A9C1B4C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7595401897288441E-2"/>
          <c:y val="0.13513100396950217"/>
          <c:w val="0.50961442852919836"/>
          <c:h val="0.78256070582791548"/>
        </c:manualLayout>
      </c:layout>
      <c:pie3D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Coluna1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65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CA5B-254F-9167-34186CBB6840}"/>
              </c:ext>
            </c:extLst>
          </c:dPt>
          <c:dPt>
            <c:idx val="1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CA5B-254F-9167-34186CBB6840}"/>
              </c:ext>
            </c:extLst>
          </c:dPt>
          <c:dPt>
            <c:idx val="2"/>
            <c:bubble3D val="0"/>
            <c:spPr>
              <a:solidFill>
                <a:schemeClr val="accent1">
                  <a:tint val="65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CA5B-254F-9167-34186CBB6840}"/>
              </c:ext>
            </c:extLst>
          </c:dPt>
          <c:dLbls>
            <c:dLbl>
              <c:idx val="0"/>
              <c:layout>
                <c:manualLayout>
                  <c:x val="-7.0025478990628914E-2"/>
                  <c:y val="0.23464736810811271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A5B-254F-9167-34186CBB6840}"/>
                </c:ext>
              </c:extLst>
            </c:dLbl>
            <c:dLbl>
              <c:idx val="2"/>
              <c:layout>
                <c:manualLayout>
                  <c:x val="1.7064846416382253E-2"/>
                  <c:y val="-3.3014196104324857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CA5B-254F-9167-34186CBB684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Planilha1!$A$2:$A$4</c:f>
              <c:strCache>
                <c:ptCount val="3"/>
                <c:pt idx="0">
                  <c:v>Jp Wealth Base</c:v>
                </c:pt>
                <c:pt idx="1">
                  <c:v>Jp Wealth Longevity</c:v>
                </c:pt>
                <c:pt idx="2">
                  <c:v>Jp Wealth High Yeld</c:v>
                </c:pt>
              </c:strCache>
            </c:strRef>
          </c:cat>
          <c:val>
            <c:numRef>
              <c:f>Planilha1!$B$2:$B$4</c:f>
              <c:numCache>
                <c:formatCode>0%</c:formatCode>
                <c:ptCount val="3"/>
                <c:pt idx="0">
                  <c:v>0.65</c:v>
                </c:pt>
                <c:pt idx="1">
                  <c:v>0.2</c:v>
                </c:pt>
                <c:pt idx="2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A5B-254F-9167-34186CBB684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7595401897288441E-2"/>
          <c:y val="0.13513100396950217"/>
          <c:w val="0.50961442852919836"/>
          <c:h val="0.78256070582791548"/>
        </c:manualLayout>
      </c:layout>
      <c:pie3D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Coluna1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C6C9-114E-9DEF-DE73AD0D5F9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C6C9-114E-9DEF-DE73AD0D5F9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C6C9-114E-9DEF-DE73AD0D5F97}"/>
              </c:ext>
            </c:extLst>
          </c:dPt>
          <c:dLbls>
            <c:dLbl>
              <c:idx val="0"/>
              <c:layout>
                <c:manualLayout>
                  <c:x val="1.6811815342095034E-2"/>
                  <c:y val="-4.8505274735891613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6C9-114E-9DEF-DE73AD0D5F97}"/>
                </c:ext>
              </c:extLst>
            </c:dLbl>
            <c:dLbl>
              <c:idx val="1"/>
              <c:layout>
                <c:manualLayout>
                  <c:x val="1.3711151736745886E-2"/>
                  <c:y val="3.7753657385559226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C6C9-114E-9DEF-DE73AD0D5F97}"/>
                </c:ext>
              </c:extLst>
            </c:dLbl>
            <c:dLbl>
              <c:idx val="2"/>
              <c:layout>
                <c:manualLayout>
                  <c:x val="-1.371115173674589E-2"/>
                  <c:y val="-4.7192071731949031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C6C9-114E-9DEF-DE73AD0D5F9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Planilha1!$A$2:$A$4</c:f>
              <c:strCache>
                <c:ptCount val="3"/>
                <c:pt idx="0">
                  <c:v>Oracullus</c:v>
                </c:pt>
                <c:pt idx="1">
                  <c:v>Sollitus</c:v>
                </c:pt>
                <c:pt idx="2">
                  <c:v>Fiis</c:v>
                </c:pt>
              </c:strCache>
            </c:strRef>
          </c:cat>
          <c:val>
            <c:numRef>
              <c:f>Planilha1!$B$2:$B$4</c:f>
              <c:numCache>
                <c:formatCode>0%</c:formatCode>
                <c:ptCount val="3"/>
                <c:pt idx="0">
                  <c:v>0.34</c:v>
                </c:pt>
                <c:pt idx="1">
                  <c:v>0.33</c:v>
                </c:pt>
                <c:pt idx="2">
                  <c:v>0.33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6C9-114E-9DEF-DE73AD0D5F9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pt-BR" sz="900">
                <a:latin typeface="Times New Roman" panose="02020603050405020304" pitchFamily="18" charset="0"/>
                <a:cs typeface="Times New Roman" panose="02020603050405020304" pitchFamily="18" charset="0"/>
              </a:rPr>
              <a:t>Caixa Jp Wealth Holding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7595401897288441E-2"/>
          <c:y val="0.13513100396950217"/>
          <c:w val="0.50961442852919836"/>
          <c:h val="0.78256070582791548"/>
        </c:manualLayout>
      </c:layout>
      <c:pie3D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Coluna1</c:v>
                </c:pt>
              </c:strCache>
            </c:strRef>
          </c:tx>
          <c:dPt>
            <c:idx val="0"/>
            <c:bubble3D val="0"/>
            <c:spPr>
              <a:solidFill>
                <a:schemeClr val="accent2">
                  <a:shade val="76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CDEB-AB40-96EC-D2EDB7EB74C4}"/>
              </c:ext>
            </c:extLst>
          </c:dPt>
          <c:dPt>
            <c:idx val="1"/>
            <c:bubble3D val="0"/>
            <c:spPr>
              <a:solidFill>
                <a:schemeClr val="accent2">
                  <a:tint val="77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CDEB-AB40-96EC-D2EDB7EB74C4}"/>
              </c:ext>
            </c:extLst>
          </c:dPt>
          <c:dLbls>
            <c:dLbl>
              <c:idx val="0"/>
              <c:layout>
                <c:manualLayout>
                  <c:x val="1.6811815342095034E-2"/>
                  <c:y val="-4.8505274735891613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DEB-AB40-96EC-D2EDB7EB74C4}"/>
                </c:ext>
              </c:extLst>
            </c:dLbl>
            <c:dLbl>
              <c:idx val="1"/>
              <c:layout>
                <c:manualLayout>
                  <c:x val="1.3711151736745886E-2"/>
                  <c:y val="3.7753657385559226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CDEB-AB40-96EC-D2EDB7EB74C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Planilha1!$A$2:$A$3</c:f>
              <c:strCache>
                <c:ptCount val="2"/>
                <c:pt idx="0">
                  <c:v>Interactive Brokers - IBRK</c:v>
                </c:pt>
                <c:pt idx="1">
                  <c:v>USDT </c:v>
                </c:pt>
              </c:strCache>
            </c:strRef>
          </c:cat>
          <c:val>
            <c:numRef>
              <c:f>Planilha1!$B$2:$B$3</c:f>
              <c:numCache>
                <c:formatCode>0%</c:formatCode>
                <c:ptCount val="2"/>
                <c:pt idx="0">
                  <c:v>0.5</c:v>
                </c:pt>
                <c:pt idx="1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DEB-AB40-96EC-D2EDB7EB74C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3287</Words>
  <Characters>19990</Characters>
  <Application>Microsoft Office Word</Application>
  <DocSecurity>0</DocSecurity>
  <Lines>624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Cirqueira</dc:creator>
  <cp:keywords/>
  <dc:description/>
  <cp:lastModifiedBy>João Cirqueira</cp:lastModifiedBy>
  <cp:revision>4</cp:revision>
  <cp:lastPrinted>2025-06-22T19:37:00Z</cp:lastPrinted>
  <dcterms:created xsi:type="dcterms:W3CDTF">2025-06-22T19:37:00Z</dcterms:created>
  <dcterms:modified xsi:type="dcterms:W3CDTF">2026-02-03T09:58:00Z</dcterms:modified>
</cp:coreProperties>
</file>