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4986438"/>
        <w:docPartObj>
          <w:docPartGallery w:val="Cover Pages"/>
          <w:docPartUnique/>
        </w:docPartObj>
      </w:sdtPr>
      <w:sdtEndPr>
        <w:rPr>
          <w:b/>
        </w:rPr>
      </w:sdtEndPr>
      <w:sdtContent>
        <w:p w14:paraId="2837650C" w14:textId="25F143E6" w:rsidR="002F13A0" w:rsidRDefault="0078186F">
          <w:r>
            <w:rPr>
              <w:noProof/>
            </w:rPr>
            <mc:AlternateContent>
              <mc:Choice Requires="wps">
                <w:drawing>
                  <wp:anchor distT="0" distB="0" distL="114300" distR="114300" simplePos="0" relativeHeight="251660288" behindDoc="0" locked="0" layoutInCell="1" allowOverlap="1" wp14:anchorId="4491B0EC" wp14:editId="541C51EE">
                    <wp:simplePos x="0" y="0"/>
                    <wp:positionH relativeFrom="page">
                      <wp:posOffset>766689</wp:posOffset>
                    </wp:positionH>
                    <wp:positionV relativeFrom="page">
                      <wp:posOffset>35169</wp:posOffset>
                    </wp:positionV>
                    <wp:extent cx="6154616" cy="5556739"/>
                    <wp:effectExtent l="0" t="0" r="5080" b="6350"/>
                    <wp:wrapSquare wrapText="bothSides"/>
                    <wp:docPr id="113" name="Caixa de Texto 49"/>
                    <wp:cNvGraphicFramePr/>
                    <a:graphic xmlns:a="http://schemas.openxmlformats.org/drawingml/2006/main">
                      <a:graphicData uri="http://schemas.microsoft.com/office/word/2010/wordprocessingShape">
                        <wps:wsp>
                          <wps:cNvSpPr txBox="1"/>
                          <wps:spPr>
                            <a:xfrm>
                              <a:off x="0" y="0"/>
                              <a:ext cx="6154616" cy="555673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A1E039" w14:textId="23738D02" w:rsidR="00CE4441" w:rsidRPr="007F063E" w:rsidRDefault="00000000" w:rsidP="00CE4441">
                                <w:pPr>
                                  <w:pStyle w:val="SemEspaamento"/>
                                  <w:jc w:val="right"/>
                                  <w:rPr>
                                    <w:rFonts w:ascii="Times New Roman" w:hAnsi="Times New Roman" w:cs="Times New Roman"/>
                                    <w:caps/>
                                    <w:color w:val="0A1D30" w:themeColor="text2" w:themeShade="BF"/>
                                    <w:sz w:val="72"/>
                                    <w:szCs w:val="72"/>
                                  </w:rPr>
                                </w:pPr>
                                <w:sdt>
                                  <w:sdtPr>
                                    <w:rPr>
                                      <w:rFonts w:ascii="Times New Roman" w:hAnsi="Times New Roman" w:cs="Times New Roman"/>
                                      <w:caps/>
                                      <w:color w:val="0A1D30" w:themeColor="text2" w:themeShade="BF"/>
                                      <w:sz w:val="72"/>
                                      <w:szCs w:val="7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C79E1" w:rsidRPr="007F063E">
                                      <w:rPr>
                                        <w:rFonts w:ascii="Times New Roman" w:hAnsi="Times New Roman" w:cs="Times New Roman"/>
                                        <w:caps/>
                                        <w:color w:val="0A1D30" w:themeColor="text2" w:themeShade="BF"/>
                                        <w:sz w:val="72"/>
                                        <w:szCs w:val="72"/>
                                      </w:rPr>
                                      <w:t>Jp Wealth</w:t>
                                    </w:r>
                                    <w:r w:rsidR="007F063E" w:rsidRPr="007F063E">
                                      <w:rPr>
                                        <w:rFonts w:ascii="Times New Roman" w:hAnsi="Times New Roman" w:cs="Times New Roman"/>
                                        <w:caps/>
                                        <w:color w:val="0A1D30" w:themeColor="text2" w:themeShade="BF"/>
                                        <w:sz w:val="72"/>
                                        <w:szCs w:val="72"/>
                                      </w:rPr>
                                      <w:t xml:space="preserve"> PROP FIRM</w:t>
                                    </w:r>
                                  </w:sdtContent>
                                </w:sdt>
                              </w:p>
                              <w:sdt>
                                <w:sdtPr>
                                  <w:rPr>
                                    <w:rFonts w:cs="Times New Roman"/>
                                    <w:smallCaps/>
                                    <w:color w:val="0E2841" w:themeColor="text2"/>
                                    <w:sz w:val="32"/>
                                    <w:szCs w:val="32"/>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887825B" w14:textId="5FE54AC6" w:rsidR="002F13A0" w:rsidRDefault="00186BE8">
                                    <w:pPr>
                                      <w:pStyle w:val="SemEspaamento"/>
                                      <w:jc w:val="right"/>
                                      <w:rPr>
                                        <w:smallCaps/>
                                        <w:color w:val="0E2841" w:themeColor="text2"/>
                                        <w:sz w:val="36"/>
                                        <w:szCs w:val="36"/>
                                      </w:rPr>
                                    </w:pPr>
                                    <w:r>
                                      <w:rPr>
                                        <w:rFonts w:cs="Times New Roman"/>
                                        <w:smallCaps/>
                                        <w:color w:val="0E2841" w:themeColor="text2"/>
                                        <w:sz w:val="32"/>
                                        <w:szCs w:val="32"/>
                                      </w:rPr>
                                      <w:t>Estatuto</w:t>
                                    </w:r>
                                    <w:r w:rsidR="007F7CC5">
                                      <w:rPr>
                                        <w:rFonts w:cs="Times New Roman"/>
                                        <w:smallCaps/>
                                        <w:color w:val="0E2841" w:themeColor="text2"/>
                                        <w:sz w:val="32"/>
                                        <w:szCs w:val="32"/>
                                      </w:rPr>
                                      <w:t xml:space="preserve"> normatizado</w:t>
                                    </w:r>
                                    <w:r>
                                      <w:rPr>
                                        <w:rFonts w:cs="Times New Roman"/>
                                        <w:smallCaps/>
                                        <w:color w:val="0E2841" w:themeColor="text2"/>
                                        <w:sz w:val="32"/>
                                        <w:szCs w:val="32"/>
                                      </w:rPr>
                                      <w:t xml:space="preserve"> para mesas proprietárias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491B0EC" id="_x0000_t202" coordsize="21600,21600" o:spt="202" path="m,l,21600r21600,l21600,xe">
                    <v:stroke joinstyle="miter"/>
                    <v:path gradientshapeok="t" o:connecttype="rect"/>
                  </v:shapetype>
                  <v:shape id="Caixa de Texto 49" o:spid="_x0000_s1026" type="#_x0000_t202" style="position:absolute;margin-left:60.35pt;margin-top:2.75pt;width:484.6pt;height:437.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" filled="f" stroked="f" strokeweight=".5pt">
                    <v:textbox inset="0,0,0,0">
                      <w:txbxContent>
                        <w:p w14:paraId="2AA1E039" w14:textId="23738D02" w:rsidR="00CE4441" w:rsidRPr="007F063E" w:rsidRDefault="00000000" w:rsidP="00CE4441">
                          <w:pPr>
                            <w:pStyle w:val="SemEspaamento"/>
                            <w:jc w:val="right"/>
                            <w:rPr>
                              <w:rFonts w:ascii="Times New Roman" w:hAnsi="Times New Roman" w:cs="Times New Roman"/>
                              <w:caps/>
                              <w:color w:val="0A1D30" w:themeColor="text2" w:themeShade="BF"/>
                              <w:sz w:val="72"/>
                              <w:szCs w:val="72"/>
                            </w:rPr>
                          </w:pPr>
                          <w:sdt>
                            <w:sdtPr>
                              <w:rPr>
                                <w:rFonts w:ascii="Times New Roman" w:hAnsi="Times New Roman" w:cs="Times New Roman"/>
                                <w:caps/>
                                <w:color w:val="0A1D30" w:themeColor="text2" w:themeShade="BF"/>
                                <w:sz w:val="72"/>
                                <w:szCs w:val="7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C79E1" w:rsidRPr="007F063E">
                                <w:rPr>
                                  <w:rFonts w:ascii="Times New Roman" w:hAnsi="Times New Roman" w:cs="Times New Roman"/>
                                  <w:caps/>
                                  <w:color w:val="0A1D30" w:themeColor="text2" w:themeShade="BF"/>
                                  <w:sz w:val="72"/>
                                  <w:szCs w:val="72"/>
                                </w:rPr>
                                <w:t>Jp Wealth</w:t>
                              </w:r>
                              <w:r w:rsidR="007F063E" w:rsidRPr="007F063E">
                                <w:rPr>
                                  <w:rFonts w:ascii="Times New Roman" w:hAnsi="Times New Roman" w:cs="Times New Roman"/>
                                  <w:caps/>
                                  <w:color w:val="0A1D30" w:themeColor="text2" w:themeShade="BF"/>
                                  <w:sz w:val="72"/>
                                  <w:szCs w:val="72"/>
                                </w:rPr>
                                <w:t xml:space="preserve"> PROP FIRM</w:t>
                              </w:r>
                            </w:sdtContent>
                          </w:sdt>
                        </w:p>
                        <w:sdt>
                          <w:sdtPr>
                            <w:rPr>
                              <w:rFonts w:cs="Times New Roman"/>
                              <w:smallCaps/>
                              <w:color w:val="0E2841" w:themeColor="text2"/>
                              <w:sz w:val="32"/>
                              <w:szCs w:val="32"/>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887825B" w14:textId="5FE54AC6" w:rsidR="002F13A0" w:rsidRDefault="00186BE8">
                              <w:pPr>
                                <w:pStyle w:val="SemEspaamento"/>
                                <w:jc w:val="right"/>
                                <w:rPr>
                                  <w:smallCaps/>
                                  <w:color w:val="0E2841" w:themeColor="text2"/>
                                  <w:sz w:val="36"/>
                                  <w:szCs w:val="36"/>
                                </w:rPr>
                              </w:pPr>
                              <w:r>
                                <w:rPr>
                                  <w:rFonts w:cs="Times New Roman"/>
                                  <w:smallCaps/>
                                  <w:color w:val="0E2841" w:themeColor="text2"/>
                                  <w:sz w:val="32"/>
                                  <w:szCs w:val="32"/>
                                </w:rPr>
                                <w:t>Estatuto</w:t>
                              </w:r>
                              <w:r w:rsidR="007F7CC5">
                                <w:rPr>
                                  <w:rFonts w:cs="Times New Roman"/>
                                  <w:smallCaps/>
                                  <w:color w:val="0E2841" w:themeColor="text2"/>
                                  <w:sz w:val="32"/>
                                  <w:szCs w:val="32"/>
                                </w:rPr>
                                <w:t xml:space="preserve"> normatizado</w:t>
                              </w:r>
                              <w:r>
                                <w:rPr>
                                  <w:rFonts w:cs="Times New Roman"/>
                                  <w:smallCaps/>
                                  <w:color w:val="0E2841" w:themeColor="text2"/>
                                  <w:sz w:val="32"/>
                                  <w:szCs w:val="32"/>
                                </w:rPr>
                                <w:t xml:space="preserve"> para mesas proprietárias</w:t>
                              </w:r>
                            </w:p>
                          </w:sdtContent>
                        </w:sdt>
                      </w:txbxContent>
                    </v:textbox>
                    <w10:wrap type="square" anchorx="page" anchory="page"/>
                  </v:shape>
                </w:pict>
              </mc:Fallback>
            </mc:AlternateContent>
          </w:r>
        </w:p>
        <w:p w14:paraId="22AEEAFF" w14:textId="5998BF4F" w:rsidR="002F13A0" w:rsidRDefault="002F13A0">
          <w:r>
            <w:rPr>
              <w:noProof/>
            </w:rPr>
            <mc:AlternateContent>
              <mc:Choice Requires="wps">
                <w:drawing>
                  <wp:anchor distT="0" distB="0" distL="114300" distR="114300" simplePos="0" relativeHeight="251661312" behindDoc="0" locked="0" layoutInCell="1" allowOverlap="1" wp14:anchorId="0CD942BC" wp14:editId="45C3CDB6">
                    <wp:simplePos x="0" y="0"/>
                    <wp:positionH relativeFrom="page">
                      <wp:posOffset>1134110</wp:posOffset>
                    </wp:positionH>
                    <wp:positionV relativeFrom="page">
                      <wp:posOffset>9358923</wp:posOffset>
                    </wp:positionV>
                    <wp:extent cx="5894070" cy="652780"/>
                    <wp:effectExtent l="0" t="0" r="0" b="8255"/>
                    <wp:wrapSquare wrapText="bothSides"/>
                    <wp:docPr id="112" name="Caixa de Texto 47"/>
                    <wp:cNvGraphicFramePr/>
                    <a:graphic xmlns:a="http://schemas.openxmlformats.org/drawingml/2006/main">
                      <a:graphicData uri="http://schemas.microsoft.com/office/word/2010/wordprocessingShape">
                        <wps:wsp>
                          <wps:cNvSpPr txBox="1"/>
                          <wps:spPr>
                            <a:xfrm>
                              <a:off x="0" y="0"/>
                              <a:ext cx="589407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0"/>
                                    <w:szCs w:val="20"/>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0207A83" w14:textId="1068AE35" w:rsidR="002F13A0" w:rsidRDefault="00697D73">
                                    <w:pPr>
                                      <w:pStyle w:val="SemEspaamento"/>
                                      <w:jc w:val="right"/>
                                      <w:rPr>
                                        <w:caps/>
                                        <w:color w:val="262626" w:themeColor="text1" w:themeTint="D9"/>
                                        <w:sz w:val="28"/>
                                        <w:szCs w:val="28"/>
                                      </w:rPr>
                                    </w:pPr>
                                    <w:r w:rsidRPr="00697D73">
                                      <w:rPr>
                                        <w:caps/>
                                        <w:color w:val="262626" w:themeColor="text1" w:themeTint="D9"/>
                                        <w:sz w:val="20"/>
                                        <w:szCs w:val="20"/>
                                      </w:rPr>
                                      <w:t>+55(31) 997832052</w:t>
                                    </w:r>
                                  </w:p>
                                </w:sdtContent>
                              </w:sdt>
                              <w:p w14:paraId="4908A531" w14:textId="717CBD3E" w:rsidR="002F13A0" w:rsidRDefault="00000000">
                                <w:pPr>
                                  <w:pStyle w:val="SemEspaamento"/>
                                  <w:jc w:val="right"/>
                                  <w:rPr>
                                    <w:caps/>
                                    <w:color w:val="262626" w:themeColor="text1" w:themeTint="D9"/>
                                    <w:sz w:val="20"/>
                                    <w:szCs w:val="20"/>
                                  </w:rPr>
                                </w:pPr>
                                <w:sdt>
                                  <w:sdtPr>
                                    <w:rPr>
                                      <w:caps/>
                                      <w:color w:val="262626" w:themeColor="text1" w:themeTint="D9"/>
                                      <w:sz w:val="32"/>
                                      <w:szCs w:val="32"/>
                                    </w:rPr>
                                    <w:alias w:val="Empresa"/>
                                    <w:tag w:val=""/>
                                    <w:id w:val="-661235724"/>
                                    <w:dataBinding w:prefixMappings="xmlns:ns0='http://schemas.openxmlformats.org/officeDocument/2006/extended-properties' " w:xpath="/ns0:Properties[1]/ns0:Company[1]" w:storeItemID="{6668398D-A668-4E3E-A5EB-62B293D839F1}"/>
                                    <w:text/>
                                  </w:sdtPr>
                                  <w:sdtContent>
                                    <w:r w:rsidR="00885E11" w:rsidRPr="00885E11">
                                      <w:rPr>
                                        <w:caps/>
                                        <w:color w:val="262626" w:themeColor="text1" w:themeTint="D9"/>
                                        <w:sz w:val="32"/>
                                        <w:szCs w:val="32"/>
                                      </w:rPr>
                                      <w:t>JOÃO P. CIRQUEIRA</w:t>
                                    </w:r>
                                  </w:sdtContent>
                                </w:sdt>
                              </w:p>
                              <w:p w14:paraId="6BB62C14" w14:textId="2D8E0929" w:rsidR="002F13A0" w:rsidRDefault="00000000">
                                <w:pPr>
                                  <w:pStyle w:val="SemEspaamento"/>
                                  <w:jc w:val="right"/>
                                  <w:rPr>
                                    <w:caps/>
                                    <w:color w:val="262626" w:themeColor="text1" w:themeTint="D9"/>
                                    <w:sz w:val="20"/>
                                    <w:szCs w:val="20"/>
                                  </w:rPr>
                                </w:pPr>
                                <w:sdt>
                                  <w:sdtPr>
                                    <w:rPr>
                                      <w:color w:val="262626" w:themeColor="text1" w:themeTint="D9"/>
                                      <w:sz w:val="20"/>
                                      <w:szCs w:val="20"/>
                                    </w:rPr>
                                    <w:alias w:val="Endereço"/>
                                    <w:tag w:val=""/>
                                    <w:id w:val="171227497"/>
                                    <w:showingPlcHdr/>
                                    <w:dataBinding w:prefixMappings="xmlns:ns0='http://schemas.microsoft.com/office/2006/coverPageProps' " w:xpath="/ns0:CoverPageProperties[1]/ns0:CompanyAddress[1]" w:storeItemID="{55AF091B-3C7A-41E3-B477-F2FDAA23CFDA}"/>
                                    <w:text/>
                                  </w:sdtPr>
                                  <w:sdtContent>
                                    <w:r w:rsidR="000573EF">
                                      <w:rPr>
                                        <w:color w:val="262626" w:themeColor="text1" w:themeTint="D9"/>
                                        <w:sz w:val="20"/>
                                        <w:szCs w:val="20"/>
                                      </w:rPr>
                                      <w:t xml:space="preserve">     </w:t>
                                    </w:r>
                                  </w:sdtContent>
                                </w:sdt>
                                <w:r w:rsidR="002F13A0">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8000</wp14:pctHeight>
                    </wp14:sizeRelV>
                  </wp:anchor>
                </w:drawing>
              </mc:Choice>
              <mc:Fallback>
                <w:pict>
                  <v:shape w14:anchorId="0CD942BC" id="Caixa de Texto 47" o:spid="_x0000_s1027" type="#_x0000_t202" style="position:absolute;margin-left:89.3pt;margin-top:736.9pt;width:464.1pt;height:51.4pt;z-index:251661312;visibility:visible;mso-wrap-style:square;mso-width-percent:0;mso-height-percent:80;mso-wrap-distance-left:9pt;mso-wrap-distance-top:0;mso-wrap-distance-right:9pt;mso-wrap-distance-bottom:0;mso-position-horizontal:absolute;mso-position-horizontal-relative:page;mso-position-vertical:absolute;mso-position-vertical-relative:page;mso-width-percent:0;mso-height-percent:8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" filled="f" stroked="f" strokeweight=".5pt">
                    <v:textbox inset="0,0,0,0">
                      <w:txbxContent>
                        <w:sdt>
                          <w:sdtPr>
                            <w:rPr>
                              <w:caps/>
                              <w:color w:val="262626" w:themeColor="text1" w:themeTint="D9"/>
                              <w:sz w:val="20"/>
                              <w:szCs w:val="20"/>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0207A83" w14:textId="1068AE35" w:rsidR="002F13A0" w:rsidRDefault="00697D73">
                              <w:pPr>
                                <w:pStyle w:val="SemEspaamento"/>
                                <w:jc w:val="right"/>
                                <w:rPr>
                                  <w:caps/>
                                  <w:color w:val="262626" w:themeColor="text1" w:themeTint="D9"/>
                                  <w:sz w:val="28"/>
                                  <w:szCs w:val="28"/>
                                </w:rPr>
                              </w:pPr>
                              <w:r w:rsidRPr="00697D73">
                                <w:rPr>
                                  <w:caps/>
                                  <w:color w:val="262626" w:themeColor="text1" w:themeTint="D9"/>
                                  <w:sz w:val="20"/>
                                  <w:szCs w:val="20"/>
                                </w:rPr>
                                <w:t>+55(31) 997832052</w:t>
                              </w:r>
                            </w:p>
                          </w:sdtContent>
                        </w:sdt>
                        <w:p w14:paraId="4908A531" w14:textId="717CBD3E" w:rsidR="002F13A0" w:rsidRDefault="00000000">
                          <w:pPr>
                            <w:pStyle w:val="SemEspaamento"/>
                            <w:jc w:val="right"/>
                            <w:rPr>
                              <w:caps/>
                              <w:color w:val="262626" w:themeColor="text1" w:themeTint="D9"/>
                              <w:sz w:val="20"/>
                              <w:szCs w:val="20"/>
                            </w:rPr>
                          </w:pPr>
                          <w:sdt>
                            <w:sdtPr>
                              <w:rPr>
                                <w:caps/>
                                <w:color w:val="262626" w:themeColor="text1" w:themeTint="D9"/>
                                <w:sz w:val="32"/>
                                <w:szCs w:val="32"/>
                              </w:rPr>
                              <w:alias w:val="Empresa"/>
                              <w:tag w:val=""/>
                              <w:id w:val="-661235724"/>
                              <w:dataBinding w:prefixMappings="xmlns:ns0='http://schemas.openxmlformats.org/officeDocument/2006/extended-properties' " w:xpath="/ns0:Properties[1]/ns0:Company[1]" w:storeItemID="{6668398D-A668-4E3E-A5EB-62B293D839F1}"/>
                              <w:text/>
                            </w:sdtPr>
                            <w:sdtContent>
                              <w:r w:rsidR="00885E11" w:rsidRPr="00885E11">
                                <w:rPr>
                                  <w:caps/>
                                  <w:color w:val="262626" w:themeColor="text1" w:themeTint="D9"/>
                                  <w:sz w:val="32"/>
                                  <w:szCs w:val="32"/>
                                </w:rPr>
                                <w:t>JOÃO P. CIRQUEIRA</w:t>
                              </w:r>
                            </w:sdtContent>
                          </w:sdt>
                        </w:p>
                        <w:p w14:paraId="6BB62C14" w14:textId="2D8E0929" w:rsidR="002F13A0" w:rsidRDefault="00000000">
                          <w:pPr>
                            <w:pStyle w:val="SemEspaamento"/>
                            <w:jc w:val="right"/>
                            <w:rPr>
                              <w:caps/>
                              <w:color w:val="262626" w:themeColor="text1" w:themeTint="D9"/>
                              <w:sz w:val="20"/>
                              <w:szCs w:val="20"/>
                            </w:rPr>
                          </w:pPr>
                          <w:sdt>
                            <w:sdtPr>
                              <w:rPr>
                                <w:color w:val="262626" w:themeColor="text1" w:themeTint="D9"/>
                                <w:sz w:val="20"/>
                                <w:szCs w:val="20"/>
                              </w:rPr>
                              <w:alias w:val="Endereço"/>
                              <w:tag w:val=""/>
                              <w:id w:val="171227497"/>
                              <w:showingPlcHdr/>
                              <w:dataBinding w:prefixMappings="xmlns:ns0='http://schemas.microsoft.com/office/2006/coverPageProps' " w:xpath="/ns0:CoverPageProperties[1]/ns0:CompanyAddress[1]" w:storeItemID="{55AF091B-3C7A-41E3-B477-F2FDAA23CFDA}"/>
                              <w:text/>
                            </w:sdtPr>
                            <w:sdtContent>
                              <w:r w:rsidR="000573EF">
                                <w:rPr>
                                  <w:color w:val="262626" w:themeColor="text1" w:themeTint="D9"/>
                                  <w:sz w:val="20"/>
                                  <w:szCs w:val="20"/>
                                </w:rPr>
                                <w:t xml:space="preserve">     </w:t>
                              </w:r>
                            </w:sdtContent>
                          </w:sdt>
                          <w:r w:rsidR="002F13A0">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56CB3F1A" wp14:editId="4E40B325">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tâ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tâ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B6CBA2C" id="Grupo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">
                    <v:rect id="Retângulo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" fillcolor="#e97132 [3205]" stroked="f" strokeweight="1.5pt"/>
                    <v:rect id="Retângulo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" fillcolor="#156082 [3204]" stroked="f" strokeweight="1.5pt">
                      <o:lock v:ext="edit" aspectratio="t"/>
                    </v:rect>
                    <w10:wrap anchorx="page" anchory="page"/>
                  </v:group>
                </w:pict>
              </mc:Fallback>
            </mc:AlternateContent>
          </w:r>
          <w:r>
            <w:rPr>
              <w:b/>
            </w:rPr>
            <w:br w:type="page"/>
          </w:r>
        </w:p>
      </w:sdtContent>
    </w:sdt>
    <w:sdt>
      <w:sdtPr>
        <w:rPr>
          <w:rFonts w:ascii="Times New Roman" w:eastAsiaTheme="minorHAnsi" w:hAnsi="Times New Roman" w:cstheme="minorBidi"/>
          <w:b w:val="0"/>
          <w:bCs w:val="0"/>
          <w:color w:val="auto"/>
          <w:kern w:val="2"/>
          <w:sz w:val="15"/>
          <w:szCs w:val="24"/>
          <w:lang w:eastAsia="en-US"/>
          <w14:ligatures w14:val="standardContextual"/>
        </w:rPr>
        <w:id w:val="1102221672"/>
        <w:docPartObj>
          <w:docPartGallery w:val="Table of Contents"/>
          <w:docPartUnique/>
        </w:docPartObj>
      </w:sdtPr>
      <w:sdtEndPr>
        <w:rPr>
          <w:noProof/>
        </w:rPr>
      </w:sdtEndPr>
      <w:sdtContent>
        <w:p w14:paraId="426FEF17" w14:textId="50D1EF61" w:rsidR="00584898" w:rsidRDefault="00584898">
          <w:pPr>
            <w:pStyle w:val="CabealhodoSumrio"/>
          </w:pPr>
          <w:r>
            <w:t>Sumário</w:t>
          </w:r>
        </w:p>
        <w:p w14:paraId="519B7DF4" w14:textId="18231881" w:rsidR="00BD7EA2" w:rsidRDefault="00584898">
          <w:pPr>
            <w:pStyle w:val="Sumrio2"/>
            <w:tabs>
              <w:tab w:val="right" w:leader="dot" w:pos="8494"/>
            </w:tabs>
            <w:rPr>
              <w:rFonts w:eastAsiaTheme="minorEastAsia"/>
              <w:b w:val="0"/>
              <w:bCs w:val="0"/>
              <w:noProof/>
              <w:sz w:val="24"/>
              <w:szCs w:val="24"/>
              <w:lang w:eastAsia="pt-BR"/>
            </w:rPr>
          </w:pPr>
          <w:r>
            <w:rPr>
              <w:b w:val="0"/>
              <w:bCs w:val="0"/>
            </w:rPr>
            <w:fldChar w:fldCharType="begin"/>
          </w:r>
          <w:r>
            <w:instrText>TOC \o "1-3" \h \z \u</w:instrText>
          </w:r>
          <w:r>
            <w:rPr>
              <w:b w:val="0"/>
              <w:bCs w:val="0"/>
            </w:rPr>
            <w:fldChar w:fldCharType="separate"/>
          </w:r>
          <w:hyperlink w:anchor="_Toc203640844" w:history="1">
            <w:r w:rsidR="00BD7EA2" w:rsidRPr="00841940">
              <w:rPr>
                <w:rStyle w:val="Hyperlink"/>
                <w:rFonts w:cs="Times New Roman"/>
                <w:noProof/>
              </w:rPr>
              <w:t>Modelo de gestão Jp Wealth para Prop Firm</w:t>
            </w:r>
            <w:r w:rsidR="00BD7EA2">
              <w:rPr>
                <w:noProof/>
                <w:webHidden/>
              </w:rPr>
              <w:tab/>
            </w:r>
            <w:r w:rsidR="00BD7EA2">
              <w:rPr>
                <w:noProof/>
                <w:webHidden/>
              </w:rPr>
              <w:fldChar w:fldCharType="begin"/>
            </w:r>
            <w:r w:rsidR="00BD7EA2">
              <w:rPr>
                <w:noProof/>
                <w:webHidden/>
              </w:rPr>
              <w:instrText xml:space="preserve"> PAGEREF _Toc203640844 \h </w:instrText>
            </w:r>
            <w:r w:rsidR="00BD7EA2">
              <w:rPr>
                <w:noProof/>
                <w:webHidden/>
              </w:rPr>
            </w:r>
            <w:r w:rsidR="00BD7EA2">
              <w:rPr>
                <w:noProof/>
                <w:webHidden/>
              </w:rPr>
              <w:fldChar w:fldCharType="separate"/>
            </w:r>
            <w:r w:rsidR="00402FC0">
              <w:rPr>
                <w:noProof/>
                <w:webHidden/>
              </w:rPr>
              <w:t>2</w:t>
            </w:r>
            <w:r w:rsidR="00BD7EA2">
              <w:rPr>
                <w:noProof/>
                <w:webHidden/>
              </w:rPr>
              <w:fldChar w:fldCharType="end"/>
            </w:r>
          </w:hyperlink>
        </w:p>
        <w:p w14:paraId="553BD115" w14:textId="1837012F" w:rsidR="00BD7EA2" w:rsidRDefault="00BD7EA2">
          <w:pPr>
            <w:pStyle w:val="Sumrio3"/>
            <w:tabs>
              <w:tab w:val="right" w:leader="dot" w:pos="8494"/>
            </w:tabs>
            <w:rPr>
              <w:rFonts w:eastAsiaTheme="minorEastAsia"/>
              <w:noProof/>
              <w:sz w:val="24"/>
              <w:szCs w:val="24"/>
              <w:lang w:eastAsia="pt-BR"/>
            </w:rPr>
          </w:pPr>
          <w:hyperlink w:anchor="_Toc203640845" w:history="1">
            <w:r w:rsidRPr="00841940">
              <w:rPr>
                <w:rStyle w:val="Hyperlink"/>
                <w:noProof/>
              </w:rPr>
              <w:t>Introdução</w:t>
            </w:r>
            <w:r>
              <w:rPr>
                <w:noProof/>
                <w:webHidden/>
              </w:rPr>
              <w:tab/>
            </w:r>
            <w:r>
              <w:rPr>
                <w:noProof/>
                <w:webHidden/>
              </w:rPr>
              <w:fldChar w:fldCharType="begin"/>
            </w:r>
            <w:r>
              <w:rPr>
                <w:noProof/>
                <w:webHidden/>
              </w:rPr>
              <w:instrText xml:space="preserve"> PAGEREF _Toc203640845 \h </w:instrText>
            </w:r>
            <w:r>
              <w:rPr>
                <w:noProof/>
                <w:webHidden/>
              </w:rPr>
            </w:r>
            <w:r>
              <w:rPr>
                <w:noProof/>
                <w:webHidden/>
              </w:rPr>
              <w:fldChar w:fldCharType="separate"/>
            </w:r>
            <w:r w:rsidR="00402FC0">
              <w:rPr>
                <w:noProof/>
                <w:webHidden/>
              </w:rPr>
              <w:t>2</w:t>
            </w:r>
            <w:r>
              <w:rPr>
                <w:noProof/>
                <w:webHidden/>
              </w:rPr>
              <w:fldChar w:fldCharType="end"/>
            </w:r>
          </w:hyperlink>
        </w:p>
        <w:p w14:paraId="72D0EB7E" w14:textId="3DFE7B6E" w:rsidR="00BD7EA2" w:rsidRDefault="00BD7EA2">
          <w:pPr>
            <w:pStyle w:val="Sumrio2"/>
            <w:tabs>
              <w:tab w:val="right" w:leader="dot" w:pos="8494"/>
            </w:tabs>
            <w:rPr>
              <w:rFonts w:eastAsiaTheme="minorEastAsia"/>
              <w:b w:val="0"/>
              <w:bCs w:val="0"/>
              <w:noProof/>
              <w:sz w:val="24"/>
              <w:szCs w:val="24"/>
              <w:lang w:eastAsia="pt-BR"/>
            </w:rPr>
          </w:pPr>
          <w:hyperlink w:anchor="_Toc203640846" w:history="1">
            <w:r w:rsidRPr="00841940">
              <w:rPr>
                <w:rStyle w:val="Hyperlink"/>
                <w:noProof/>
              </w:rPr>
              <w:t>Regras das Mesas Proprietárias</w:t>
            </w:r>
            <w:r>
              <w:rPr>
                <w:noProof/>
                <w:webHidden/>
              </w:rPr>
              <w:tab/>
            </w:r>
            <w:r>
              <w:rPr>
                <w:noProof/>
                <w:webHidden/>
              </w:rPr>
              <w:fldChar w:fldCharType="begin"/>
            </w:r>
            <w:r>
              <w:rPr>
                <w:noProof/>
                <w:webHidden/>
              </w:rPr>
              <w:instrText xml:space="preserve"> PAGEREF _Toc203640846 \h </w:instrText>
            </w:r>
            <w:r>
              <w:rPr>
                <w:noProof/>
                <w:webHidden/>
              </w:rPr>
            </w:r>
            <w:r>
              <w:rPr>
                <w:noProof/>
                <w:webHidden/>
              </w:rPr>
              <w:fldChar w:fldCharType="separate"/>
            </w:r>
            <w:r w:rsidR="00402FC0">
              <w:rPr>
                <w:noProof/>
                <w:webHidden/>
              </w:rPr>
              <w:t>2</w:t>
            </w:r>
            <w:r>
              <w:rPr>
                <w:noProof/>
                <w:webHidden/>
              </w:rPr>
              <w:fldChar w:fldCharType="end"/>
            </w:r>
          </w:hyperlink>
        </w:p>
        <w:p w14:paraId="53E72AF2" w14:textId="1FDB977F" w:rsidR="00BD7EA2" w:rsidRDefault="00BD7EA2">
          <w:pPr>
            <w:pStyle w:val="Sumrio2"/>
            <w:tabs>
              <w:tab w:val="right" w:leader="dot" w:pos="8494"/>
            </w:tabs>
            <w:rPr>
              <w:rFonts w:eastAsiaTheme="minorEastAsia"/>
              <w:b w:val="0"/>
              <w:bCs w:val="0"/>
              <w:noProof/>
              <w:sz w:val="24"/>
              <w:szCs w:val="24"/>
              <w:lang w:eastAsia="pt-BR"/>
            </w:rPr>
          </w:pPr>
          <w:hyperlink w:anchor="_Toc203640847" w:history="1">
            <w:r w:rsidRPr="00841940">
              <w:rPr>
                <w:rStyle w:val="Hyperlink"/>
                <w:noProof/>
              </w:rPr>
              <w:t>Diferenças Estruturais</w:t>
            </w:r>
            <w:r>
              <w:rPr>
                <w:noProof/>
                <w:webHidden/>
              </w:rPr>
              <w:tab/>
            </w:r>
            <w:r>
              <w:rPr>
                <w:noProof/>
                <w:webHidden/>
              </w:rPr>
              <w:fldChar w:fldCharType="begin"/>
            </w:r>
            <w:r>
              <w:rPr>
                <w:noProof/>
                <w:webHidden/>
              </w:rPr>
              <w:instrText xml:space="preserve"> PAGEREF _Toc203640847 \h </w:instrText>
            </w:r>
            <w:r>
              <w:rPr>
                <w:noProof/>
                <w:webHidden/>
              </w:rPr>
            </w:r>
            <w:r>
              <w:rPr>
                <w:noProof/>
                <w:webHidden/>
              </w:rPr>
              <w:fldChar w:fldCharType="separate"/>
            </w:r>
            <w:r w:rsidR="00402FC0">
              <w:rPr>
                <w:noProof/>
                <w:webHidden/>
              </w:rPr>
              <w:t>3</w:t>
            </w:r>
            <w:r>
              <w:rPr>
                <w:noProof/>
                <w:webHidden/>
              </w:rPr>
              <w:fldChar w:fldCharType="end"/>
            </w:r>
          </w:hyperlink>
        </w:p>
        <w:p w14:paraId="66676E96" w14:textId="769113DC" w:rsidR="00BD7EA2" w:rsidRDefault="00BD7EA2">
          <w:pPr>
            <w:pStyle w:val="Sumrio2"/>
            <w:tabs>
              <w:tab w:val="right" w:leader="dot" w:pos="8494"/>
            </w:tabs>
            <w:rPr>
              <w:rFonts w:eastAsiaTheme="minorEastAsia"/>
              <w:b w:val="0"/>
              <w:bCs w:val="0"/>
              <w:noProof/>
              <w:sz w:val="24"/>
              <w:szCs w:val="24"/>
              <w:lang w:eastAsia="pt-BR"/>
            </w:rPr>
          </w:pPr>
          <w:hyperlink w:anchor="_Toc203640848" w:history="1">
            <w:r w:rsidRPr="00841940">
              <w:rPr>
                <w:rStyle w:val="Hyperlink"/>
                <w:noProof/>
              </w:rPr>
              <w:t>Desafios e Adaptações</w:t>
            </w:r>
            <w:r>
              <w:rPr>
                <w:noProof/>
                <w:webHidden/>
              </w:rPr>
              <w:tab/>
            </w:r>
            <w:r>
              <w:rPr>
                <w:noProof/>
                <w:webHidden/>
              </w:rPr>
              <w:fldChar w:fldCharType="begin"/>
            </w:r>
            <w:r>
              <w:rPr>
                <w:noProof/>
                <w:webHidden/>
              </w:rPr>
              <w:instrText xml:space="preserve"> PAGEREF _Toc203640848 \h </w:instrText>
            </w:r>
            <w:r>
              <w:rPr>
                <w:noProof/>
                <w:webHidden/>
              </w:rPr>
            </w:r>
            <w:r>
              <w:rPr>
                <w:noProof/>
                <w:webHidden/>
              </w:rPr>
              <w:fldChar w:fldCharType="separate"/>
            </w:r>
            <w:r w:rsidR="00402FC0">
              <w:rPr>
                <w:noProof/>
                <w:webHidden/>
              </w:rPr>
              <w:t>3</w:t>
            </w:r>
            <w:r>
              <w:rPr>
                <w:noProof/>
                <w:webHidden/>
              </w:rPr>
              <w:fldChar w:fldCharType="end"/>
            </w:r>
          </w:hyperlink>
        </w:p>
        <w:p w14:paraId="290A672E" w14:textId="2B5BB934" w:rsidR="00BD7EA2" w:rsidRDefault="00BD7EA2">
          <w:pPr>
            <w:pStyle w:val="Sumrio3"/>
            <w:tabs>
              <w:tab w:val="right" w:leader="dot" w:pos="8494"/>
            </w:tabs>
            <w:rPr>
              <w:rFonts w:eastAsiaTheme="minorEastAsia"/>
              <w:noProof/>
              <w:sz w:val="24"/>
              <w:szCs w:val="24"/>
              <w:lang w:eastAsia="pt-BR"/>
            </w:rPr>
          </w:pPr>
          <w:hyperlink w:anchor="_Toc203640849" w:history="1">
            <w:r w:rsidRPr="00841940">
              <w:rPr>
                <w:rStyle w:val="Hyperlink"/>
                <w:noProof/>
              </w:rPr>
              <w:t>Maturação do Trade</w:t>
            </w:r>
            <w:r>
              <w:rPr>
                <w:noProof/>
                <w:webHidden/>
              </w:rPr>
              <w:tab/>
            </w:r>
            <w:r>
              <w:rPr>
                <w:noProof/>
                <w:webHidden/>
              </w:rPr>
              <w:fldChar w:fldCharType="begin"/>
            </w:r>
            <w:r>
              <w:rPr>
                <w:noProof/>
                <w:webHidden/>
              </w:rPr>
              <w:instrText xml:space="preserve"> PAGEREF _Toc203640849 \h </w:instrText>
            </w:r>
            <w:r>
              <w:rPr>
                <w:noProof/>
                <w:webHidden/>
              </w:rPr>
            </w:r>
            <w:r>
              <w:rPr>
                <w:noProof/>
                <w:webHidden/>
              </w:rPr>
              <w:fldChar w:fldCharType="separate"/>
            </w:r>
            <w:r w:rsidR="00402FC0">
              <w:rPr>
                <w:noProof/>
                <w:webHidden/>
              </w:rPr>
              <w:t>3</w:t>
            </w:r>
            <w:r>
              <w:rPr>
                <w:noProof/>
                <w:webHidden/>
              </w:rPr>
              <w:fldChar w:fldCharType="end"/>
            </w:r>
          </w:hyperlink>
        </w:p>
        <w:p w14:paraId="0F251EC3" w14:textId="4A6BDA2F" w:rsidR="00BD7EA2" w:rsidRDefault="00BD7EA2">
          <w:pPr>
            <w:pStyle w:val="Sumrio3"/>
            <w:tabs>
              <w:tab w:val="right" w:leader="dot" w:pos="8494"/>
            </w:tabs>
            <w:rPr>
              <w:rFonts w:eastAsiaTheme="minorEastAsia"/>
              <w:noProof/>
              <w:sz w:val="24"/>
              <w:szCs w:val="24"/>
              <w:lang w:eastAsia="pt-BR"/>
            </w:rPr>
          </w:pPr>
          <w:hyperlink w:anchor="_Toc203640850" w:history="1">
            <w:r w:rsidRPr="00841940">
              <w:rPr>
                <w:rStyle w:val="Hyperlink"/>
                <w:noProof/>
              </w:rPr>
              <w:t>Resincronização</w:t>
            </w:r>
            <w:r>
              <w:rPr>
                <w:noProof/>
                <w:webHidden/>
              </w:rPr>
              <w:tab/>
            </w:r>
            <w:r>
              <w:rPr>
                <w:noProof/>
                <w:webHidden/>
              </w:rPr>
              <w:fldChar w:fldCharType="begin"/>
            </w:r>
            <w:r>
              <w:rPr>
                <w:noProof/>
                <w:webHidden/>
              </w:rPr>
              <w:instrText xml:space="preserve"> PAGEREF _Toc203640850 \h </w:instrText>
            </w:r>
            <w:r>
              <w:rPr>
                <w:noProof/>
                <w:webHidden/>
              </w:rPr>
            </w:r>
            <w:r>
              <w:rPr>
                <w:noProof/>
                <w:webHidden/>
              </w:rPr>
              <w:fldChar w:fldCharType="separate"/>
            </w:r>
            <w:r w:rsidR="00402FC0">
              <w:rPr>
                <w:noProof/>
                <w:webHidden/>
              </w:rPr>
              <w:t>3</w:t>
            </w:r>
            <w:r>
              <w:rPr>
                <w:noProof/>
                <w:webHidden/>
              </w:rPr>
              <w:fldChar w:fldCharType="end"/>
            </w:r>
          </w:hyperlink>
        </w:p>
        <w:p w14:paraId="1E19EA85" w14:textId="1B6E8ED6" w:rsidR="00BD7EA2" w:rsidRDefault="00BD7EA2">
          <w:pPr>
            <w:pStyle w:val="Sumrio3"/>
            <w:tabs>
              <w:tab w:val="right" w:leader="dot" w:pos="8494"/>
            </w:tabs>
            <w:rPr>
              <w:rFonts w:eastAsiaTheme="minorEastAsia"/>
              <w:noProof/>
              <w:sz w:val="24"/>
              <w:szCs w:val="24"/>
              <w:lang w:eastAsia="pt-BR"/>
            </w:rPr>
          </w:pPr>
          <w:hyperlink w:anchor="_Toc203640851" w:history="1">
            <w:r w:rsidRPr="00841940">
              <w:rPr>
                <w:rStyle w:val="Hyperlink"/>
                <w:noProof/>
              </w:rPr>
              <w:t>Múltiplas Operações</w:t>
            </w:r>
            <w:r>
              <w:rPr>
                <w:noProof/>
                <w:webHidden/>
              </w:rPr>
              <w:tab/>
            </w:r>
            <w:r>
              <w:rPr>
                <w:noProof/>
                <w:webHidden/>
              </w:rPr>
              <w:fldChar w:fldCharType="begin"/>
            </w:r>
            <w:r>
              <w:rPr>
                <w:noProof/>
                <w:webHidden/>
              </w:rPr>
              <w:instrText xml:space="preserve"> PAGEREF _Toc203640851 \h </w:instrText>
            </w:r>
            <w:r>
              <w:rPr>
                <w:noProof/>
                <w:webHidden/>
              </w:rPr>
            </w:r>
            <w:r>
              <w:rPr>
                <w:noProof/>
                <w:webHidden/>
              </w:rPr>
              <w:fldChar w:fldCharType="separate"/>
            </w:r>
            <w:r w:rsidR="00402FC0">
              <w:rPr>
                <w:noProof/>
                <w:webHidden/>
              </w:rPr>
              <w:t>4</w:t>
            </w:r>
            <w:r>
              <w:rPr>
                <w:noProof/>
                <w:webHidden/>
              </w:rPr>
              <w:fldChar w:fldCharType="end"/>
            </w:r>
          </w:hyperlink>
        </w:p>
        <w:p w14:paraId="6346B553" w14:textId="3B2BBA27" w:rsidR="00BD7EA2" w:rsidRDefault="00BD7EA2">
          <w:pPr>
            <w:pStyle w:val="Sumrio3"/>
            <w:tabs>
              <w:tab w:val="right" w:leader="dot" w:pos="8494"/>
            </w:tabs>
            <w:rPr>
              <w:rFonts w:eastAsiaTheme="minorEastAsia"/>
              <w:noProof/>
              <w:sz w:val="24"/>
              <w:szCs w:val="24"/>
              <w:lang w:eastAsia="pt-BR"/>
            </w:rPr>
          </w:pPr>
          <w:hyperlink w:anchor="_Toc203640852" w:history="1">
            <w:r w:rsidRPr="00841940">
              <w:rPr>
                <w:rStyle w:val="Hyperlink"/>
                <w:noProof/>
                <w:lang w:eastAsia="pt-BR"/>
              </w:rPr>
              <w:t>Lucro Atenua o Risco</w:t>
            </w:r>
            <w:r>
              <w:rPr>
                <w:noProof/>
                <w:webHidden/>
              </w:rPr>
              <w:tab/>
            </w:r>
            <w:r>
              <w:rPr>
                <w:noProof/>
                <w:webHidden/>
              </w:rPr>
              <w:fldChar w:fldCharType="begin"/>
            </w:r>
            <w:r>
              <w:rPr>
                <w:noProof/>
                <w:webHidden/>
              </w:rPr>
              <w:instrText xml:space="preserve"> PAGEREF _Toc203640852 \h </w:instrText>
            </w:r>
            <w:r>
              <w:rPr>
                <w:noProof/>
                <w:webHidden/>
              </w:rPr>
            </w:r>
            <w:r>
              <w:rPr>
                <w:noProof/>
                <w:webHidden/>
              </w:rPr>
              <w:fldChar w:fldCharType="separate"/>
            </w:r>
            <w:r w:rsidR="00402FC0">
              <w:rPr>
                <w:noProof/>
                <w:webHidden/>
              </w:rPr>
              <w:t>4</w:t>
            </w:r>
            <w:r>
              <w:rPr>
                <w:noProof/>
                <w:webHidden/>
              </w:rPr>
              <w:fldChar w:fldCharType="end"/>
            </w:r>
          </w:hyperlink>
        </w:p>
        <w:p w14:paraId="2AA71628" w14:textId="3AB714BA" w:rsidR="00BD7EA2" w:rsidRDefault="00BD7EA2">
          <w:pPr>
            <w:pStyle w:val="Sumrio3"/>
            <w:tabs>
              <w:tab w:val="right" w:leader="dot" w:pos="8494"/>
            </w:tabs>
            <w:rPr>
              <w:rFonts w:eastAsiaTheme="minorEastAsia"/>
              <w:noProof/>
              <w:sz w:val="24"/>
              <w:szCs w:val="24"/>
              <w:lang w:eastAsia="pt-BR"/>
            </w:rPr>
          </w:pPr>
          <w:hyperlink w:anchor="_Toc203640853" w:history="1">
            <w:r w:rsidRPr="00841940">
              <w:rPr>
                <w:rStyle w:val="Hyperlink"/>
                <w:noProof/>
              </w:rPr>
              <w:t>Daily Loss e Monitoramento</w:t>
            </w:r>
            <w:r>
              <w:rPr>
                <w:noProof/>
                <w:webHidden/>
              </w:rPr>
              <w:tab/>
            </w:r>
            <w:r>
              <w:rPr>
                <w:noProof/>
                <w:webHidden/>
              </w:rPr>
              <w:fldChar w:fldCharType="begin"/>
            </w:r>
            <w:r>
              <w:rPr>
                <w:noProof/>
                <w:webHidden/>
              </w:rPr>
              <w:instrText xml:space="preserve"> PAGEREF _Toc203640853 \h </w:instrText>
            </w:r>
            <w:r>
              <w:rPr>
                <w:noProof/>
                <w:webHidden/>
              </w:rPr>
            </w:r>
            <w:r>
              <w:rPr>
                <w:noProof/>
                <w:webHidden/>
              </w:rPr>
              <w:fldChar w:fldCharType="separate"/>
            </w:r>
            <w:r w:rsidR="00402FC0">
              <w:rPr>
                <w:noProof/>
                <w:webHidden/>
              </w:rPr>
              <w:t>4</w:t>
            </w:r>
            <w:r>
              <w:rPr>
                <w:noProof/>
                <w:webHidden/>
              </w:rPr>
              <w:fldChar w:fldCharType="end"/>
            </w:r>
          </w:hyperlink>
        </w:p>
        <w:p w14:paraId="6709D0AC" w14:textId="336D7BFE" w:rsidR="00BD7EA2" w:rsidRDefault="00BD7EA2">
          <w:pPr>
            <w:pStyle w:val="Sumrio3"/>
            <w:tabs>
              <w:tab w:val="right" w:leader="dot" w:pos="8494"/>
            </w:tabs>
            <w:rPr>
              <w:rFonts w:eastAsiaTheme="minorEastAsia"/>
              <w:noProof/>
              <w:sz w:val="24"/>
              <w:szCs w:val="24"/>
              <w:lang w:eastAsia="pt-BR"/>
            </w:rPr>
          </w:pPr>
          <w:hyperlink w:anchor="_Toc203640854" w:history="1">
            <w:r w:rsidRPr="00841940">
              <w:rPr>
                <w:rStyle w:val="Hyperlink"/>
                <w:noProof/>
              </w:rPr>
              <w:t>Fator de Correção:</w:t>
            </w:r>
            <w:r>
              <w:rPr>
                <w:noProof/>
                <w:webHidden/>
              </w:rPr>
              <w:tab/>
            </w:r>
            <w:r>
              <w:rPr>
                <w:noProof/>
                <w:webHidden/>
              </w:rPr>
              <w:fldChar w:fldCharType="begin"/>
            </w:r>
            <w:r>
              <w:rPr>
                <w:noProof/>
                <w:webHidden/>
              </w:rPr>
              <w:instrText xml:space="preserve"> PAGEREF _Toc203640854 \h </w:instrText>
            </w:r>
            <w:r>
              <w:rPr>
                <w:noProof/>
                <w:webHidden/>
              </w:rPr>
            </w:r>
            <w:r>
              <w:rPr>
                <w:noProof/>
                <w:webHidden/>
              </w:rPr>
              <w:fldChar w:fldCharType="separate"/>
            </w:r>
            <w:r w:rsidR="00402FC0">
              <w:rPr>
                <w:noProof/>
                <w:webHidden/>
              </w:rPr>
              <w:t>4</w:t>
            </w:r>
            <w:r>
              <w:rPr>
                <w:noProof/>
                <w:webHidden/>
              </w:rPr>
              <w:fldChar w:fldCharType="end"/>
            </w:r>
          </w:hyperlink>
        </w:p>
        <w:p w14:paraId="7E975602" w14:textId="00F4AE8B" w:rsidR="00BD7EA2" w:rsidRDefault="00BD7EA2">
          <w:pPr>
            <w:pStyle w:val="Sumrio2"/>
            <w:tabs>
              <w:tab w:val="right" w:leader="dot" w:pos="8494"/>
            </w:tabs>
            <w:rPr>
              <w:rFonts w:eastAsiaTheme="minorEastAsia"/>
              <w:b w:val="0"/>
              <w:bCs w:val="0"/>
              <w:noProof/>
              <w:sz w:val="24"/>
              <w:szCs w:val="24"/>
              <w:lang w:eastAsia="pt-BR"/>
            </w:rPr>
          </w:pPr>
          <w:hyperlink w:anchor="_Toc203640855" w:history="1">
            <w:r w:rsidRPr="00841940">
              <w:rPr>
                <w:rStyle w:val="Hyperlink"/>
                <w:noProof/>
              </w:rPr>
              <w:t>Perfis de Risco na Prop Firm</w:t>
            </w:r>
            <w:r>
              <w:rPr>
                <w:noProof/>
                <w:webHidden/>
              </w:rPr>
              <w:tab/>
            </w:r>
            <w:r>
              <w:rPr>
                <w:noProof/>
                <w:webHidden/>
              </w:rPr>
              <w:fldChar w:fldCharType="begin"/>
            </w:r>
            <w:r>
              <w:rPr>
                <w:noProof/>
                <w:webHidden/>
              </w:rPr>
              <w:instrText xml:space="preserve"> PAGEREF _Toc203640855 \h </w:instrText>
            </w:r>
            <w:r>
              <w:rPr>
                <w:noProof/>
                <w:webHidden/>
              </w:rPr>
            </w:r>
            <w:r>
              <w:rPr>
                <w:noProof/>
                <w:webHidden/>
              </w:rPr>
              <w:fldChar w:fldCharType="separate"/>
            </w:r>
            <w:r w:rsidR="00402FC0">
              <w:rPr>
                <w:noProof/>
                <w:webHidden/>
              </w:rPr>
              <w:t>4</w:t>
            </w:r>
            <w:r>
              <w:rPr>
                <w:noProof/>
                <w:webHidden/>
              </w:rPr>
              <w:fldChar w:fldCharType="end"/>
            </w:r>
          </w:hyperlink>
        </w:p>
        <w:p w14:paraId="0ECB90C7" w14:textId="28BD36F5" w:rsidR="00BD7EA2" w:rsidRDefault="00BD7EA2">
          <w:pPr>
            <w:pStyle w:val="Sumrio3"/>
            <w:tabs>
              <w:tab w:val="left" w:pos="750"/>
              <w:tab w:val="right" w:leader="dot" w:pos="8494"/>
            </w:tabs>
            <w:rPr>
              <w:rFonts w:eastAsiaTheme="minorEastAsia"/>
              <w:noProof/>
              <w:sz w:val="24"/>
              <w:szCs w:val="24"/>
              <w:lang w:eastAsia="pt-BR"/>
            </w:rPr>
          </w:pPr>
          <w:hyperlink w:anchor="_Toc203640856" w:history="1">
            <w:r w:rsidRPr="00841940">
              <w:rPr>
                <w:rStyle w:val="Hyperlink"/>
                <w:noProof/>
              </w:rPr>
              <w:t>1.</w:t>
            </w:r>
            <w:r>
              <w:rPr>
                <w:rFonts w:eastAsiaTheme="minorEastAsia"/>
                <w:noProof/>
                <w:sz w:val="24"/>
                <w:szCs w:val="24"/>
                <w:lang w:eastAsia="pt-BR"/>
              </w:rPr>
              <w:tab/>
            </w:r>
            <w:r w:rsidRPr="00841940">
              <w:rPr>
                <w:rStyle w:val="Hyperlink"/>
                <w:noProof/>
              </w:rPr>
              <w:t>JP Wealth Longevity</w:t>
            </w:r>
            <w:r>
              <w:rPr>
                <w:noProof/>
                <w:webHidden/>
              </w:rPr>
              <w:tab/>
            </w:r>
            <w:r>
              <w:rPr>
                <w:noProof/>
                <w:webHidden/>
              </w:rPr>
              <w:fldChar w:fldCharType="begin"/>
            </w:r>
            <w:r>
              <w:rPr>
                <w:noProof/>
                <w:webHidden/>
              </w:rPr>
              <w:instrText xml:space="preserve"> PAGEREF _Toc203640856 \h </w:instrText>
            </w:r>
            <w:r>
              <w:rPr>
                <w:noProof/>
                <w:webHidden/>
              </w:rPr>
            </w:r>
            <w:r>
              <w:rPr>
                <w:noProof/>
                <w:webHidden/>
              </w:rPr>
              <w:fldChar w:fldCharType="separate"/>
            </w:r>
            <w:r w:rsidR="00402FC0">
              <w:rPr>
                <w:noProof/>
                <w:webHidden/>
              </w:rPr>
              <w:t>4</w:t>
            </w:r>
            <w:r>
              <w:rPr>
                <w:noProof/>
                <w:webHidden/>
              </w:rPr>
              <w:fldChar w:fldCharType="end"/>
            </w:r>
          </w:hyperlink>
        </w:p>
        <w:p w14:paraId="327DD41F" w14:textId="4C47254F" w:rsidR="00BD7EA2" w:rsidRDefault="00BD7EA2">
          <w:pPr>
            <w:pStyle w:val="Sumrio3"/>
            <w:tabs>
              <w:tab w:val="left" w:pos="750"/>
              <w:tab w:val="right" w:leader="dot" w:pos="8494"/>
            </w:tabs>
            <w:rPr>
              <w:rFonts w:eastAsiaTheme="minorEastAsia"/>
              <w:noProof/>
              <w:sz w:val="24"/>
              <w:szCs w:val="24"/>
              <w:lang w:eastAsia="pt-BR"/>
            </w:rPr>
          </w:pPr>
          <w:hyperlink w:anchor="_Toc203640857" w:history="1">
            <w:r w:rsidRPr="00841940">
              <w:rPr>
                <w:rStyle w:val="Hyperlink"/>
                <w:noProof/>
              </w:rPr>
              <w:t>2.</w:t>
            </w:r>
            <w:r>
              <w:rPr>
                <w:rFonts w:eastAsiaTheme="minorEastAsia"/>
                <w:noProof/>
                <w:sz w:val="24"/>
                <w:szCs w:val="24"/>
                <w:lang w:eastAsia="pt-BR"/>
              </w:rPr>
              <w:tab/>
            </w:r>
            <w:r w:rsidRPr="00841940">
              <w:rPr>
                <w:rStyle w:val="Hyperlink"/>
                <w:noProof/>
              </w:rPr>
              <w:t>JP Wealth High Longevity</w:t>
            </w:r>
            <w:r>
              <w:rPr>
                <w:noProof/>
                <w:webHidden/>
              </w:rPr>
              <w:tab/>
            </w:r>
            <w:r>
              <w:rPr>
                <w:noProof/>
                <w:webHidden/>
              </w:rPr>
              <w:fldChar w:fldCharType="begin"/>
            </w:r>
            <w:r>
              <w:rPr>
                <w:noProof/>
                <w:webHidden/>
              </w:rPr>
              <w:instrText xml:space="preserve"> PAGEREF _Toc203640857 \h </w:instrText>
            </w:r>
            <w:r>
              <w:rPr>
                <w:noProof/>
                <w:webHidden/>
              </w:rPr>
            </w:r>
            <w:r>
              <w:rPr>
                <w:noProof/>
                <w:webHidden/>
              </w:rPr>
              <w:fldChar w:fldCharType="separate"/>
            </w:r>
            <w:r w:rsidR="00402FC0">
              <w:rPr>
                <w:noProof/>
                <w:webHidden/>
              </w:rPr>
              <w:t>4</w:t>
            </w:r>
            <w:r>
              <w:rPr>
                <w:noProof/>
                <w:webHidden/>
              </w:rPr>
              <w:fldChar w:fldCharType="end"/>
            </w:r>
          </w:hyperlink>
        </w:p>
        <w:p w14:paraId="203F7B16" w14:textId="21B444D3" w:rsidR="00BD7EA2" w:rsidRDefault="00BD7EA2">
          <w:pPr>
            <w:pStyle w:val="Sumrio3"/>
            <w:tabs>
              <w:tab w:val="left" w:pos="750"/>
              <w:tab w:val="right" w:leader="dot" w:pos="8494"/>
            </w:tabs>
            <w:rPr>
              <w:rFonts w:eastAsiaTheme="minorEastAsia"/>
              <w:noProof/>
              <w:sz w:val="24"/>
              <w:szCs w:val="24"/>
              <w:lang w:eastAsia="pt-BR"/>
            </w:rPr>
          </w:pPr>
          <w:hyperlink w:anchor="_Toc203640858" w:history="1">
            <w:r w:rsidRPr="00841940">
              <w:rPr>
                <w:rStyle w:val="Hyperlink"/>
                <w:noProof/>
              </w:rPr>
              <w:t>3.</w:t>
            </w:r>
            <w:r>
              <w:rPr>
                <w:rFonts w:eastAsiaTheme="minorEastAsia"/>
                <w:noProof/>
                <w:sz w:val="24"/>
                <w:szCs w:val="24"/>
                <w:lang w:eastAsia="pt-BR"/>
              </w:rPr>
              <w:tab/>
            </w:r>
            <w:r w:rsidRPr="00841940">
              <w:rPr>
                <w:rStyle w:val="Hyperlink"/>
                <w:noProof/>
              </w:rPr>
              <w:t>JP Wealth High Longevity Plus</w:t>
            </w:r>
            <w:r>
              <w:rPr>
                <w:noProof/>
                <w:webHidden/>
              </w:rPr>
              <w:tab/>
            </w:r>
            <w:r>
              <w:rPr>
                <w:noProof/>
                <w:webHidden/>
              </w:rPr>
              <w:fldChar w:fldCharType="begin"/>
            </w:r>
            <w:r>
              <w:rPr>
                <w:noProof/>
                <w:webHidden/>
              </w:rPr>
              <w:instrText xml:space="preserve"> PAGEREF _Toc203640858 \h </w:instrText>
            </w:r>
            <w:r>
              <w:rPr>
                <w:noProof/>
                <w:webHidden/>
              </w:rPr>
            </w:r>
            <w:r>
              <w:rPr>
                <w:noProof/>
                <w:webHidden/>
              </w:rPr>
              <w:fldChar w:fldCharType="separate"/>
            </w:r>
            <w:r w:rsidR="00402FC0">
              <w:rPr>
                <w:noProof/>
                <w:webHidden/>
              </w:rPr>
              <w:t>4</w:t>
            </w:r>
            <w:r>
              <w:rPr>
                <w:noProof/>
                <w:webHidden/>
              </w:rPr>
              <w:fldChar w:fldCharType="end"/>
            </w:r>
          </w:hyperlink>
        </w:p>
        <w:p w14:paraId="3E61BBF5" w14:textId="5ACF46B9" w:rsidR="00BD7EA2" w:rsidRDefault="00BD7EA2">
          <w:pPr>
            <w:pStyle w:val="Sumrio2"/>
            <w:tabs>
              <w:tab w:val="right" w:leader="dot" w:pos="8494"/>
            </w:tabs>
            <w:rPr>
              <w:rFonts w:eastAsiaTheme="minorEastAsia"/>
              <w:b w:val="0"/>
              <w:bCs w:val="0"/>
              <w:noProof/>
              <w:sz w:val="24"/>
              <w:szCs w:val="24"/>
              <w:lang w:eastAsia="pt-BR"/>
            </w:rPr>
          </w:pPr>
          <w:hyperlink w:anchor="_Toc203640859" w:history="1">
            <w:r w:rsidRPr="00841940">
              <w:rPr>
                <w:rStyle w:val="Hyperlink"/>
                <w:noProof/>
              </w:rPr>
              <w:t>Planejamento Estrutural de Adesão às Mesas Proprietárias</w:t>
            </w:r>
            <w:r>
              <w:rPr>
                <w:noProof/>
                <w:webHidden/>
              </w:rPr>
              <w:tab/>
            </w:r>
            <w:r>
              <w:rPr>
                <w:noProof/>
                <w:webHidden/>
              </w:rPr>
              <w:fldChar w:fldCharType="begin"/>
            </w:r>
            <w:r>
              <w:rPr>
                <w:noProof/>
                <w:webHidden/>
              </w:rPr>
              <w:instrText xml:space="preserve"> PAGEREF _Toc203640859 \h </w:instrText>
            </w:r>
            <w:r>
              <w:rPr>
                <w:noProof/>
                <w:webHidden/>
              </w:rPr>
            </w:r>
            <w:r>
              <w:rPr>
                <w:noProof/>
                <w:webHidden/>
              </w:rPr>
              <w:fldChar w:fldCharType="separate"/>
            </w:r>
            <w:r w:rsidR="00402FC0">
              <w:rPr>
                <w:noProof/>
                <w:webHidden/>
              </w:rPr>
              <w:t>5</w:t>
            </w:r>
            <w:r>
              <w:rPr>
                <w:noProof/>
                <w:webHidden/>
              </w:rPr>
              <w:fldChar w:fldCharType="end"/>
            </w:r>
          </w:hyperlink>
        </w:p>
        <w:p w14:paraId="46746BFD" w14:textId="0DE72591" w:rsidR="00BD7EA2" w:rsidRDefault="00BD7EA2">
          <w:pPr>
            <w:pStyle w:val="Sumrio3"/>
            <w:tabs>
              <w:tab w:val="right" w:leader="dot" w:pos="8494"/>
            </w:tabs>
            <w:rPr>
              <w:rFonts w:eastAsiaTheme="minorEastAsia"/>
              <w:noProof/>
              <w:sz w:val="24"/>
              <w:szCs w:val="24"/>
              <w:lang w:eastAsia="pt-BR"/>
            </w:rPr>
          </w:pPr>
          <w:hyperlink w:anchor="_Toc203640860" w:history="1">
            <w:r w:rsidRPr="00841940">
              <w:rPr>
                <w:rStyle w:val="Hyperlink"/>
                <w:noProof/>
              </w:rPr>
              <w:t>Estrutura planejada contempla:</w:t>
            </w:r>
            <w:r>
              <w:rPr>
                <w:noProof/>
                <w:webHidden/>
              </w:rPr>
              <w:tab/>
            </w:r>
            <w:r>
              <w:rPr>
                <w:noProof/>
                <w:webHidden/>
              </w:rPr>
              <w:fldChar w:fldCharType="begin"/>
            </w:r>
            <w:r>
              <w:rPr>
                <w:noProof/>
                <w:webHidden/>
              </w:rPr>
              <w:instrText xml:space="preserve"> PAGEREF _Toc203640860 \h </w:instrText>
            </w:r>
            <w:r>
              <w:rPr>
                <w:noProof/>
                <w:webHidden/>
              </w:rPr>
            </w:r>
            <w:r>
              <w:rPr>
                <w:noProof/>
                <w:webHidden/>
              </w:rPr>
              <w:fldChar w:fldCharType="separate"/>
            </w:r>
            <w:r w:rsidR="00402FC0">
              <w:rPr>
                <w:noProof/>
                <w:webHidden/>
              </w:rPr>
              <w:t>5</w:t>
            </w:r>
            <w:r>
              <w:rPr>
                <w:noProof/>
                <w:webHidden/>
              </w:rPr>
              <w:fldChar w:fldCharType="end"/>
            </w:r>
          </w:hyperlink>
        </w:p>
        <w:p w14:paraId="7B5F9569" w14:textId="3F9BA27E" w:rsidR="00BD7EA2" w:rsidRDefault="00BD7EA2">
          <w:pPr>
            <w:pStyle w:val="Sumrio3"/>
            <w:tabs>
              <w:tab w:val="right" w:leader="dot" w:pos="8494"/>
            </w:tabs>
            <w:rPr>
              <w:rFonts w:eastAsiaTheme="minorEastAsia"/>
              <w:noProof/>
              <w:sz w:val="24"/>
              <w:szCs w:val="24"/>
              <w:lang w:eastAsia="pt-BR"/>
            </w:rPr>
          </w:pPr>
          <w:hyperlink w:anchor="_Toc203640861" w:history="1">
            <w:r w:rsidRPr="00841940">
              <w:rPr>
                <w:rStyle w:val="Hyperlink"/>
                <w:rFonts w:eastAsia="Times New Roman"/>
                <w:noProof/>
                <w:lang w:eastAsia="pt-BR"/>
              </w:rPr>
              <w:t>Dinâmica de Rotatividade de Perfis de Risco frente ao Escalonamento</w:t>
            </w:r>
            <w:r>
              <w:rPr>
                <w:noProof/>
                <w:webHidden/>
              </w:rPr>
              <w:tab/>
            </w:r>
            <w:r>
              <w:rPr>
                <w:noProof/>
                <w:webHidden/>
              </w:rPr>
              <w:fldChar w:fldCharType="begin"/>
            </w:r>
            <w:r>
              <w:rPr>
                <w:noProof/>
                <w:webHidden/>
              </w:rPr>
              <w:instrText xml:space="preserve"> PAGEREF _Toc203640861 \h </w:instrText>
            </w:r>
            <w:r>
              <w:rPr>
                <w:noProof/>
                <w:webHidden/>
              </w:rPr>
            </w:r>
            <w:r>
              <w:rPr>
                <w:noProof/>
                <w:webHidden/>
              </w:rPr>
              <w:fldChar w:fldCharType="separate"/>
            </w:r>
            <w:r w:rsidR="00402FC0">
              <w:rPr>
                <w:noProof/>
                <w:webHidden/>
              </w:rPr>
              <w:t>5</w:t>
            </w:r>
            <w:r>
              <w:rPr>
                <w:noProof/>
                <w:webHidden/>
              </w:rPr>
              <w:fldChar w:fldCharType="end"/>
            </w:r>
          </w:hyperlink>
        </w:p>
        <w:p w14:paraId="1CF3C872" w14:textId="637E1F95" w:rsidR="00BD7EA2" w:rsidRDefault="00BD7EA2">
          <w:pPr>
            <w:pStyle w:val="Sumrio3"/>
            <w:tabs>
              <w:tab w:val="right" w:leader="dot" w:pos="8494"/>
            </w:tabs>
            <w:rPr>
              <w:rFonts w:eastAsiaTheme="minorEastAsia"/>
              <w:noProof/>
              <w:sz w:val="24"/>
              <w:szCs w:val="24"/>
              <w:lang w:eastAsia="pt-BR"/>
            </w:rPr>
          </w:pPr>
          <w:hyperlink w:anchor="_Toc203640862" w:history="1">
            <w:r w:rsidRPr="00841940">
              <w:rPr>
                <w:rStyle w:val="Hyperlink"/>
                <w:noProof/>
              </w:rPr>
              <w:t>As contas High Longevity Plus são estáticas por princípio</w:t>
            </w:r>
            <w:r>
              <w:rPr>
                <w:noProof/>
                <w:webHidden/>
              </w:rPr>
              <w:tab/>
            </w:r>
            <w:r>
              <w:rPr>
                <w:noProof/>
                <w:webHidden/>
              </w:rPr>
              <w:fldChar w:fldCharType="begin"/>
            </w:r>
            <w:r>
              <w:rPr>
                <w:noProof/>
                <w:webHidden/>
              </w:rPr>
              <w:instrText xml:space="preserve"> PAGEREF _Toc203640862 \h </w:instrText>
            </w:r>
            <w:r>
              <w:rPr>
                <w:noProof/>
                <w:webHidden/>
              </w:rPr>
            </w:r>
            <w:r>
              <w:rPr>
                <w:noProof/>
                <w:webHidden/>
              </w:rPr>
              <w:fldChar w:fldCharType="separate"/>
            </w:r>
            <w:r w:rsidR="00402FC0">
              <w:rPr>
                <w:noProof/>
                <w:webHidden/>
              </w:rPr>
              <w:t>5</w:t>
            </w:r>
            <w:r>
              <w:rPr>
                <w:noProof/>
                <w:webHidden/>
              </w:rPr>
              <w:fldChar w:fldCharType="end"/>
            </w:r>
          </w:hyperlink>
        </w:p>
        <w:p w14:paraId="4F5D7516" w14:textId="0D3A18A1" w:rsidR="00BD7EA2" w:rsidRDefault="00BD7EA2">
          <w:pPr>
            <w:pStyle w:val="Sumrio3"/>
            <w:tabs>
              <w:tab w:val="right" w:leader="dot" w:pos="8494"/>
            </w:tabs>
            <w:rPr>
              <w:rFonts w:eastAsiaTheme="minorEastAsia"/>
              <w:noProof/>
              <w:sz w:val="24"/>
              <w:szCs w:val="24"/>
              <w:lang w:eastAsia="pt-BR"/>
            </w:rPr>
          </w:pPr>
          <w:hyperlink w:anchor="_Toc203640863" w:history="1">
            <w:r w:rsidRPr="00841940">
              <w:rPr>
                <w:rStyle w:val="Hyperlink"/>
                <w:noProof/>
              </w:rPr>
              <w:t>Política de Saques e Retenção Estratégica de Lucros nas Prop Firms</w:t>
            </w:r>
            <w:r>
              <w:rPr>
                <w:noProof/>
                <w:webHidden/>
              </w:rPr>
              <w:tab/>
            </w:r>
            <w:r>
              <w:rPr>
                <w:noProof/>
                <w:webHidden/>
              </w:rPr>
              <w:fldChar w:fldCharType="begin"/>
            </w:r>
            <w:r>
              <w:rPr>
                <w:noProof/>
                <w:webHidden/>
              </w:rPr>
              <w:instrText xml:space="preserve"> PAGEREF _Toc203640863 \h </w:instrText>
            </w:r>
            <w:r>
              <w:rPr>
                <w:noProof/>
                <w:webHidden/>
              </w:rPr>
            </w:r>
            <w:r>
              <w:rPr>
                <w:noProof/>
                <w:webHidden/>
              </w:rPr>
              <w:fldChar w:fldCharType="separate"/>
            </w:r>
            <w:r w:rsidR="00402FC0">
              <w:rPr>
                <w:noProof/>
                <w:webHidden/>
              </w:rPr>
              <w:t>5</w:t>
            </w:r>
            <w:r>
              <w:rPr>
                <w:noProof/>
                <w:webHidden/>
              </w:rPr>
              <w:fldChar w:fldCharType="end"/>
            </w:r>
          </w:hyperlink>
        </w:p>
        <w:p w14:paraId="4F61A542" w14:textId="1DBD8E75" w:rsidR="00BD7EA2" w:rsidRDefault="00BD7EA2">
          <w:pPr>
            <w:pStyle w:val="Sumrio3"/>
            <w:tabs>
              <w:tab w:val="right" w:leader="dot" w:pos="8494"/>
            </w:tabs>
            <w:rPr>
              <w:rFonts w:eastAsiaTheme="minorEastAsia"/>
              <w:noProof/>
              <w:sz w:val="24"/>
              <w:szCs w:val="24"/>
              <w:lang w:eastAsia="pt-BR"/>
            </w:rPr>
          </w:pPr>
          <w:hyperlink w:anchor="_Toc203640864" w:history="1">
            <w:r w:rsidRPr="00841940">
              <w:rPr>
                <w:rStyle w:val="Hyperlink"/>
                <w:noProof/>
              </w:rPr>
              <w:t>Parâmetros da Política</w:t>
            </w:r>
            <w:r>
              <w:rPr>
                <w:noProof/>
                <w:webHidden/>
              </w:rPr>
              <w:tab/>
            </w:r>
            <w:r>
              <w:rPr>
                <w:noProof/>
                <w:webHidden/>
              </w:rPr>
              <w:fldChar w:fldCharType="begin"/>
            </w:r>
            <w:r>
              <w:rPr>
                <w:noProof/>
                <w:webHidden/>
              </w:rPr>
              <w:instrText xml:space="preserve"> PAGEREF _Toc203640864 \h </w:instrText>
            </w:r>
            <w:r>
              <w:rPr>
                <w:noProof/>
                <w:webHidden/>
              </w:rPr>
            </w:r>
            <w:r>
              <w:rPr>
                <w:noProof/>
                <w:webHidden/>
              </w:rPr>
              <w:fldChar w:fldCharType="separate"/>
            </w:r>
            <w:r w:rsidR="00402FC0">
              <w:rPr>
                <w:noProof/>
                <w:webHidden/>
              </w:rPr>
              <w:t>5</w:t>
            </w:r>
            <w:r>
              <w:rPr>
                <w:noProof/>
                <w:webHidden/>
              </w:rPr>
              <w:fldChar w:fldCharType="end"/>
            </w:r>
          </w:hyperlink>
        </w:p>
        <w:p w14:paraId="700DADC4" w14:textId="2FDF58C1" w:rsidR="00BD7EA2" w:rsidRDefault="00BD7EA2">
          <w:pPr>
            <w:pStyle w:val="Sumrio3"/>
            <w:tabs>
              <w:tab w:val="right" w:leader="dot" w:pos="8494"/>
            </w:tabs>
            <w:rPr>
              <w:rFonts w:eastAsiaTheme="minorEastAsia"/>
              <w:noProof/>
              <w:sz w:val="24"/>
              <w:szCs w:val="24"/>
              <w:lang w:eastAsia="pt-BR"/>
            </w:rPr>
          </w:pPr>
          <w:hyperlink w:anchor="_Toc203640865" w:history="1">
            <w:r w:rsidRPr="00841940">
              <w:rPr>
                <w:rStyle w:val="Hyperlink"/>
                <w:noProof/>
              </w:rPr>
              <w:t>Consideração Final</w:t>
            </w:r>
            <w:r>
              <w:rPr>
                <w:noProof/>
                <w:webHidden/>
              </w:rPr>
              <w:tab/>
            </w:r>
            <w:r>
              <w:rPr>
                <w:noProof/>
                <w:webHidden/>
              </w:rPr>
              <w:fldChar w:fldCharType="begin"/>
            </w:r>
            <w:r>
              <w:rPr>
                <w:noProof/>
                <w:webHidden/>
              </w:rPr>
              <w:instrText xml:space="preserve"> PAGEREF _Toc203640865 \h </w:instrText>
            </w:r>
            <w:r>
              <w:rPr>
                <w:noProof/>
                <w:webHidden/>
              </w:rPr>
            </w:r>
            <w:r>
              <w:rPr>
                <w:noProof/>
                <w:webHidden/>
              </w:rPr>
              <w:fldChar w:fldCharType="separate"/>
            </w:r>
            <w:r w:rsidR="00402FC0">
              <w:rPr>
                <w:noProof/>
                <w:webHidden/>
              </w:rPr>
              <w:t>5</w:t>
            </w:r>
            <w:r>
              <w:rPr>
                <w:noProof/>
                <w:webHidden/>
              </w:rPr>
              <w:fldChar w:fldCharType="end"/>
            </w:r>
          </w:hyperlink>
        </w:p>
        <w:p w14:paraId="5B3423EA" w14:textId="57D01B68" w:rsidR="00584898" w:rsidRDefault="00584898">
          <w:r>
            <w:rPr>
              <w:b/>
              <w:bCs/>
              <w:noProof/>
            </w:rPr>
            <w:fldChar w:fldCharType="end"/>
          </w:r>
        </w:p>
      </w:sdtContent>
    </w:sdt>
    <w:p w14:paraId="12FBBF25" w14:textId="77777777" w:rsidR="00E14828" w:rsidRDefault="00E14828">
      <w:pPr>
        <w:rPr>
          <w:rFonts w:cs="Times New Roman"/>
        </w:rPr>
      </w:pPr>
    </w:p>
    <w:p w14:paraId="6B03FBBB" w14:textId="05E08FDD" w:rsidR="00E14828" w:rsidRDefault="00E14828">
      <w:pPr>
        <w:rPr>
          <w:rFonts w:eastAsiaTheme="majorEastAsia" w:cs="Times New Roman"/>
          <w:b/>
          <w:color w:val="000000" w:themeColor="text1"/>
          <w:sz w:val="24"/>
          <w:szCs w:val="32"/>
        </w:rPr>
      </w:pPr>
      <w:r>
        <w:rPr>
          <w:rFonts w:cs="Times New Roman"/>
        </w:rPr>
        <w:br w:type="page"/>
      </w:r>
    </w:p>
    <w:p w14:paraId="7BA96CEA" w14:textId="17993146" w:rsidR="00394BF6" w:rsidRDefault="00C66287" w:rsidP="00394BF6">
      <w:pPr>
        <w:pStyle w:val="Ttulo2"/>
        <w:rPr>
          <w:rFonts w:cs="Times New Roman"/>
        </w:rPr>
      </w:pPr>
      <w:bookmarkStart w:id="0" w:name="_Toc203640844"/>
      <w:r w:rsidRPr="00A81348">
        <w:rPr>
          <w:rFonts w:cs="Times New Roman"/>
        </w:rPr>
        <w:lastRenderedPageBreak/>
        <w:t>Modelo de gestão</w:t>
      </w:r>
      <w:r w:rsidR="00A81348" w:rsidRPr="00A81348">
        <w:rPr>
          <w:rFonts w:cs="Times New Roman"/>
        </w:rPr>
        <w:t xml:space="preserve"> Jp Wealth</w:t>
      </w:r>
      <w:r w:rsidRPr="00A81348">
        <w:rPr>
          <w:rFonts w:cs="Times New Roman"/>
        </w:rPr>
        <w:t xml:space="preserve"> para Prop Fi</w:t>
      </w:r>
      <w:r w:rsidR="00D76EDC">
        <w:rPr>
          <w:rFonts w:cs="Times New Roman"/>
        </w:rPr>
        <w:t>rm</w:t>
      </w:r>
      <w:bookmarkEnd w:id="0"/>
    </w:p>
    <w:p w14:paraId="78A560A2" w14:textId="77777777" w:rsidR="00E14828" w:rsidRDefault="00E14828" w:rsidP="00E14828">
      <w:pPr>
        <w:pStyle w:val="Ttulo3"/>
      </w:pPr>
      <w:bookmarkStart w:id="1" w:name="_Toc203640845"/>
      <w:r w:rsidRPr="00C66287">
        <w:t>Introdução</w:t>
      </w:r>
      <w:bookmarkEnd w:id="1"/>
    </w:p>
    <w:p w14:paraId="7B791D16" w14:textId="77777777" w:rsidR="00E14828" w:rsidRDefault="00E14828" w:rsidP="00E14828">
      <w:r>
        <w:tab/>
        <w:t xml:space="preserve">Este documento apresenta a adaptação oficial do </w:t>
      </w:r>
      <w:r>
        <w:rPr>
          <w:rStyle w:val="Forte"/>
        </w:rPr>
        <w:t>Modelo de Gestão JP Wealth</w:t>
      </w:r>
      <w:r>
        <w:t xml:space="preserve"> para ambientes de negociação em </w:t>
      </w:r>
      <w:r>
        <w:rPr>
          <w:rStyle w:val="Forte"/>
        </w:rPr>
        <w:t>mesas proprietárias (prop firms)</w:t>
      </w:r>
      <w:r>
        <w:t>, reconhecendo as diferenças fundamentais entre a gestão de capital institucional e as regras operacionais específicas impostas por esse tipo de estrutura.</w:t>
      </w:r>
    </w:p>
    <w:p w14:paraId="705DC6F5" w14:textId="77777777" w:rsidR="00E14828" w:rsidRDefault="00E14828" w:rsidP="00E14828">
      <w:r>
        <w:tab/>
        <w:t xml:space="preserve">As </w:t>
      </w:r>
      <w:r>
        <w:rPr>
          <w:rStyle w:val="Forte"/>
        </w:rPr>
        <w:t>prop firms</w:t>
      </w:r>
      <w:r>
        <w:t xml:space="preserve"> (proprietary trading firms) são empresas que disponibilizam capital próprio a traders qualificados, impondo regras rígidas de gestão de risco e performance. Em troca do acesso ao capital, o trader deve operar dentro de </w:t>
      </w:r>
      <w:r>
        <w:rPr>
          <w:rStyle w:val="Forte"/>
        </w:rPr>
        <w:t>limites diários e máximos de drawdown</w:t>
      </w:r>
      <w:r>
        <w:t xml:space="preserve">, metas de rentabilidade e padrões de disciplina operacional que são </w:t>
      </w:r>
      <w:r>
        <w:rPr>
          <w:rStyle w:val="Forte"/>
        </w:rPr>
        <w:t>impostos pela mesa</w:t>
      </w:r>
      <w:r>
        <w:t>, não pelo modelo original de gestão.</w:t>
      </w:r>
    </w:p>
    <w:p w14:paraId="58A6897B" w14:textId="77777777" w:rsidR="00E14828" w:rsidRPr="00C66287" w:rsidRDefault="00E14828" w:rsidP="00E14828">
      <w:r>
        <w:tab/>
        <w:t xml:space="preserve">O </w:t>
      </w:r>
      <w:r>
        <w:rPr>
          <w:rStyle w:val="Forte"/>
        </w:rPr>
        <w:t>Modelo JP Wealth</w:t>
      </w:r>
      <w:r>
        <w:t xml:space="preserve"> foi desenvolvido para maximizar a longevidade e a resiliência patrimonial, com foco em estatística, antifragilidade e validação contínua de risco. </w:t>
      </w:r>
      <w:r>
        <w:tab/>
        <w:t xml:space="preserve">Entretanto, as mesas proprietárias introduzem restrições particulares como </w:t>
      </w:r>
      <w:r>
        <w:rPr>
          <w:rStyle w:val="Forte"/>
        </w:rPr>
        <w:t>limites diários de drawdown, requisitos de rentabilidade em curto prazo e fiscalização constante do saldo</w:t>
      </w:r>
      <w:r>
        <w:t xml:space="preserve"> que exigem ajustes táticos e estratégicos para assegurar a compatibilidade operacional e o respeito às regras contratuais.</w:t>
      </w:r>
    </w:p>
    <w:p w14:paraId="07F523DB" w14:textId="77777777" w:rsidR="00E14828" w:rsidRPr="00C66287" w:rsidRDefault="00E14828" w:rsidP="00E14828">
      <w:pPr>
        <w:rPr>
          <w:lang w:eastAsia="pt-BR"/>
        </w:rPr>
      </w:pPr>
      <w:r w:rsidRPr="00C66287">
        <w:rPr>
          <w:lang w:eastAsia="pt-BR"/>
        </w:rPr>
        <w:t>Este documento delineia:</w:t>
      </w:r>
    </w:p>
    <w:p w14:paraId="626D38D0" w14:textId="77777777" w:rsidR="00E14828" w:rsidRPr="00C66287" w:rsidRDefault="00E14828" w:rsidP="00E14828">
      <w:pPr>
        <w:pStyle w:val="PargrafodaLista"/>
        <w:numPr>
          <w:ilvl w:val="0"/>
          <w:numId w:val="2"/>
        </w:numPr>
        <w:rPr>
          <w:lang w:eastAsia="pt-BR"/>
        </w:rPr>
      </w:pPr>
      <w:r w:rsidRPr="00C66287">
        <w:rPr>
          <w:lang w:eastAsia="pt-BR"/>
        </w:rPr>
        <w:t xml:space="preserve">As diferenças essenciais entre a gestão </w:t>
      </w:r>
      <w:r>
        <w:rPr>
          <w:lang w:eastAsia="pt-BR"/>
        </w:rPr>
        <w:t>oficial</w:t>
      </w:r>
      <w:r w:rsidRPr="00C66287">
        <w:rPr>
          <w:lang w:eastAsia="pt-BR"/>
        </w:rPr>
        <w:t xml:space="preserve"> </w:t>
      </w:r>
      <w:r w:rsidRPr="00C66287">
        <w:rPr>
          <w:b/>
          <w:bCs/>
          <w:lang w:eastAsia="pt-BR"/>
        </w:rPr>
        <w:t>JP Wealth</w:t>
      </w:r>
      <w:r w:rsidRPr="00C66287">
        <w:rPr>
          <w:lang w:eastAsia="pt-BR"/>
        </w:rPr>
        <w:t xml:space="preserve"> e a</w:t>
      </w:r>
      <w:r>
        <w:rPr>
          <w:lang w:eastAsia="pt-BR"/>
        </w:rPr>
        <w:t xml:space="preserve"> adaptação da</w:t>
      </w:r>
      <w:r w:rsidRPr="00C66287">
        <w:rPr>
          <w:lang w:eastAsia="pt-BR"/>
        </w:rPr>
        <w:t xml:space="preserve"> gestão</w:t>
      </w:r>
      <w:r>
        <w:rPr>
          <w:lang w:eastAsia="pt-BR"/>
        </w:rPr>
        <w:t xml:space="preserve"> para a realidade</w:t>
      </w:r>
      <w:r w:rsidRPr="00C66287">
        <w:rPr>
          <w:lang w:eastAsia="pt-BR"/>
        </w:rPr>
        <w:t xml:space="preserve"> </w:t>
      </w:r>
      <w:r>
        <w:rPr>
          <w:lang w:eastAsia="pt-BR"/>
        </w:rPr>
        <w:t>das</w:t>
      </w:r>
      <w:r w:rsidRPr="00C66287">
        <w:rPr>
          <w:lang w:eastAsia="pt-BR"/>
        </w:rPr>
        <w:t xml:space="preserve"> mesas proprietárias</w:t>
      </w:r>
      <w:r>
        <w:rPr>
          <w:lang w:eastAsia="pt-BR"/>
        </w:rPr>
        <w:t>;</w:t>
      </w:r>
    </w:p>
    <w:p w14:paraId="13295C81" w14:textId="77777777" w:rsidR="00E14828" w:rsidRPr="00C66287" w:rsidRDefault="00E14828" w:rsidP="00E14828">
      <w:pPr>
        <w:pStyle w:val="PargrafodaLista"/>
        <w:numPr>
          <w:ilvl w:val="0"/>
          <w:numId w:val="2"/>
        </w:numPr>
        <w:rPr>
          <w:lang w:eastAsia="pt-BR"/>
        </w:rPr>
      </w:pPr>
      <w:r w:rsidRPr="00C66287">
        <w:rPr>
          <w:lang w:eastAsia="pt-BR"/>
        </w:rPr>
        <w:t xml:space="preserve">Os </w:t>
      </w:r>
      <w:r w:rsidRPr="00C66287">
        <w:rPr>
          <w:b/>
          <w:bCs/>
          <w:lang w:eastAsia="pt-BR"/>
        </w:rPr>
        <w:t>pontos críticos de atenção</w:t>
      </w:r>
      <w:r w:rsidRPr="00C66287">
        <w:rPr>
          <w:lang w:eastAsia="pt-BR"/>
        </w:rPr>
        <w:t xml:space="preserve"> para evitar violações involuntárias de limites;</w:t>
      </w:r>
    </w:p>
    <w:p w14:paraId="34CE8BA5" w14:textId="77777777" w:rsidR="00E14828" w:rsidRPr="00C66287" w:rsidRDefault="00E14828" w:rsidP="00E14828">
      <w:pPr>
        <w:pStyle w:val="PargrafodaLista"/>
        <w:numPr>
          <w:ilvl w:val="0"/>
          <w:numId w:val="2"/>
        </w:numPr>
        <w:rPr>
          <w:lang w:eastAsia="pt-BR"/>
        </w:rPr>
      </w:pPr>
      <w:r w:rsidRPr="00C66287">
        <w:rPr>
          <w:lang w:eastAsia="pt-BR"/>
        </w:rPr>
        <w:t xml:space="preserve">As </w:t>
      </w:r>
      <w:r w:rsidRPr="00C66287">
        <w:rPr>
          <w:b/>
          <w:bCs/>
          <w:lang w:eastAsia="pt-BR"/>
        </w:rPr>
        <w:t>adaptações de alavancagem, exposição e ritmo operacional</w:t>
      </w:r>
      <w:r w:rsidRPr="00C66287">
        <w:rPr>
          <w:lang w:eastAsia="pt-BR"/>
        </w:rPr>
        <w:t xml:space="preserve"> recomendadas para ambientes de alta fiscalização e restrições contábeis;</w:t>
      </w:r>
    </w:p>
    <w:p w14:paraId="72CFF70E" w14:textId="77777777" w:rsidR="00E14828" w:rsidRPr="00C66287" w:rsidRDefault="00E14828" w:rsidP="00E14828">
      <w:pPr>
        <w:pStyle w:val="PargrafodaLista"/>
        <w:numPr>
          <w:ilvl w:val="0"/>
          <w:numId w:val="2"/>
        </w:numPr>
        <w:rPr>
          <w:lang w:eastAsia="pt-BR"/>
        </w:rPr>
      </w:pPr>
      <w:r w:rsidRPr="00C66287">
        <w:rPr>
          <w:lang w:eastAsia="pt-BR"/>
        </w:rPr>
        <w:t xml:space="preserve">E, sobretudo, as medidas para </w:t>
      </w:r>
      <w:r w:rsidRPr="00C66287">
        <w:rPr>
          <w:b/>
          <w:bCs/>
          <w:lang w:eastAsia="pt-BR"/>
        </w:rPr>
        <w:t xml:space="preserve">preservar a </w:t>
      </w:r>
      <w:proofErr w:type="gramStart"/>
      <w:r w:rsidRPr="00C66287">
        <w:rPr>
          <w:b/>
          <w:bCs/>
          <w:lang w:eastAsia="pt-BR"/>
        </w:rPr>
        <w:t xml:space="preserve">filosofia  </w:t>
      </w:r>
      <w:r>
        <w:rPr>
          <w:b/>
          <w:bCs/>
          <w:lang w:eastAsia="pt-BR"/>
        </w:rPr>
        <w:t>da</w:t>
      </w:r>
      <w:proofErr w:type="gramEnd"/>
      <w:r>
        <w:rPr>
          <w:b/>
          <w:bCs/>
          <w:lang w:eastAsia="pt-BR"/>
        </w:rPr>
        <w:t xml:space="preserve"> gestão</w:t>
      </w:r>
      <w:r w:rsidRPr="00C66287">
        <w:rPr>
          <w:b/>
          <w:bCs/>
          <w:lang w:eastAsia="pt-BR"/>
        </w:rPr>
        <w:t xml:space="preserve"> mesmo em condições de drawdown absoluto e diário rígidos</w:t>
      </w:r>
      <w:r w:rsidRPr="00C66287">
        <w:rPr>
          <w:lang w:eastAsia="pt-BR"/>
        </w:rPr>
        <w:t>.</w:t>
      </w:r>
    </w:p>
    <w:p w14:paraId="2F45C42E" w14:textId="77777777" w:rsidR="00E14828" w:rsidRDefault="00E14828" w:rsidP="00E14828">
      <w:r>
        <w:t>Nosso objetivo é assegurar que a execução de operação associada a JP Wealth mesmo em contas terceirizadas permaneça fiel aos princípios fundamentais da nossa gestão.</w:t>
      </w:r>
    </w:p>
    <w:p w14:paraId="0546D085" w14:textId="77777777" w:rsidR="00DE12CE" w:rsidRDefault="00DE12CE" w:rsidP="008C6B79">
      <w:pPr>
        <w:pStyle w:val="Ttulo2"/>
      </w:pPr>
      <w:bookmarkStart w:id="2" w:name="_Toc203640846"/>
      <w:r>
        <w:t>Regras das Mesas Proprietárias</w:t>
      </w:r>
      <w:bookmarkEnd w:id="2"/>
    </w:p>
    <w:p w14:paraId="08BA2535" w14:textId="77777777" w:rsidR="00DE12CE" w:rsidRDefault="00DE12CE" w:rsidP="00DE12CE">
      <w:r>
        <w:tab/>
        <w:t>Este capítulo tem por finalidade consolidar, de forma objetiva e auditável, as principais regras operacionais que regem o funcionamento das mesas proprietárias com as quais a JP Wealth mantém compatibilidade de gestão. A presente versão do Estatuto foi calibrada especificamente para se adequar às exigências de duas das principais prop firms internacionais: FTMO e The5%ers.</w:t>
      </w:r>
    </w:p>
    <w:p w14:paraId="68322024" w14:textId="77777777" w:rsidR="00DE12CE" w:rsidRDefault="00DE12CE" w:rsidP="00DE12CE">
      <w:pPr>
        <w:pStyle w:val="Ttulo4"/>
        <w:numPr>
          <w:ilvl w:val="0"/>
          <w:numId w:val="34"/>
        </w:numPr>
      </w:pPr>
      <w:r>
        <w:t>Challenge (Avaliação)</w:t>
      </w:r>
    </w:p>
    <w:p w14:paraId="660806A1" w14:textId="77777777" w:rsidR="00DE12CE" w:rsidRDefault="00DE12CE" w:rsidP="00DE12CE">
      <w:pPr>
        <w:rPr>
          <w:sz w:val="24"/>
        </w:rPr>
      </w:pPr>
      <w:r>
        <w:t xml:space="preserve">Nas </w:t>
      </w:r>
      <w:r>
        <w:rPr>
          <w:rStyle w:val="s1"/>
          <w:b/>
          <w:bCs/>
        </w:rPr>
        <w:t>fases de desafio</w:t>
      </w:r>
      <w:r>
        <w:t xml:space="preserve"> (Challenge), as prop firms dividem o processo em </w:t>
      </w:r>
      <w:r>
        <w:rPr>
          <w:rStyle w:val="s1"/>
          <w:b/>
          <w:bCs/>
        </w:rPr>
        <w:t>duas etapas consecutivas</w:t>
      </w:r>
      <w:r>
        <w:t>.</w:t>
      </w:r>
    </w:p>
    <w:p w14:paraId="5CF32A80" w14:textId="77777777" w:rsidR="00DE12CE" w:rsidRDefault="00DE12CE" w:rsidP="00DE12CE">
      <w:r>
        <w:rPr>
          <w:rStyle w:val="s1"/>
          <w:b/>
          <w:bCs/>
        </w:rPr>
        <w:t>Fase 1</w:t>
      </w:r>
      <w:r>
        <w:t xml:space="preserve">: exige-se uma </w:t>
      </w:r>
      <w:r>
        <w:rPr>
          <w:rStyle w:val="s1"/>
          <w:b/>
          <w:bCs/>
        </w:rPr>
        <w:t>meta de lucro de 10%</w:t>
      </w:r>
      <w:r>
        <w:t xml:space="preserve"> com limite de </w:t>
      </w:r>
      <w:r>
        <w:rPr>
          <w:rStyle w:val="s1"/>
          <w:b/>
          <w:bCs/>
        </w:rPr>
        <w:t>perda diária de 5%</w:t>
      </w:r>
      <w:r>
        <w:t xml:space="preserve"> e </w:t>
      </w:r>
      <w:r>
        <w:rPr>
          <w:rStyle w:val="s1"/>
          <w:b/>
          <w:bCs/>
        </w:rPr>
        <w:t>perda máxima total de 10%</w:t>
      </w:r>
      <w:r>
        <w:t>.</w:t>
      </w:r>
    </w:p>
    <w:p w14:paraId="77B24C6F" w14:textId="77777777" w:rsidR="00DE12CE" w:rsidRDefault="00DE12CE" w:rsidP="00DE12CE">
      <w:r>
        <w:rPr>
          <w:rStyle w:val="s1"/>
          <w:b/>
          <w:bCs/>
        </w:rPr>
        <w:t>Fase 2</w:t>
      </w:r>
      <w:r>
        <w:t xml:space="preserve">, a meta é reduzida para </w:t>
      </w:r>
      <w:r>
        <w:rPr>
          <w:rStyle w:val="s1"/>
          <w:b/>
          <w:bCs/>
        </w:rPr>
        <w:t>5%</w:t>
      </w:r>
      <w:r>
        <w:t xml:space="preserve">, </w:t>
      </w:r>
      <w:proofErr w:type="gramStart"/>
      <w:r>
        <w:t>mantendo-se os mesmos</w:t>
      </w:r>
      <w:proofErr w:type="gramEnd"/>
      <w:r>
        <w:t xml:space="preserve"> limites de perda. O descumprimento de qualquer um desses limites, mesmo por flutuação de equity, invalida o processo.</w:t>
      </w:r>
    </w:p>
    <w:p w14:paraId="2B4FBB1F" w14:textId="6713E58A" w:rsidR="00DE12CE" w:rsidRDefault="00DE12CE" w:rsidP="00DE12CE">
      <w:r>
        <w:t xml:space="preserve">É obrigatório cumprir o mínimo de dias operacionais de 4 dias. </w:t>
      </w:r>
      <w:r w:rsidR="005F2CED">
        <w:t xml:space="preserve"> Após a aprovação em ambas as fases com cumprimento das regras de gerenciamento de risco e demais, o operador passa a ser financiado </w:t>
      </w:r>
      <w:r w:rsidR="00967247">
        <w:t>pela Prop Firm.</w:t>
      </w:r>
    </w:p>
    <w:p w14:paraId="2CCA6CFA" w14:textId="77777777" w:rsidR="00DE12CE" w:rsidRDefault="00DE12CE" w:rsidP="00DE12CE">
      <w:pPr>
        <w:pStyle w:val="Ttulo4"/>
        <w:numPr>
          <w:ilvl w:val="0"/>
          <w:numId w:val="34"/>
        </w:numPr>
      </w:pPr>
      <w:r w:rsidRPr="004173CF">
        <w:rPr>
          <w:rStyle w:val="s1"/>
        </w:rPr>
        <w:t>Saques</w:t>
      </w:r>
      <w:r>
        <w:t xml:space="preserve"> </w:t>
      </w:r>
    </w:p>
    <w:p w14:paraId="6CC38F0E" w14:textId="77777777" w:rsidR="00DE12CE" w:rsidRDefault="00DE12CE" w:rsidP="00DE12CE">
      <w:pPr>
        <w:rPr>
          <w:sz w:val="24"/>
        </w:rPr>
      </w:pPr>
      <w:r>
        <w:t xml:space="preserve">Podem ser solicitados geralmente a cada </w:t>
      </w:r>
      <w:r>
        <w:rPr>
          <w:rStyle w:val="s1"/>
          <w:b/>
          <w:bCs/>
        </w:rPr>
        <w:t>15 a 30 dias</w:t>
      </w:r>
      <w:r>
        <w:t>, desde que a conta mantenha desempenho positivo, respeite as regras e não tenha violado os limites operacionais.</w:t>
      </w:r>
    </w:p>
    <w:p w14:paraId="2553FCEE" w14:textId="77777777" w:rsidR="00DE12CE" w:rsidRPr="00BF32CD" w:rsidRDefault="00DE12CE" w:rsidP="00DE12CE">
      <w:pPr>
        <w:pStyle w:val="Ttulo4"/>
        <w:numPr>
          <w:ilvl w:val="0"/>
          <w:numId w:val="34"/>
        </w:numPr>
        <w:rPr>
          <w:rStyle w:val="s1"/>
          <w:bCs/>
        </w:rPr>
      </w:pPr>
      <w:r w:rsidRPr="004173CF">
        <w:rPr>
          <w:rStyle w:val="s1"/>
        </w:rPr>
        <w:t>Reembolso</w:t>
      </w:r>
    </w:p>
    <w:p w14:paraId="221AFF12" w14:textId="77777777" w:rsidR="00DE12CE" w:rsidRDefault="00DE12CE" w:rsidP="00DE12CE">
      <w:pPr>
        <w:rPr>
          <w:sz w:val="24"/>
        </w:rPr>
      </w:pPr>
      <w:r>
        <w:t xml:space="preserve"> Prevê o </w:t>
      </w:r>
      <w:r>
        <w:rPr>
          <w:rStyle w:val="s1"/>
          <w:b/>
          <w:bCs/>
        </w:rPr>
        <w:t>reembolso integral da taxa de inscrição</w:t>
      </w:r>
      <w:r>
        <w:t xml:space="preserve"> após a aprovação da fase </w:t>
      </w:r>
      <w:proofErr w:type="gramStart"/>
      <w:r>
        <w:t>de  desafio</w:t>
      </w:r>
      <w:proofErr w:type="gramEnd"/>
      <w:r>
        <w:t>, somado ao primeiro saque.</w:t>
      </w:r>
    </w:p>
    <w:p w14:paraId="00B80965" w14:textId="77777777" w:rsidR="00DE12CE" w:rsidRPr="00BF32CD" w:rsidRDefault="00DE12CE" w:rsidP="00DE12CE">
      <w:pPr>
        <w:pStyle w:val="Ttulo4"/>
        <w:numPr>
          <w:ilvl w:val="0"/>
          <w:numId w:val="34"/>
        </w:numPr>
        <w:rPr>
          <w:rStyle w:val="s1"/>
          <w:bCs/>
        </w:rPr>
      </w:pPr>
      <w:r w:rsidRPr="0081638C">
        <w:t>Maximum Daily Loss</w:t>
      </w:r>
    </w:p>
    <w:p w14:paraId="2F4D0F7B" w14:textId="77777777" w:rsidR="00DE12CE" w:rsidRDefault="00DE12CE" w:rsidP="00DE12CE">
      <w:pPr>
        <w:rPr>
          <w:rStyle w:val="s1"/>
        </w:rPr>
      </w:pPr>
      <w:r>
        <w:rPr>
          <w:rStyle w:val="s1"/>
        </w:rPr>
        <w:t xml:space="preserve">O limite de perda diária é fixado em </w:t>
      </w:r>
      <w:r>
        <w:t>5% do saldo inicial da conta</w:t>
      </w:r>
      <w:r>
        <w:rPr>
          <w:rStyle w:val="s1"/>
        </w:rPr>
        <w:t xml:space="preserve">, sendo </w:t>
      </w:r>
      <w:r>
        <w:t>recalculado a cada novo dia</w:t>
      </w:r>
      <w:r>
        <w:rPr>
          <w:rStyle w:val="s1"/>
        </w:rPr>
        <w:t xml:space="preserve">. Esse limite considera </w:t>
      </w:r>
      <w:r>
        <w:t>tanto os lucros e prejuízos realizados quanto os não realizados (equity flutuante)</w:t>
      </w:r>
      <w:r>
        <w:rPr>
          <w:rStyle w:val="s1"/>
        </w:rPr>
        <w:t xml:space="preserve">, e é </w:t>
      </w:r>
      <w:r>
        <w:t>reiniciado diariamente à meia-noite</w:t>
      </w:r>
      <w:r>
        <w:rPr>
          <w:rStyle w:val="s1"/>
        </w:rPr>
        <w:t xml:space="preserve"> do fuso da plataforma. </w:t>
      </w:r>
    </w:p>
    <w:p w14:paraId="3A57A678" w14:textId="77777777" w:rsidR="00DE12CE" w:rsidRDefault="00DE12CE" w:rsidP="00DE12CE">
      <w:pPr>
        <w:rPr>
          <w:sz w:val="24"/>
        </w:rPr>
      </w:pPr>
      <w:r>
        <w:rPr>
          <w:rStyle w:val="s1"/>
        </w:rPr>
        <w:t xml:space="preserve">Para o cálculo, adota-se como referência o </w:t>
      </w:r>
      <w:r>
        <w:t>maior valor entre o saldo (balance) e o equity</w:t>
      </w:r>
      <w:r>
        <w:rPr>
          <w:rStyle w:val="s1"/>
        </w:rPr>
        <w:t xml:space="preserve"> no início do dia. O descumprimento desse critério resulta na </w:t>
      </w:r>
      <w:r>
        <w:t>falha automática do desafio ou no encerramento da conta real</w:t>
      </w:r>
      <w:r>
        <w:rPr>
          <w:rStyle w:val="s1"/>
        </w:rPr>
        <w:t>.</w:t>
      </w:r>
    </w:p>
    <w:p w14:paraId="4F9A2531" w14:textId="77777777" w:rsidR="00DE12CE" w:rsidRPr="00055C1E" w:rsidRDefault="00DE12CE" w:rsidP="00DE12CE">
      <w:pPr>
        <w:pStyle w:val="Ttulo4"/>
        <w:numPr>
          <w:ilvl w:val="0"/>
          <w:numId w:val="34"/>
        </w:numPr>
      </w:pPr>
      <w:r w:rsidRPr="0081638C">
        <w:t xml:space="preserve">Maximum </w:t>
      </w:r>
      <w:r w:rsidRPr="00055C1E">
        <w:t>Loss</w:t>
      </w:r>
    </w:p>
    <w:p w14:paraId="6791B7FE" w14:textId="77777777" w:rsidR="00DE12CE" w:rsidRDefault="00DE12CE" w:rsidP="00DE12CE">
      <w:pPr>
        <w:rPr>
          <w:sz w:val="24"/>
        </w:rPr>
      </w:pPr>
      <w:r>
        <w:t xml:space="preserve">É o limite de perda acumulada, denominado </w:t>
      </w:r>
      <w:r>
        <w:rPr>
          <w:i/>
          <w:iCs/>
        </w:rPr>
        <w:t>Maximum Loss</w:t>
      </w:r>
      <w:r>
        <w:t>, fixado em 10% do saldo inicial da conta, esse valor é fixo sempre em relação ao saldo incial. O desrespeito a esse parâmetro implica encerramento definitivo da conta.</w:t>
      </w:r>
    </w:p>
    <w:p w14:paraId="5C4C7A64" w14:textId="77777777" w:rsidR="00DE12CE" w:rsidRDefault="00DE12CE" w:rsidP="00DE12CE">
      <w:pPr>
        <w:pStyle w:val="Ttulo4"/>
        <w:numPr>
          <w:ilvl w:val="0"/>
          <w:numId w:val="34"/>
        </w:numPr>
      </w:pPr>
      <w:r>
        <w:t xml:space="preserve">Inatividade </w:t>
      </w:r>
    </w:p>
    <w:p w14:paraId="7D00367A" w14:textId="77777777" w:rsidR="00DE12CE" w:rsidRDefault="00DE12CE" w:rsidP="00DE12CE">
      <w:pPr>
        <w:rPr>
          <w:sz w:val="24"/>
        </w:rPr>
      </w:pPr>
      <w:r>
        <w:rPr>
          <w:rStyle w:val="apple-converted-space"/>
        </w:rPr>
        <w:t> </w:t>
      </w:r>
      <w:r>
        <w:t>Para contas financiadas já ativas, aplica-se ainda uma regra de inatividade, segundo a qual a ausência de operações por um período superior a trinta dias pode resultar no encerramento da conta ou perda de elegibilidade.</w:t>
      </w:r>
    </w:p>
    <w:p w14:paraId="0C36D298" w14:textId="77777777" w:rsidR="00DE12CE" w:rsidRPr="00C831BC" w:rsidRDefault="00DE12CE" w:rsidP="00DE12CE">
      <w:pPr>
        <w:pStyle w:val="Ttulo4"/>
        <w:numPr>
          <w:ilvl w:val="0"/>
          <w:numId w:val="34"/>
        </w:numPr>
      </w:pPr>
      <w:r>
        <w:t>Divisão de Lucros</w:t>
      </w:r>
    </w:p>
    <w:p w14:paraId="5B3B0BBF" w14:textId="7E0DC134" w:rsidR="00394BF6" w:rsidRDefault="00DE12CE" w:rsidP="00394BF6">
      <w:r>
        <w:t xml:space="preserve">Divisão padrão de </w:t>
      </w:r>
      <w:r>
        <w:rPr>
          <w:rStyle w:val="s1"/>
          <w:b/>
          <w:bCs/>
        </w:rPr>
        <w:t>80% dos lucros para o trader e 20% para a firma</w:t>
      </w:r>
      <w:r>
        <w:t xml:space="preserve">, podendo esse percentual ser elevado para </w:t>
      </w:r>
      <w:r>
        <w:rPr>
          <w:rStyle w:val="s1"/>
          <w:b/>
          <w:bCs/>
        </w:rPr>
        <w:t>90%</w:t>
      </w:r>
      <w:r>
        <w:t xml:space="preserve"> em programas de fidelidade ou contas de performance consistente.</w:t>
      </w:r>
      <w:r w:rsidR="00A12894">
        <w:br/>
      </w:r>
    </w:p>
    <w:p w14:paraId="1D3BDCB5" w14:textId="5B458D34" w:rsidR="00A12894" w:rsidRDefault="00A12894" w:rsidP="00A12894">
      <w:pPr>
        <w:pStyle w:val="Ttulo4"/>
        <w:numPr>
          <w:ilvl w:val="0"/>
          <w:numId w:val="34"/>
        </w:numPr>
      </w:pPr>
      <w:r>
        <w:lastRenderedPageBreak/>
        <w:t>Variações abruptas de não justificadas de risco</w:t>
      </w:r>
    </w:p>
    <w:p w14:paraId="2F5F00D0" w14:textId="77777777" w:rsidR="00166A92" w:rsidRDefault="00A12894" w:rsidP="00166A92">
      <w:r>
        <w:t>Operações de risco extremo sem consistência com o histórico da conta. (Trader opera por semanas com 0.01 lote e de repente coloca 5.00 lotes em uma só ordem.). conta pode estar sendo usada como “alvo” para estratégias de hedge ou manipulação de estatística (inclusive por grupos que compram avaliações em lote).</w:t>
      </w:r>
    </w:p>
    <w:p w14:paraId="5D1DFF42" w14:textId="06242237" w:rsidR="00166A92" w:rsidRPr="00166A92" w:rsidRDefault="00166A92" w:rsidP="00166A92">
      <w:pPr>
        <w:pStyle w:val="Ttulo4"/>
        <w:numPr>
          <w:ilvl w:val="0"/>
          <w:numId w:val="34"/>
        </w:numPr>
      </w:pPr>
      <w:r>
        <w:t>Comportamento de “pass-through” ou proxy</w:t>
      </w:r>
    </w:p>
    <w:p w14:paraId="1E507626" w14:textId="37A6502E" w:rsidR="00166A92" w:rsidRDefault="00166A92" w:rsidP="00166A92">
      <w:r>
        <w:rPr>
          <w:rStyle w:val="apple-converted-space"/>
        </w:rPr>
        <w:t> </w:t>
      </w:r>
      <w:r>
        <w:t>A conta está copiando sinais de outra, mas não de forma institucional (sem usar Traders Connect, sem autorização prévia da prop). A prop percebe que aquela conta está servindo como “veículo” de terceiros. violação da política de uso individual da conta ou prática de revenda de acesso.</w:t>
      </w:r>
    </w:p>
    <w:p w14:paraId="0FD14156" w14:textId="77777777" w:rsidR="00166A92" w:rsidRDefault="00166A92" w:rsidP="00166A92">
      <w:pPr>
        <w:pStyle w:val="Ttulo4"/>
        <w:numPr>
          <w:ilvl w:val="0"/>
          <w:numId w:val="34"/>
        </w:numPr>
      </w:pPr>
      <w:r>
        <w:t>Padrões estatísticos incompatíveis com “trading humano”</w:t>
      </w:r>
    </w:p>
    <w:p w14:paraId="15EB5465" w14:textId="34DD037D" w:rsidR="008C6B79" w:rsidRDefault="00166A92" w:rsidP="008C6B79">
      <w:pPr>
        <w:rPr>
          <w:sz w:val="24"/>
        </w:rPr>
      </w:pPr>
      <w:r>
        <w:t>Dezenas de operações com mesma entrada e saída exatas, sem variação de slippage.</w:t>
      </w:r>
      <w:r w:rsidR="008C6B79" w:rsidRPr="008C6B79">
        <w:t xml:space="preserve"> </w:t>
      </w:r>
      <w:r w:rsidR="008C6B79">
        <w:t>Latência extremamente baixa (operações executadas com precisão de milissegundos).</w:t>
      </w:r>
      <w:r w:rsidR="008C6B79">
        <w:rPr>
          <w:sz w:val="24"/>
        </w:rPr>
        <w:t xml:space="preserve"> </w:t>
      </w:r>
      <w:r w:rsidR="008C6B79">
        <w:t>Alta frequência de ordens com stop-loss apertado e sucesso anormal. Uso de robôs não declarados, arbitragem ou copy trade automatizado sem permissão.</w:t>
      </w:r>
    </w:p>
    <w:p w14:paraId="5226DFE2" w14:textId="7D114B8E" w:rsidR="006258E0" w:rsidRDefault="006258E0" w:rsidP="006258E0">
      <w:pPr>
        <w:pStyle w:val="Ttulo4"/>
      </w:pPr>
      <w:r>
        <w:t>Conclusão</w:t>
      </w:r>
    </w:p>
    <w:p w14:paraId="2FA9FBC7" w14:textId="0FB10E2F" w:rsidR="006258E0" w:rsidRPr="006258E0" w:rsidRDefault="006258E0" w:rsidP="006258E0">
      <w:pPr>
        <w:rPr>
          <w:sz w:val="24"/>
        </w:rPr>
      </w:pPr>
      <w:r>
        <w:t xml:space="preserve">Dentre todas as exigências apresentadas pelas mesas proprietárias, a </w:t>
      </w:r>
      <w:r>
        <w:rPr>
          <w:rStyle w:val="s1"/>
          <w:b/>
          <w:bCs/>
        </w:rPr>
        <w:t>regra de perda diária máxima (Maximum Daily Loss)</w:t>
      </w:r>
      <w:r>
        <w:t xml:space="preserve"> é considerada a mais crítica pela gestão da JP Wealth. Seu descumprimento, mesmo por flutuação momentânea do equity, implica o encerramento automático da conta, sem possibilidade de recurso.</w:t>
      </w:r>
    </w:p>
    <w:p w14:paraId="52FAEBDA" w14:textId="61223D5C" w:rsidR="00A12894" w:rsidRPr="00A12894" w:rsidRDefault="006258E0" w:rsidP="008C6B79">
      <w:r>
        <w:t xml:space="preserve">Por essa razão, toda a estrutura estratégica da JP Wealth adaptada às prop firms foi construída com mais </w:t>
      </w:r>
      <w:r w:rsidR="003C6157">
        <w:t>ênfase em ser</w:t>
      </w:r>
      <w:r>
        <w:t xml:space="preserve"> preventivo nesta regra específica. O modelo adota margens de segurança, mecanismos de encerramento antecipado e pausas estratégicas para garantir que a performance respeite integralmente os limites operacionais impostos pelas instituições parceiras, assegurando a continuidade e a longevidade da gestão.</w:t>
      </w:r>
    </w:p>
    <w:p w14:paraId="11B916AA" w14:textId="77777777" w:rsidR="00394BF6" w:rsidRDefault="00394BF6" w:rsidP="00394BF6"/>
    <w:p w14:paraId="61CB4737" w14:textId="361BDBFE" w:rsidR="00394BF6" w:rsidRPr="00394BF6" w:rsidRDefault="00394BF6" w:rsidP="00394BF6">
      <w:pPr>
        <w:sectPr w:rsidR="00394BF6" w:rsidRPr="00394BF6" w:rsidSect="002F13A0">
          <w:headerReference w:type="default" r:id="rId8"/>
          <w:type w:val="continuous"/>
          <w:pgSz w:w="11906" w:h="16838"/>
          <w:pgMar w:top="1417" w:right="1701" w:bottom="1417" w:left="1701" w:header="708" w:footer="708" w:gutter="0"/>
          <w:pgNumType w:start="0"/>
          <w:cols w:space="708"/>
          <w:titlePg/>
          <w:docGrid w:linePitch="360"/>
        </w:sectPr>
      </w:pPr>
    </w:p>
    <w:p w14:paraId="7CB082AA" w14:textId="77777777" w:rsidR="00742047" w:rsidRDefault="00742047" w:rsidP="00742047">
      <w:pPr>
        <w:pStyle w:val="Ttulo2"/>
      </w:pPr>
      <w:bookmarkStart w:id="3" w:name="_Toc203640847"/>
      <w:r>
        <w:t>Diferenças Estruturais</w:t>
      </w:r>
      <w:bookmarkEnd w:id="3"/>
    </w:p>
    <w:p w14:paraId="6192430B" w14:textId="6EA94A05" w:rsidR="00742047" w:rsidRDefault="00742047" w:rsidP="00742047">
      <w:r>
        <w:t xml:space="preserve">A adaptação de um modelo de gestão profissional para o ambiente de </w:t>
      </w:r>
      <w:r>
        <w:rPr>
          <w:rStyle w:val="Forte"/>
        </w:rPr>
        <w:t>mesas proprietárias</w:t>
      </w:r>
      <w:r>
        <w:t xml:space="preserve"> exige o reconhecimento de diferenças essenciais, </w:t>
      </w:r>
      <w:r>
        <w:rPr>
          <w:rStyle w:val="Forte"/>
        </w:rPr>
        <w:t>conceituais</w:t>
      </w:r>
      <w:r>
        <w:t xml:space="preserve"> e </w:t>
      </w:r>
      <w:r>
        <w:rPr>
          <w:rStyle w:val="Forte"/>
        </w:rPr>
        <w:t>práticas</w:t>
      </w:r>
      <w:r>
        <w:t xml:space="preserve"> que alteram o ritmo, a forma e a profundidade do risco e dinâmica operacional</w:t>
      </w:r>
      <w:r w:rsidR="003C6157">
        <w:t xml:space="preserve"> do nosso modelo</w:t>
      </w:r>
      <w:r>
        <w:t>.</w:t>
      </w:r>
    </w:p>
    <w:p w14:paraId="2EE1AAFC" w14:textId="5F0867A0" w:rsidR="00620CDC" w:rsidRPr="00620CDC" w:rsidRDefault="00742047" w:rsidP="00620CDC">
      <w:r>
        <w:t xml:space="preserve">A tolerância estatística e filosófica da JP Wealth precisa ser adaptada para lidar com limites de perda que são </w:t>
      </w:r>
      <w:r>
        <w:rPr>
          <w:rStyle w:val="Forte"/>
        </w:rPr>
        <w:t>inflexíveis</w:t>
      </w:r>
      <w:r>
        <w:t xml:space="preserve"> e </w:t>
      </w:r>
      <w:r>
        <w:rPr>
          <w:rStyle w:val="Forte"/>
        </w:rPr>
        <w:t>absolutos</w:t>
      </w:r>
      <w:r>
        <w:t>.</w:t>
      </w:r>
    </w:p>
    <w:p w14:paraId="103A6167" w14:textId="1CF0B8F2" w:rsidR="00045CAA" w:rsidRPr="00045CAA" w:rsidRDefault="00F23F66" w:rsidP="00045CAA">
      <w:pPr>
        <w:pStyle w:val="Ttulo4"/>
      </w:pPr>
      <w:r>
        <w:t>A I</w:t>
      </w:r>
      <w:r w:rsidR="00F71B0B" w:rsidRPr="00F4699D">
        <w:t xml:space="preserve">ncompatibilidade do </w:t>
      </w:r>
      <w:r>
        <w:t>R</w:t>
      </w:r>
      <w:r w:rsidR="00F71B0B" w:rsidRPr="00F4699D">
        <w:t xml:space="preserve">egime de </w:t>
      </w:r>
      <w:r>
        <w:t>R</w:t>
      </w:r>
      <w:r w:rsidR="00F71B0B" w:rsidRPr="00F4699D">
        <w:t xml:space="preserve">eferência </w:t>
      </w:r>
      <w:r>
        <w:t>(DDR</w:t>
      </w:r>
      <w:r w:rsidR="006E77AF">
        <w:t>)</w:t>
      </w:r>
      <w:r w:rsidR="00045CAA">
        <w:t>:</w:t>
      </w:r>
    </w:p>
    <w:p w14:paraId="7CA99B7E" w14:textId="6AD9FE44" w:rsidR="00045CAA" w:rsidRDefault="006E77AF" w:rsidP="008513D6">
      <w:r>
        <w:t>No estatuto Jp Wealth o</w:t>
      </w:r>
      <w:r w:rsidR="00F71B0B">
        <w:t xml:space="preserve"> regime de 12%</w:t>
      </w:r>
      <w:r w:rsidR="00984AF0">
        <w:t xml:space="preserve"> de DDR</w:t>
      </w:r>
      <w:r w:rsidR="00F71B0B">
        <w:t xml:space="preserve"> não pode ser aplicado de forma integral</w:t>
      </w:r>
      <w:r w:rsidR="00984AF0">
        <w:t>, principalmente</w:t>
      </w:r>
      <w:r w:rsidR="00F71B0B">
        <w:t xml:space="preserve"> no início das contas proprietárias. Isso exige uma </w:t>
      </w:r>
      <w:r w:rsidR="00F71B0B">
        <w:rPr>
          <w:rStyle w:val="Forte"/>
        </w:rPr>
        <w:t>redução de exposição ou número de operações simultâneas</w:t>
      </w:r>
      <w:r w:rsidR="00F70DB2">
        <w:t xml:space="preserve"> permitido</w:t>
      </w:r>
      <w:r w:rsidR="00203889">
        <w:t>, e adaptações no modelo original Jp Wealth.</w:t>
      </w:r>
    </w:p>
    <w:p w14:paraId="36F5474C" w14:textId="77777777" w:rsidR="006D6564" w:rsidRDefault="006D6564" w:rsidP="008513D6"/>
    <w:p w14:paraId="50838530" w14:textId="1B22A1B9" w:rsidR="00A01701" w:rsidRDefault="00A01701" w:rsidP="001A67AA">
      <w:pPr>
        <w:pStyle w:val="Ttulo2"/>
      </w:pPr>
      <w:bookmarkStart w:id="4" w:name="_Toc203640848"/>
      <w:r w:rsidRPr="00A01701">
        <w:t xml:space="preserve">Desafios </w:t>
      </w:r>
      <w:r w:rsidR="00045CAA">
        <w:t>e Adaptações</w:t>
      </w:r>
      <w:bookmarkEnd w:id="4"/>
    </w:p>
    <w:p w14:paraId="7AA0EC23" w14:textId="5B87C039" w:rsidR="00A01701" w:rsidRDefault="00A01701" w:rsidP="00A01701">
      <w:r>
        <w:t>Mesas proprietárias, por sua natureza contábil e foco em disciplina rígida (inflexível), impõem desafios que podem entrar em tensão com os pilares da gestão Jp Wealth.</w:t>
      </w:r>
    </w:p>
    <w:p w14:paraId="78E074D1" w14:textId="764B50A0" w:rsidR="00A01701" w:rsidRDefault="00A01701" w:rsidP="00203889">
      <w:pPr>
        <w:pStyle w:val="Ttulo4"/>
      </w:pPr>
      <w:r w:rsidRPr="00A01701">
        <w:t>Limites Rígidos</w:t>
      </w:r>
    </w:p>
    <w:p w14:paraId="4F68756E" w14:textId="46495EC4" w:rsidR="00A01701" w:rsidRDefault="00992E69" w:rsidP="00A01701">
      <w:r>
        <w:tab/>
      </w:r>
      <w:r w:rsidR="00A01701">
        <w:t>A abordagem da JP Wealth permite ciclos naturais de absorção de volatilidade e maturação estatística de tendências, sem intervenções precipitadas.</w:t>
      </w:r>
      <w:r w:rsidR="00203889">
        <w:t xml:space="preserve"> </w:t>
      </w:r>
      <w:r w:rsidR="00A01701">
        <w:t>Por outro lado, as prop firms</w:t>
      </w:r>
      <w:r w:rsidR="00DD4883">
        <w:t xml:space="preserve"> </w:t>
      </w:r>
      <w:r w:rsidR="00A01701">
        <w:t xml:space="preserve">estabelecem </w:t>
      </w:r>
      <w:r w:rsidR="00A01701">
        <w:rPr>
          <w:rStyle w:val="Forte"/>
        </w:rPr>
        <w:t>limites diários de drawdown de 5%</w:t>
      </w:r>
      <w:r w:rsidR="00A01701">
        <w:t xml:space="preserve"> e </w:t>
      </w:r>
      <w:r w:rsidR="00A01701">
        <w:rPr>
          <w:rStyle w:val="Forte"/>
        </w:rPr>
        <w:t>limites máximos de 10</w:t>
      </w:r>
      <w:r w:rsidR="00B4728A">
        <w:rPr>
          <w:rStyle w:val="Forte"/>
        </w:rPr>
        <w:t>%</w:t>
      </w:r>
    </w:p>
    <w:p w14:paraId="482DFB9B" w14:textId="4CD8222E" w:rsidR="00A01701" w:rsidRDefault="00A01701" w:rsidP="00A01701">
      <w:r>
        <w:t>Isso obriga a gestão a:</w:t>
      </w:r>
    </w:p>
    <w:p w14:paraId="7A03318B" w14:textId="13A97EDC" w:rsidR="00A01701" w:rsidRDefault="00A01701" w:rsidP="00A01701">
      <w:pPr>
        <w:pStyle w:val="PargrafodaLista"/>
        <w:numPr>
          <w:ilvl w:val="0"/>
          <w:numId w:val="7"/>
        </w:numPr>
        <w:rPr>
          <w:lang w:eastAsia="pt-BR"/>
        </w:rPr>
      </w:pPr>
      <w:r w:rsidRPr="00A01701">
        <w:rPr>
          <w:lang w:eastAsia="pt-BR"/>
        </w:rPr>
        <w:t>Reduzir a alavancagem real a níveis menores que o padrão institucional;</w:t>
      </w:r>
    </w:p>
    <w:p w14:paraId="2781E60A" w14:textId="0C82ED3F" w:rsidR="00A01701" w:rsidRDefault="00A01701" w:rsidP="00A01701">
      <w:pPr>
        <w:pStyle w:val="PargrafodaLista"/>
        <w:numPr>
          <w:ilvl w:val="0"/>
          <w:numId w:val="6"/>
        </w:numPr>
        <w:rPr>
          <w:lang w:eastAsia="pt-BR"/>
        </w:rPr>
      </w:pPr>
      <w:r w:rsidRPr="00A01701">
        <w:rPr>
          <w:lang w:eastAsia="pt-BR"/>
        </w:rPr>
        <w:t xml:space="preserve">Monitorar a velocidade de flutuação (não apenas o tamanho estatístico do stop), pois </w:t>
      </w:r>
      <w:r w:rsidRPr="00A01701">
        <w:rPr>
          <w:b/>
          <w:bCs/>
          <w:lang w:eastAsia="pt-BR"/>
        </w:rPr>
        <w:t>o risco de violação se torna “temporal”</w:t>
      </w:r>
      <w:r w:rsidRPr="00A01701">
        <w:rPr>
          <w:lang w:eastAsia="pt-BR"/>
        </w:rPr>
        <w:t xml:space="preserve"> e não apenas financeiro.</w:t>
      </w:r>
    </w:p>
    <w:p w14:paraId="38280084" w14:textId="0831D82B" w:rsidR="00A01701" w:rsidRPr="00A01701" w:rsidRDefault="00A01701" w:rsidP="00316F31">
      <w:pPr>
        <w:pStyle w:val="Ttulo3"/>
        <w:rPr>
          <w:lang w:eastAsia="pt-BR"/>
        </w:rPr>
      </w:pPr>
      <w:bookmarkStart w:id="5" w:name="_Toc203640849"/>
      <w:r w:rsidRPr="00A01701">
        <w:t>Maturação do Trade</w:t>
      </w:r>
      <w:bookmarkEnd w:id="5"/>
    </w:p>
    <w:p w14:paraId="34A93DF8" w14:textId="40F28972" w:rsidR="00A01701" w:rsidRDefault="00A01701" w:rsidP="00A01701">
      <w:r>
        <w:t xml:space="preserve">O JP Wealth foi desenhado para permitir que o preço flutue dentro de zonas estatísticas naturais (ex.: múltiplos de ATR, reversão dentro de canais Nocuda), aceitando que </w:t>
      </w:r>
      <w:r>
        <w:rPr>
          <w:rStyle w:val="Forte"/>
        </w:rPr>
        <w:t>equity e saldo se descolem temporariamente</w:t>
      </w:r>
      <w:r>
        <w:t>.</w:t>
      </w:r>
    </w:p>
    <w:p w14:paraId="3A19FFEC" w14:textId="714E9B84" w:rsidR="007C6B0B" w:rsidRDefault="007C6B0B" w:rsidP="00A01701">
      <w:r>
        <w:t>Nas mesas proprietárias, essa flutuação temporária pode ser fatal</w:t>
      </w:r>
      <w:r w:rsidR="007F5509">
        <w:t xml:space="preserve"> e eliminatória</w:t>
      </w:r>
      <w:r>
        <w:t>, porque:</w:t>
      </w:r>
    </w:p>
    <w:p w14:paraId="67732E47" w14:textId="22219436" w:rsidR="007C6B0B" w:rsidRDefault="007C6B0B" w:rsidP="009C79E1">
      <w:pPr>
        <w:pStyle w:val="PargrafodaLista"/>
        <w:ind w:left="0"/>
      </w:pPr>
      <w:r>
        <w:t xml:space="preserve">O limite de drawdown diário é recalculado </w:t>
      </w:r>
      <w:r>
        <w:rPr>
          <w:rStyle w:val="Forte"/>
        </w:rPr>
        <w:t>sempre com base no maior saldo do dia anterior entre equity e balance</w:t>
      </w:r>
      <w:r>
        <w:t>.</w:t>
      </w:r>
    </w:p>
    <w:p w14:paraId="55424590" w14:textId="337DFCFC" w:rsidR="007C6B0B" w:rsidRDefault="007C6B0B" w:rsidP="00BA0388">
      <w:pPr>
        <w:pStyle w:val="PargrafodaLista"/>
        <w:ind w:left="0"/>
        <w:rPr>
          <w:lang w:eastAsia="pt-BR"/>
        </w:rPr>
      </w:pPr>
      <w:r w:rsidRPr="007C6B0B">
        <w:rPr>
          <w:lang w:eastAsia="pt-BR"/>
        </w:rPr>
        <w:t>Mesmo se o saldo estiver em lucro parcial</w:t>
      </w:r>
      <w:r>
        <w:rPr>
          <w:lang w:eastAsia="pt-BR"/>
        </w:rPr>
        <w:t xml:space="preserve"> que gera aumento do balance e as ordens flutuantes mesmo que estáveis tendem a aumentar a distância entre eles</w:t>
      </w:r>
      <w:r w:rsidR="006D6564">
        <w:rPr>
          <w:lang w:eastAsia="pt-BR"/>
        </w:rPr>
        <w:t xml:space="preserve"> (Balance e Equity)</w:t>
      </w:r>
      <w:r w:rsidRPr="007C6B0B">
        <w:rPr>
          <w:lang w:eastAsia="pt-BR"/>
        </w:rPr>
        <w:t>, basta uma queda pontual no equity para violar a regra.</w:t>
      </w:r>
    </w:p>
    <w:p w14:paraId="705A0ADF" w14:textId="4849B74D" w:rsidR="00750953" w:rsidRDefault="007C6B0B">
      <w:pPr>
        <w:rPr>
          <w:lang w:eastAsia="pt-BR"/>
        </w:rPr>
      </w:pPr>
      <w:r w:rsidRPr="007C6B0B">
        <w:rPr>
          <w:lang w:eastAsia="pt-BR"/>
        </w:rPr>
        <w:t xml:space="preserve">Esse </w:t>
      </w:r>
      <w:r w:rsidR="00275CA9">
        <w:rPr>
          <w:lang w:eastAsia="pt-BR"/>
        </w:rPr>
        <w:t>“</w:t>
      </w:r>
      <w:r w:rsidRPr="007C6B0B">
        <w:rPr>
          <w:lang w:eastAsia="pt-BR"/>
        </w:rPr>
        <w:t>descolamento contábil</w:t>
      </w:r>
      <w:r w:rsidR="00275CA9">
        <w:rPr>
          <w:lang w:eastAsia="pt-BR"/>
        </w:rPr>
        <w:t>”</w:t>
      </w:r>
      <w:r w:rsidRPr="007C6B0B">
        <w:rPr>
          <w:lang w:eastAsia="pt-BR"/>
        </w:rPr>
        <w:t xml:space="preserve"> cria uma tensão entre:</w:t>
      </w:r>
      <w:r>
        <w:rPr>
          <w:lang w:eastAsia="pt-BR"/>
        </w:rPr>
        <w:t xml:space="preserve"> </w:t>
      </w:r>
      <w:r>
        <w:t>A paciência e disciplina adotado no modelo JP Wealth, e a necessidade de alinhar equity e saldo artificialmente (</w:t>
      </w:r>
      <w:r w:rsidR="00EC0AC7">
        <w:t>r</w:t>
      </w:r>
      <w:r w:rsidR="00275CA9">
        <w:t>essincronização</w:t>
      </w:r>
      <w:r>
        <w:t>).</w:t>
      </w:r>
    </w:p>
    <w:p w14:paraId="68660BE9" w14:textId="0787DAE1" w:rsidR="0086409D" w:rsidRPr="0073336F" w:rsidRDefault="0086409D" w:rsidP="0073336F">
      <w:pPr>
        <w:pStyle w:val="Ttulo3"/>
      </w:pPr>
      <w:bookmarkStart w:id="6" w:name="_Toc203640850"/>
      <w:r w:rsidRPr="0073336F">
        <w:t>Resincronização</w:t>
      </w:r>
      <w:bookmarkEnd w:id="6"/>
    </w:p>
    <w:p w14:paraId="5A1AD702" w14:textId="6DFE0F62" w:rsidR="007B70D4" w:rsidRPr="007B70D4" w:rsidRDefault="007B70D4" w:rsidP="007B70D4">
      <w:pPr>
        <w:rPr>
          <w:rFonts w:cs="Times New Roman"/>
        </w:rPr>
      </w:pPr>
      <w:r w:rsidRPr="007B70D4">
        <w:rPr>
          <w:rFonts w:cs="Times New Roman"/>
        </w:rPr>
        <w:t>A ressincronização é</w:t>
      </w:r>
      <w:r w:rsidR="00466E55">
        <w:rPr>
          <w:rFonts w:cs="Times New Roman"/>
        </w:rPr>
        <w:t xml:space="preserve"> a</w:t>
      </w:r>
      <w:r w:rsidRPr="007B70D4">
        <w:rPr>
          <w:rFonts w:cs="Times New Roman"/>
        </w:rPr>
        <w:t xml:space="preserve"> técnica necessária para realinhar balance e equity, evitando o descolamento progressivo que fragiliza a conta frente ao limite de drawdown diário. Consiste em fechar e reabrir posições no mesmo ponto para equalizar contábilmente saldo e patrimônio.</w:t>
      </w:r>
    </w:p>
    <w:p w14:paraId="3B1B440B" w14:textId="77777777" w:rsidR="004527CD" w:rsidRPr="004527CD" w:rsidRDefault="004527CD" w:rsidP="004527CD">
      <w:pPr>
        <w:rPr>
          <w:b/>
          <w:bCs/>
        </w:rPr>
      </w:pPr>
      <w:r w:rsidRPr="004527CD">
        <w:rPr>
          <w:b/>
          <w:bCs/>
        </w:rPr>
        <w:t>Custo da resincronização:</w:t>
      </w:r>
    </w:p>
    <w:p w14:paraId="200E3556" w14:textId="77777777" w:rsidR="004527CD" w:rsidRPr="004527CD" w:rsidRDefault="004527CD" w:rsidP="004527CD">
      <w:pPr>
        <w:pStyle w:val="PargrafodaLista"/>
        <w:numPr>
          <w:ilvl w:val="0"/>
          <w:numId w:val="21"/>
        </w:numPr>
      </w:pPr>
      <w:r w:rsidRPr="004527CD">
        <w:t>Slippage em ativos voláteis.</w:t>
      </w:r>
    </w:p>
    <w:p w14:paraId="5C20E7D3" w14:textId="77777777" w:rsidR="004527CD" w:rsidRPr="004527CD" w:rsidRDefault="004527CD" w:rsidP="004527CD">
      <w:pPr>
        <w:pStyle w:val="PargrafodaLista"/>
        <w:numPr>
          <w:ilvl w:val="0"/>
          <w:numId w:val="21"/>
        </w:numPr>
      </w:pPr>
      <w:r w:rsidRPr="004527CD">
        <w:t>Spreads e comissões adicionais.</w:t>
      </w:r>
    </w:p>
    <w:p w14:paraId="37BCC2BB" w14:textId="5A1AADA1" w:rsidR="0086409D" w:rsidRDefault="0086409D" w:rsidP="0086409D">
      <w:pPr>
        <w:rPr>
          <w:lang w:eastAsia="pt-BR"/>
        </w:rPr>
      </w:pPr>
      <w:r w:rsidRPr="0086409D">
        <w:rPr>
          <w:lang w:eastAsia="pt-BR"/>
        </w:rPr>
        <w:t>Os desafios impostos pelas mesas proprietárias exigem que o gestor JP Wealth</w:t>
      </w:r>
      <w:r>
        <w:rPr>
          <w:lang w:eastAsia="pt-BR"/>
        </w:rPr>
        <w:t xml:space="preserve"> </w:t>
      </w:r>
      <w:r>
        <w:rPr>
          <w:b/>
          <w:bCs/>
          <w:lang w:eastAsia="pt-BR"/>
        </w:rPr>
        <w:t>a</w:t>
      </w:r>
      <w:r w:rsidRPr="0086409D">
        <w:rPr>
          <w:b/>
          <w:bCs/>
          <w:lang w:eastAsia="pt-BR"/>
        </w:rPr>
        <w:t>ceite restrições que não existem no ambiente institucional</w:t>
      </w:r>
      <w:r w:rsidRPr="0086409D">
        <w:rPr>
          <w:lang w:eastAsia="pt-BR"/>
        </w:rPr>
        <w:t xml:space="preserve"> (snapshot contábil).</w:t>
      </w:r>
      <w:r>
        <w:rPr>
          <w:lang w:eastAsia="pt-BR"/>
        </w:rPr>
        <w:t xml:space="preserve"> </w:t>
      </w:r>
      <w:r w:rsidRPr="0086409D">
        <w:rPr>
          <w:b/>
          <w:bCs/>
          <w:lang w:eastAsia="pt-BR"/>
        </w:rPr>
        <w:t>Recalibre a velocidade e intensidade do risco</w:t>
      </w:r>
      <w:r w:rsidRPr="0086409D">
        <w:rPr>
          <w:lang w:eastAsia="pt-BR"/>
        </w:rPr>
        <w:t xml:space="preserve">, sem abandonar os princípios </w:t>
      </w:r>
      <w:r>
        <w:rPr>
          <w:lang w:eastAsia="pt-BR"/>
        </w:rPr>
        <w:t>da gestão.</w:t>
      </w:r>
    </w:p>
    <w:p w14:paraId="12AE6329" w14:textId="6CFAE48C" w:rsidR="002B6C33" w:rsidRDefault="002B6C33" w:rsidP="0086409D">
      <w:pPr>
        <w:rPr>
          <w:lang w:eastAsia="pt-BR"/>
        </w:rPr>
      </w:pPr>
      <w:r>
        <w:rPr>
          <w:lang w:eastAsia="pt-BR"/>
        </w:rPr>
        <w:t>Nossa política será de ressincronizar sempre que o Drawdown diário estiver abaixo de 4% no dia após o recalculo do dia.</w:t>
      </w:r>
    </w:p>
    <w:p w14:paraId="26E118B9" w14:textId="77777777" w:rsidR="006D6564" w:rsidRDefault="006D6564" w:rsidP="006D6564">
      <w:pPr>
        <w:pStyle w:val="Ttulo3"/>
      </w:pPr>
      <w:bookmarkStart w:id="7" w:name="_Toc203640851"/>
      <w:r w:rsidRPr="007C6B0B">
        <w:lastRenderedPageBreak/>
        <w:t>Múltiplas Operações</w:t>
      </w:r>
      <w:bookmarkEnd w:id="7"/>
      <w:r w:rsidRPr="007C6B0B">
        <w:t xml:space="preserve"> </w:t>
      </w:r>
    </w:p>
    <w:p w14:paraId="247E456E" w14:textId="77777777" w:rsidR="006D6564" w:rsidRDefault="006D6564" w:rsidP="006D6564">
      <w:r>
        <w:t>O JP Wealth tradicionalmente tolera até três operações simultâneas, cada uma com risco financeiro calculado e stop técnico validado.</w:t>
      </w:r>
    </w:p>
    <w:p w14:paraId="1B3A46BC" w14:textId="77777777" w:rsidR="006D6564" w:rsidRDefault="006D6564" w:rsidP="006D6564">
      <w:r>
        <w:t>Em ambientes de prop firms, isso frequentemente não é possível, porque a soma das flutuações intradiárias de três operações, mesmo que tecnicamente viáveis, pode ultrapassar o drawdown diário de 5%, nos colocando a mercê da distribuição da volatilidade desses retornos colocando a conta da prop firm em ambiente de fragilidade.</w:t>
      </w:r>
    </w:p>
    <w:p w14:paraId="0816223F" w14:textId="52ED0055" w:rsidR="006D6564" w:rsidRPr="007C2835" w:rsidRDefault="006D6564" w:rsidP="0086409D">
      <w:pPr>
        <w:rPr>
          <w:b/>
          <w:bCs/>
          <w:lang w:eastAsia="pt-BR"/>
        </w:rPr>
      </w:pPr>
      <w:r w:rsidRPr="00AB1BFF">
        <w:rPr>
          <w:b/>
          <w:bCs/>
          <w:lang w:eastAsia="pt-BR"/>
        </w:rPr>
        <w:t>Uma alternativa a isso obriga o gestor a reduzir para apenas 2 operações simultâneas e recalibrar a exposição.</w:t>
      </w:r>
    </w:p>
    <w:p w14:paraId="26F4FCED" w14:textId="2BCBCF12" w:rsidR="00483BD9" w:rsidRDefault="00483BD9" w:rsidP="00067E38">
      <w:pPr>
        <w:pStyle w:val="Ttulo3"/>
        <w:rPr>
          <w:lang w:eastAsia="pt-BR"/>
        </w:rPr>
      </w:pPr>
      <w:bookmarkStart w:id="8" w:name="_Toc203640852"/>
      <w:r w:rsidRPr="00483BD9">
        <w:rPr>
          <w:lang w:eastAsia="pt-BR"/>
        </w:rPr>
        <w:t>Lucro Atenua o Risco</w:t>
      </w:r>
      <w:bookmarkEnd w:id="8"/>
    </w:p>
    <w:p w14:paraId="3F3EDE73" w14:textId="010E491E" w:rsidR="00483BD9" w:rsidRDefault="00483BD9" w:rsidP="00483BD9">
      <w:r>
        <w:t>Mesmo com limites absolutos fixos, o lucro acumulado gera margem operacional adicional. Ainda que o drawdown total permaneça fixado em 10% sobre o saldo inicial, o capital acumulado aumenta a gordura operacional relativa, permitindo maior espaço de flutuação tática.</w:t>
      </w:r>
      <w:r w:rsidR="0084250C">
        <w:t xml:space="preserve"> </w:t>
      </w:r>
      <w:r>
        <w:t>Essa folga não altera o contrato da prop firm, mas permite à gestão trabalhar com conforto estatístico superior, mantendo ainda absoluto respeito aos limites formais.</w:t>
      </w:r>
    </w:p>
    <w:p w14:paraId="60F4B80C" w14:textId="351B6A9E" w:rsidR="00841422" w:rsidRDefault="00841422" w:rsidP="00483BD9">
      <w:r>
        <w:t xml:space="preserve">Nossa política para contas financiadas será de represar os primeiros 3% de lucro da conta para fim de manter nosso Drawdown máximo em 13% ao invés de 10%, trazendo folga </w:t>
      </w:r>
      <w:r w:rsidR="00455C60">
        <w:t>para a aplicação dos regimes de risco.</w:t>
      </w:r>
    </w:p>
    <w:p w14:paraId="6A7AFAD9" w14:textId="59DB9712" w:rsidR="00B40581" w:rsidRDefault="00B40581" w:rsidP="00B40581">
      <w:pPr>
        <w:pStyle w:val="Ttulo3"/>
      </w:pPr>
      <w:bookmarkStart w:id="9" w:name="_Toc203640853"/>
      <w:r>
        <w:t>Daily Loss e Monitoramento</w:t>
      </w:r>
      <w:bookmarkEnd w:id="9"/>
    </w:p>
    <w:p w14:paraId="02068CE8" w14:textId="54DC8CED" w:rsidR="00DF6197" w:rsidRDefault="00AF5F88" w:rsidP="00217E64">
      <w:r>
        <w:t xml:space="preserve">Nosso limite de </w:t>
      </w:r>
      <w:r w:rsidR="00217E64">
        <w:t>perda diári</w:t>
      </w:r>
      <w:r>
        <w:t>a</w:t>
      </w:r>
      <w:r w:rsidR="00217E64">
        <w:t xml:space="preserve"> será ajustado</w:t>
      </w:r>
      <w:r>
        <w:t xml:space="preserve"> de forma</w:t>
      </w:r>
      <w:r w:rsidR="00217E64">
        <w:t xml:space="preserve"> mais rígid</w:t>
      </w:r>
      <w:r>
        <w:t>a</w:t>
      </w:r>
      <w:r w:rsidR="00217E64">
        <w:t xml:space="preserve"> do que as prop firms, ajustaremos para 4% do capital no dia, </w:t>
      </w:r>
      <w:r w:rsidR="00DF6197">
        <w:t xml:space="preserve">atuará </w:t>
      </w:r>
      <w:r w:rsidR="00217E64">
        <w:t xml:space="preserve">como medida preventiva para evitar o risco de slippage </w:t>
      </w:r>
      <w:r w:rsidR="0030156C">
        <w:t xml:space="preserve">em dias de altíssima volatilidade, </w:t>
      </w:r>
      <w:r w:rsidR="00217E64">
        <w:t xml:space="preserve">e garantir que o limite formal de 5% nunca seja atingido. </w:t>
      </w:r>
    </w:p>
    <w:p w14:paraId="2CFDCDC7" w14:textId="20071DEF" w:rsidR="00217E64" w:rsidRPr="007C2835" w:rsidRDefault="00217E64" w:rsidP="00217E64">
      <w:pPr>
        <w:rPr>
          <w:b/>
          <w:bCs/>
        </w:rPr>
      </w:pPr>
      <w:r>
        <w:t xml:space="preserve">Isso será implementado por meio de ferramentas automatizadas </w:t>
      </w:r>
      <w:r w:rsidR="00DF6197">
        <w:t xml:space="preserve">que fazem o monitoramento do equity da conta 24 horas por dia e 7 dias por semana </w:t>
      </w:r>
      <w:r>
        <w:t xml:space="preserve">como o </w:t>
      </w:r>
      <w:r w:rsidRPr="007C2835">
        <w:rPr>
          <w:b/>
          <w:bCs/>
        </w:rPr>
        <w:t>Traders Connect.</w:t>
      </w:r>
    </w:p>
    <w:p w14:paraId="25029A93" w14:textId="13CFF32A" w:rsidR="00563470" w:rsidRDefault="00563470" w:rsidP="00217E64">
      <w:r>
        <w:t xml:space="preserve">O daily loss dessas contas deve ser </w:t>
      </w:r>
      <w:r w:rsidR="007C2835">
        <w:t>configurado, portanto,</w:t>
      </w:r>
      <w:r>
        <w:t xml:space="preserve"> em 4%, também deverá ser desativado o copy ao acionar esse limite diário.</w:t>
      </w:r>
      <w:r w:rsidR="00FD3538">
        <w:t xml:space="preserve"> </w:t>
      </w:r>
    </w:p>
    <w:p w14:paraId="1460DA28" w14:textId="6059A5B9" w:rsidR="00FD3538" w:rsidRDefault="00FD3538" w:rsidP="00217E64">
      <w:r>
        <w:t>As chaves e acesso a plataforma não poderão ficar com o operador da conta.</w:t>
      </w:r>
    </w:p>
    <w:p w14:paraId="6FC5E709" w14:textId="32FCE5FB" w:rsidR="00FD3538" w:rsidRDefault="00FD3538" w:rsidP="00AC743C">
      <w:pPr>
        <w:pStyle w:val="Ttulo4"/>
      </w:pPr>
      <w:r>
        <w:t>Reentrada após DailyLoss atingido</w:t>
      </w:r>
    </w:p>
    <w:p w14:paraId="1D6C3482" w14:textId="053EC08F" w:rsidR="00057C64" w:rsidRDefault="00057C64" w:rsidP="00217E64">
      <w:r>
        <w:t xml:space="preserve">Caso o limite de 4% diário seja atingido, será realizado o encerramento de todas as operações pela plataforma de monitoramento, o copy também será automaticamente </w:t>
      </w:r>
      <w:r w:rsidR="00DB5FC4">
        <w:t>fechado, necessitando realocação das configurações.</w:t>
      </w:r>
    </w:p>
    <w:p w14:paraId="0961E96C" w14:textId="7F0AFEFB" w:rsidR="00483BD9" w:rsidRPr="008513D6" w:rsidRDefault="00DB5FC4" w:rsidP="0086409D">
      <w:r>
        <w:t>Após o encerramento</w:t>
      </w:r>
      <w:r w:rsidR="00A30651">
        <w:t xml:space="preserve"> das operações pelo dailyloss, adotaremos uma política de espera</w:t>
      </w:r>
      <w:r w:rsidR="00AD7E3F">
        <w:t xml:space="preserve"> de 1 semana antes de retomar as operações. Esse é o período para que seja reavaliada a estratégia, </w:t>
      </w:r>
      <w:r w:rsidR="00506CA8">
        <w:t xml:space="preserve">recomposição emocional, ajuste do plano de trading, e remoção de associação. </w:t>
      </w:r>
    </w:p>
    <w:p w14:paraId="1AB6AABF" w14:textId="21B46546" w:rsidR="0040285C" w:rsidRPr="00ED64C7" w:rsidRDefault="0040285C" w:rsidP="001A67AA">
      <w:pPr>
        <w:pStyle w:val="Ttulo3"/>
      </w:pPr>
      <w:bookmarkStart w:id="10" w:name="_Toc203640854"/>
      <w:r w:rsidRPr="00ED64C7">
        <w:t>Fator de Correção:</w:t>
      </w:r>
      <w:bookmarkEnd w:id="10"/>
    </w:p>
    <w:p w14:paraId="6F794771" w14:textId="213E960F" w:rsidR="0040285C" w:rsidRDefault="0040285C" w:rsidP="00985D2E">
      <w:r>
        <w:t xml:space="preserve">A cada conta de prop firm é aplicado um fator interno de correção proporcional ao saldo da conta master (JP Wealth MAM), garantindo que a exposição real </w:t>
      </w:r>
      <w:r w:rsidR="00E567E2">
        <w:t xml:space="preserve">das gerenciadas </w:t>
      </w:r>
      <w:r>
        <w:t xml:space="preserve">permaneça consistente </w:t>
      </w:r>
      <w:r w:rsidR="001170C6">
        <w:t xml:space="preserve">com seus respectivos regimes e métricas de risco, </w:t>
      </w:r>
      <w:r>
        <w:t>independentemente do tamanho nominal da conta.</w:t>
      </w:r>
      <w:r w:rsidR="000D3E01">
        <w:t xml:space="preserve"> Criamos </w:t>
      </w:r>
      <w:r w:rsidR="001250CA">
        <w:t>quatro</w:t>
      </w:r>
      <w:r w:rsidR="000D3E01">
        <w:t xml:space="preserve"> modelos derivados da Jp Wealth,</w:t>
      </w:r>
      <w:r w:rsidR="001170C6">
        <w:t xml:space="preserve"> para mesas proprietárias</w:t>
      </w:r>
      <w:r w:rsidR="000D3E01">
        <w:t xml:space="preserve"> </w:t>
      </w:r>
      <w:r w:rsidR="007A05A3">
        <w:t xml:space="preserve">o Jp Wealth Prop Firm </w:t>
      </w:r>
      <w:r w:rsidR="00CE0E69">
        <w:t>Longevity</w:t>
      </w:r>
      <w:r w:rsidR="007A05A3">
        <w:t xml:space="preserve"> e o Jp Wealth Prop Firm High</w:t>
      </w:r>
      <w:r w:rsidR="00CE0E69">
        <w:t xml:space="preserve"> Longevity e High Longevity Plus</w:t>
      </w:r>
      <w:r w:rsidR="007A05A3">
        <w:t>.</w:t>
      </w:r>
    </w:p>
    <w:p w14:paraId="20DE5D94" w14:textId="77777777" w:rsidR="00173355" w:rsidRDefault="00173355" w:rsidP="00173355">
      <w:pPr>
        <w:pStyle w:val="Ttulo2"/>
      </w:pPr>
      <w:bookmarkStart w:id="11" w:name="_Toc203640855"/>
      <w:r>
        <w:t>Perfis de Risco na Prop Firm</w:t>
      </w:r>
      <w:bookmarkEnd w:id="11"/>
    </w:p>
    <w:p w14:paraId="12320E81" w14:textId="243FFAFD" w:rsidR="007B1C00" w:rsidRPr="00342F85" w:rsidRDefault="00EA2B23" w:rsidP="00746F62">
      <w:pPr>
        <w:rPr>
          <w:sz w:val="24"/>
        </w:rPr>
      </w:pPr>
      <w:r>
        <w:t>A estrutura da JP Wealth em ambientes de mesa proprietária está organizada em três perfis de risco progressivamente mais conservadores. Todos derivam da conta master (JP Wealth MAM) por meio de um fator interno de correção proporcional, garantindo que o posicionamento de risco seja compatível com os limites contratuais típicos das prop firms, sem comprometer a filosofia da gestão.</w:t>
      </w:r>
    </w:p>
    <w:p w14:paraId="208B4346" w14:textId="749A38B8" w:rsidR="00CB6584" w:rsidRPr="00CB6584" w:rsidRDefault="00CB6584" w:rsidP="001339C2">
      <w:pPr>
        <w:pStyle w:val="Ttulo3"/>
        <w:numPr>
          <w:ilvl w:val="0"/>
          <w:numId w:val="22"/>
        </w:numPr>
      </w:pPr>
      <w:bookmarkStart w:id="12" w:name="_Toc203640857"/>
      <w:r w:rsidRPr="00CB6584">
        <w:t xml:space="preserve">JP Wealth High </w:t>
      </w:r>
      <w:r w:rsidR="002434C1">
        <w:t>Longevity</w:t>
      </w:r>
      <w:bookmarkEnd w:id="12"/>
    </w:p>
    <w:p w14:paraId="3EFA78CD" w14:textId="4431C947" w:rsidR="007A6D84" w:rsidRDefault="00157276" w:rsidP="00D61C7A">
      <w:r>
        <w:rPr>
          <w:b/>
          <w:bCs/>
        </w:rPr>
        <w:t>Position Size:</w:t>
      </w:r>
      <w:r>
        <w:t xml:space="preserve"> Ajuste padrão, derivado do position size da JP Wealth MAM, com fator de correção proporcional, de 50% do que é admitido na JP Wealth. Isso nos traz a um</w:t>
      </w:r>
      <w:r w:rsidR="005F2493">
        <w:t>:</w:t>
      </w:r>
    </w:p>
    <w:p w14:paraId="7BACD92B" w14:textId="44E19E0D" w:rsidR="005F2493" w:rsidRDefault="005F2493" w:rsidP="005F2493">
      <w:r w:rsidRPr="00D6271D">
        <w:rPr>
          <w:b/>
          <w:bCs/>
        </w:rPr>
        <w:t xml:space="preserve">Drawdown de Referência (DDR) </w:t>
      </w:r>
      <w:r>
        <w:t>em torno de 6%</w:t>
      </w:r>
    </w:p>
    <w:p w14:paraId="7D7A91F5" w14:textId="620F1406" w:rsidR="00156180" w:rsidRDefault="005F2493" w:rsidP="005F2493">
      <w:r w:rsidRPr="00D6271D">
        <w:rPr>
          <w:b/>
          <w:bCs/>
        </w:rPr>
        <w:t>Alavancagem por ordem:</w:t>
      </w:r>
      <w:r>
        <w:t xml:space="preserve"> 0,2</w:t>
      </w:r>
      <w:r w:rsidR="002A0801">
        <w:t>0</w:t>
      </w:r>
      <w:r>
        <w:t>x (Regime Normal)</w:t>
      </w:r>
    </w:p>
    <w:p w14:paraId="0C085D73" w14:textId="3058025B" w:rsidR="00D6271D" w:rsidRDefault="00D6271D" w:rsidP="005F2493">
      <w:r>
        <w:t xml:space="preserve">Retorno médio esperado: </w:t>
      </w:r>
      <w:r w:rsidR="0089623E">
        <w:rPr>
          <w:b/>
          <w:bCs/>
        </w:rPr>
        <w:t>1,75</w:t>
      </w:r>
      <w:r w:rsidRPr="00D6271D">
        <w:rPr>
          <w:b/>
          <w:bCs/>
        </w:rPr>
        <w:t>%</w:t>
      </w:r>
    </w:p>
    <w:p w14:paraId="4C54DB78" w14:textId="7B927B67" w:rsidR="000F60E2" w:rsidRPr="00342F85" w:rsidRDefault="00845B41" w:rsidP="000F60E2">
      <w:pPr>
        <w:rPr>
          <w:sz w:val="24"/>
        </w:rPr>
      </w:pPr>
      <w:r>
        <w:t xml:space="preserve">O perfil High Longevity é voltado à </w:t>
      </w:r>
      <w:r>
        <w:rPr>
          <w:rStyle w:val="s1"/>
          <w:b/>
          <w:bCs/>
        </w:rPr>
        <w:t>resiliência tática e defesa estrutural</w:t>
      </w:r>
      <w:r>
        <w:t xml:space="preserve">. Seu foco não é a maximização de retorno, mas a continuidade operacional mesmo em contextos adversos. Ele atua como proteção institucional </w:t>
      </w:r>
      <w:proofErr w:type="gramStart"/>
      <w:r>
        <w:t>contra ciclos</w:t>
      </w:r>
      <w:proofErr w:type="gramEnd"/>
      <w:r>
        <w:t xml:space="preserve"> de alta volatilidade, oferecendo uma base mais conservadora dentro do portfólio.</w:t>
      </w:r>
    </w:p>
    <w:p w14:paraId="73935A5F" w14:textId="4E9A01E9" w:rsidR="000F60E2" w:rsidRPr="00CB6584" w:rsidRDefault="000F60E2" w:rsidP="000F60E2">
      <w:pPr>
        <w:pStyle w:val="Ttulo3"/>
        <w:numPr>
          <w:ilvl w:val="0"/>
          <w:numId w:val="22"/>
        </w:numPr>
      </w:pPr>
      <w:bookmarkStart w:id="13" w:name="_Toc203640858"/>
      <w:r w:rsidRPr="00CB6584">
        <w:t xml:space="preserve">JP Wealth High </w:t>
      </w:r>
      <w:r>
        <w:t>Longevity</w:t>
      </w:r>
      <w:r w:rsidR="00F65E14">
        <w:t xml:space="preserve"> Plus</w:t>
      </w:r>
      <w:bookmarkEnd w:id="13"/>
    </w:p>
    <w:p w14:paraId="76FEE4E5" w14:textId="118BF885" w:rsidR="000F60E2" w:rsidRDefault="000F60E2" w:rsidP="000F60E2">
      <w:r>
        <w:rPr>
          <w:b/>
          <w:bCs/>
        </w:rPr>
        <w:t>Position Size:</w:t>
      </w:r>
      <w:r>
        <w:t xml:space="preserve"> Ajuste padrão, derivado do position size da JP Wealth MAM, com fator de correção proporcional, de </w:t>
      </w:r>
      <w:r w:rsidR="00F65E14">
        <w:t>33</w:t>
      </w:r>
      <w:r>
        <w:t>% do que é admitido na JP Wealth. Isso nos traz a um:</w:t>
      </w:r>
    </w:p>
    <w:p w14:paraId="2BA02518" w14:textId="7259B8E2" w:rsidR="000F60E2" w:rsidRDefault="000F60E2" w:rsidP="000F60E2">
      <w:r w:rsidRPr="008A7DCF">
        <w:rPr>
          <w:b/>
          <w:bCs/>
        </w:rPr>
        <w:t>Drawdown de Referência (DDR)</w:t>
      </w:r>
      <w:r>
        <w:t xml:space="preserve"> em torno de </w:t>
      </w:r>
      <w:r w:rsidR="00F65E14">
        <w:t>4</w:t>
      </w:r>
      <w:r>
        <w:t>%</w:t>
      </w:r>
    </w:p>
    <w:p w14:paraId="39BBE5F5" w14:textId="0B9295BB" w:rsidR="000F60E2" w:rsidRDefault="000F60E2" w:rsidP="000F60E2">
      <w:r w:rsidRPr="008A7DCF">
        <w:rPr>
          <w:b/>
          <w:bCs/>
        </w:rPr>
        <w:t>Alavancagem por ordem:</w:t>
      </w:r>
      <w:r>
        <w:t xml:space="preserve"> 0,</w:t>
      </w:r>
      <w:r w:rsidR="008A7DCF">
        <w:t>13</w:t>
      </w:r>
      <w:r>
        <w:t>x (Regime Normal)</w:t>
      </w:r>
    </w:p>
    <w:p w14:paraId="48DB653B" w14:textId="29E737EE" w:rsidR="0089623E" w:rsidRDefault="0089623E" w:rsidP="000F60E2">
      <w:r>
        <w:t xml:space="preserve">Retorno médio esperado: </w:t>
      </w:r>
      <w:r>
        <w:rPr>
          <w:b/>
          <w:bCs/>
        </w:rPr>
        <w:t>1,</w:t>
      </w:r>
      <w:r w:rsidR="008B4847">
        <w:rPr>
          <w:b/>
          <w:bCs/>
        </w:rPr>
        <w:t>15</w:t>
      </w:r>
      <w:r w:rsidRPr="00D6271D">
        <w:rPr>
          <w:b/>
          <w:bCs/>
        </w:rPr>
        <w:t>%</w:t>
      </w:r>
    </w:p>
    <w:p w14:paraId="63B96360" w14:textId="08EDE19E" w:rsidR="000F60E2" w:rsidRPr="008B4847" w:rsidRDefault="00845B41" w:rsidP="000F60E2">
      <w:pPr>
        <w:rPr>
          <w:sz w:val="24"/>
        </w:rPr>
      </w:pPr>
      <w:r>
        <w:t xml:space="preserve">O perfil High Longevity Plus representa a camada </w:t>
      </w:r>
      <w:r>
        <w:rPr>
          <w:rStyle w:val="s1"/>
          <w:b/>
          <w:bCs/>
        </w:rPr>
        <w:t>ultraconservadora</w:t>
      </w:r>
      <w:r>
        <w:t xml:space="preserve"> da arquitetura de risco da JP Wealth. Ele é projetado para resistir mesmo a choques extremos, servindo como núcleo de continuidade em ambientes de perda, falha técnica ou desconexão operacional. Seu papel não é gerar retorno significativo, mas </w:t>
      </w:r>
      <w:r>
        <w:rPr>
          <w:rStyle w:val="s1"/>
          <w:b/>
          <w:bCs/>
        </w:rPr>
        <w:t>garantir a presença constante e inquebrável da gestão institucional nas mesas proprietárias</w:t>
      </w:r>
      <w:r>
        <w:t>.</w:t>
      </w:r>
    </w:p>
    <w:p w14:paraId="546353D7" w14:textId="77777777" w:rsidR="00EA341E" w:rsidRDefault="00EA341E" w:rsidP="00F952EF">
      <w:pPr>
        <w:pStyle w:val="Ttulo2"/>
        <w:rPr>
          <w:sz w:val="27"/>
        </w:rPr>
      </w:pPr>
      <w:bookmarkStart w:id="14" w:name="_Toc203640859"/>
      <w:r>
        <w:t>Planejamento Estrutural de Adesão às Mesas Proprietárias</w:t>
      </w:r>
      <w:bookmarkEnd w:id="14"/>
    </w:p>
    <w:p w14:paraId="11D4B8BD" w14:textId="09CDD7DE" w:rsidR="00967D86" w:rsidRDefault="00967D86" w:rsidP="00967D86">
      <w:pPr>
        <w:rPr>
          <w:sz w:val="24"/>
        </w:rPr>
      </w:pPr>
      <w:r>
        <w:rPr>
          <w:rStyle w:val="s1"/>
          <w:b/>
          <w:bCs/>
        </w:rPr>
        <w:t>Por princípios de governança de risco e segregação estratégica</w:t>
      </w:r>
      <w:r>
        <w:t xml:space="preserve">, nossas contas </w:t>
      </w:r>
      <w:r>
        <w:rPr>
          <w:rStyle w:val="s1"/>
          <w:b/>
          <w:bCs/>
        </w:rPr>
        <w:t>não serão unificadas via merge account</w:t>
      </w:r>
      <w:r>
        <w:t xml:space="preserve">. Esta decisão visa preservar a </w:t>
      </w:r>
      <w:r>
        <w:rPr>
          <w:rStyle w:val="s1"/>
          <w:b/>
          <w:bCs/>
        </w:rPr>
        <w:t>diversificação tática entre perfis de risco distintos</w:t>
      </w:r>
      <w:r>
        <w:t xml:space="preserve"> dentro da própria estrutura da JP Wealth Prop Firm, permitindo que diferentes contas sejam alocadas em modelos como Longevity, High Longevity e High Longevity Plus, conforme o ciclo de mercado e o contexto operacional.</w:t>
      </w:r>
    </w:p>
    <w:p w14:paraId="2C5EB1FC" w14:textId="0EAE1BB7" w:rsidR="00B81F3F" w:rsidRPr="00B81F3F" w:rsidRDefault="00F952EF" w:rsidP="000F6CFF">
      <w:pPr>
        <w:pStyle w:val="Ttulo3"/>
      </w:pPr>
      <w:bookmarkStart w:id="15" w:name="_Toc203640860"/>
      <w:r>
        <w:t>Estrutura planejada contempla:</w:t>
      </w:r>
      <w:bookmarkEnd w:id="15"/>
    </w:p>
    <w:p w14:paraId="0B92F783" w14:textId="7C6EDA7C" w:rsidR="00B81F3F" w:rsidRDefault="00B81F3F" w:rsidP="00B81F3F">
      <w:pPr>
        <w:pStyle w:val="PargrafodaLista"/>
        <w:numPr>
          <w:ilvl w:val="0"/>
          <w:numId w:val="26"/>
        </w:numPr>
      </w:pPr>
      <w:r w:rsidRPr="00B81F3F">
        <w:t>FTMO - $100.000</w:t>
      </w:r>
    </w:p>
    <w:p w14:paraId="66DC99B8" w14:textId="38874DC1" w:rsidR="00B81F3F" w:rsidRDefault="00B81F3F" w:rsidP="005E1B54">
      <w:r w:rsidRPr="00B81F3F">
        <w:rPr>
          <w:b/>
          <w:bCs/>
        </w:rPr>
        <w:t>Perfil de risco:</w:t>
      </w:r>
      <w:r>
        <w:t xml:space="preserve"> </w:t>
      </w:r>
      <w:r w:rsidR="005E1B54">
        <w:t>L</w:t>
      </w:r>
      <w:r w:rsidRPr="00B81F3F">
        <w:t>ongevity</w:t>
      </w:r>
    </w:p>
    <w:p w14:paraId="43EAA78F" w14:textId="0ECCADAC" w:rsidR="00B81F3F" w:rsidRDefault="00B81F3F" w:rsidP="00B81F3F">
      <w:pPr>
        <w:pStyle w:val="PargrafodaLista"/>
        <w:numPr>
          <w:ilvl w:val="0"/>
          <w:numId w:val="26"/>
        </w:numPr>
        <w:spacing w:line="240" w:lineRule="auto"/>
      </w:pPr>
      <w:r w:rsidRPr="00B81F3F">
        <w:t>FTMO - $</w:t>
      </w:r>
      <w:r>
        <w:t>1</w:t>
      </w:r>
      <w:r w:rsidRPr="00B81F3F">
        <w:t>00.000</w:t>
      </w:r>
    </w:p>
    <w:p w14:paraId="7871C1F1" w14:textId="7CB4416E" w:rsidR="00B81F3F" w:rsidRDefault="00B81F3F" w:rsidP="005E1B54">
      <w:pPr>
        <w:spacing w:line="240" w:lineRule="auto"/>
      </w:pPr>
      <w:r w:rsidRPr="00B81F3F">
        <w:rPr>
          <w:b/>
          <w:bCs/>
        </w:rPr>
        <w:t xml:space="preserve">Perfil de risco: </w:t>
      </w:r>
      <w:r w:rsidR="005E1B54">
        <w:t>L</w:t>
      </w:r>
      <w:r w:rsidRPr="00B81F3F">
        <w:t>ongevity</w:t>
      </w:r>
    </w:p>
    <w:p w14:paraId="16790B9E" w14:textId="5A94F81C" w:rsidR="005E1B54" w:rsidRPr="005E1B54" w:rsidRDefault="005E1B54" w:rsidP="005E1B54">
      <w:pPr>
        <w:pStyle w:val="PargrafodaLista"/>
        <w:numPr>
          <w:ilvl w:val="0"/>
          <w:numId w:val="26"/>
        </w:numPr>
        <w:spacing w:line="240" w:lineRule="auto"/>
      </w:pPr>
      <w:r>
        <w:t>FTMO - $100.000</w:t>
      </w:r>
    </w:p>
    <w:p w14:paraId="1DF24347" w14:textId="3AA7063A" w:rsidR="005E1B54" w:rsidRPr="005E1B54" w:rsidRDefault="005E1B54" w:rsidP="005E1B54">
      <w:pPr>
        <w:spacing w:line="240" w:lineRule="auto"/>
      </w:pPr>
      <w:r w:rsidRPr="005E1B54">
        <w:rPr>
          <w:b/>
          <w:bCs/>
        </w:rPr>
        <w:t xml:space="preserve">Perfil de risco: </w:t>
      </w:r>
      <w:r w:rsidRPr="005E1B54">
        <w:t>High Longevity</w:t>
      </w:r>
    </w:p>
    <w:p w14:paraId="002FBFAB" w14:textId="4EB7A2FC" w:rsidR="000F60E2" w:rsidRDefault="005E1B54" w:rsidP="005E1B54">
      <w:pPr>
        <w:pStyle w:val="PargrafodaLista"/>
        <w:numPr>
          <w:ilvl w:val="0"/>
          <w:numId w:val="26"/>
        </w:numPr>
      </w:pPr>
      <w:r>
        <w:lastRenderedPageBreak/>
        <w:t>FTMO - $100.000</w:t>
      </w:r>
    </w:p>
    <w:p w14:paraId="5FC11146" w14:textId="75CA4D51" w:rsidR="005E1B54" w:rsidRDefault="005E1B54" w:rsidP="005E1B54">
      <w:pPr>
        <w:pStyle w:val="PargrafodaLista"/>
        <w:spacing w:line="240" w:lineRule="auto"/>
        <w:ind w:left="0"/>
      </w:pPr>
      <w:r w:rsidRPr="005E1B54">
        <w:rPr>
          <w:b/>
          <w:bCs/>
        </w:rPr>
        <w:t xml:space="preserve">Perfil de risco: </w:t>
      </w:r>
      <w:r w:rsidRPr="005E1B54">
        <w:t>High Lo</w:t>
      </w:r>
      <w:r>
        <w:t>ngevity Plus</w:t>
      </w:r>
    </w:p>
    <w:p w14:paraId="125C28E7" w14:textId="77777777" w:rsidR="00E64F2E" w:rsidRDefault="00E64F2E" w:rsidP="005E1B54">
      <w:pPr>
        <w:pStyle w:val="PargrafodaLista"/>
        <w:spacing w:line="240" w:lineRule="auto"/>
        <w:ind w:left="0"/>
      </w:pPr>
    </w:p>
    <w:p w14:paraId="4F29F2DC" w14:textId="34B16F7E" w:rsidR="00E64F2E" w:rsidRDefault="00E64F2E" w:rsidP="00E64F2E">
      <w:pPr>
        <w:pStyle w:val="PargrafodaLista"/>
        <w:numPr>
          <w:ilvl w:val="0"/>
          <w:numId w:val="26"/>
        </w:numPr>
        <w:spacing w:line="240" w:lineRule="auto"/>
      </w:pPr>
      <w:r>
        <w:t>The5rs - $100.000</w:t>
      </w:r>
    </w:p>
    <w:p w14:paraId="6B9DCB85" w14:textId="2BD37CC2" w:rsidR="00E64F2E" w:rsidRDefault="00E64F2E" w:rsidP="00E64F2E">
      <w:pPr>
        <w:spacing w:line="240" w:lineRule="auto"/>
      </w:pPr>
      <w:r w:rsidRPr="00E64F2E">
        <w:rPr>
          <w:b/>
          <w:bCs/>
        </w:rPr>
        <w:t xml:space="preserve">Perfil de risco: </w:t>
      </w:r>
      <w:r w:rsidRPr="005E1B54">
        <w:t>High Lo</w:t>
      </w:r>
      <w:r>
        <w:t xml:space="preserve">ngevity </w:t>
      </w:r>
    </w:p>
    <w:p w14:paraId="22ACD5FB" w14:textId="759AAF01" w:rsidR="00744208" w:rsidRDefault="00EF207A" w:rsidP="00744208">
      <w:pPr>
        <w:pStyle w:val="PargrafodaLista"/>
        <w:numPr>
          <w:ilvl w:val="0"/>
          <w:numId w:val="26"/>
        </w:numPr>
        <w:spacing w:line="240" w:lineRule="auto"/>
      </w:pPr>
      <w:r>
        <w:t>The Trading Pit</w:t>
      </w:r>
      <w:r w:rsidR="00D339EA">
        <w:t xml:space="preserve"> - $100.000</w:t>
      </w:r>
    </w:p>
    <w:p w14:paraId="1B7CC118" w14:textId="77777777" w:rsidR="00EF207A" w:rsidRDefault="00EF207A" w:rsidP="00EF207A">
      <w:pPr>
        <w:pStyle w:val="PargrafodaLista"/>
        <w:spacing w:line="240" w:lineRule="auto"/>
        <w:ind w:left="0"/>
      </w:pPr>
      <w:r w:rsidRPr="00EF207A">
        <w:rPr>
          <w:b/>
          <w:bCs/>
        </w:rPr>
        <w:t xml:space="preserve">Perfil de risco: </w:t>
      </w:r>
      <w:r w:rsidRPr="005E1B54">
        <w:t>High Lo</w:t>
      </w:r>
      <w:r>
        <w:t xml:space="preserve">ngevity </w:t>
      </w:r>
    </w:p>
    <w:p w14:paraId="3B397CCA" w14:textId="77777777" w:rsidR="00F343B2" w:rsidRDefault="00F343B2" w:rsidP="00EF207A">
      <w:pPr>
        <w:pStyle w:val="PargrafodaLista"/>
        <w:spacing w:line="240" w:lineRule="auto"/>
        <w:ind w:left="360"/>
      </w:pPr>
    </w:p>
    <w:p w14:paraId="22315AFE" w14:textId="77777777" w:rsidR="00970B0F" w:rsidRPr="00970B0F" w:rsidRDefault="00970B0F" w:rsidP="00C57AA9">
      <w:pPr>
        <w:pStyle w:val="Ttulo3"/>
        <w:rPr>
          <w:rFonts w:eastAsia="Times New Roman"/>
          <w:lang w:eastAsia="pt-BR"/>
        </w:rPr>
      </w:pPr>
      <w:bookmarkStart w:id="16" w:name="_Toc203640861"/>
      <w:r w:rsidRPr="00970B0F">
        <w:rPr>
          <w:rFonts w:eastAsia="Times New Roman"/>
          <w:lang w:eastAsia="pt-BR"/>
        </w:rPr>
        <w:t>Dinâmica de Rotatividade de Perfis de Risco frente ao Escalonamento</w:t>
      </w:r>
      <w:bookmarkEnd w:id="16"/>
    </w:p>
    <w:p w14:paraId="10774C26" w14:textId="77777777" w:rsidR="00473C4A" w:rsidRDefault="00473C4A" w:rsidP="00473C4A">
      <w:pPr>
        <w:rPr>
          <w:sz w:val="24"/>
        </w:rPr>
      </w:pPr>
      <w:r>
        <w:t xml:space="preserve">A estrutura de contas da JP Wealth nas mesas proprietárias está desenhada não apenas para ser estática, mas para </w:t>
      </w:r>
      <w:r>
        <w:rPr>
          <w:rStyle w:val="s1"/>
          <w:b/>
          <w:bCs/>
        </w:rPr>
        <w:t>evoluir de forma responsiva ao desempenho, aos ciclos de escalonamento e aos cenários de risco</w:t>
      </w:r>
      <w:r>
        <w:t xml:space="preserve">. Para isso, foi concebido um modelo de </w:t>
      </w:r>
      <w:r>
        <w:rPr>
          <w:rStyle w:val="s1"/>
          <w:b/>
          <w:bCs/>
        </w:rPr>
        <w:t>rotatividade estratégica dos perfis de risco</w:t>
      </w:r>
      <w:r>
        <w:t>, vinculado ao ciclo de crescimento (scaling plans) e à preservação de arquitetura antifrágil.</w:t>
      </w:r>
    </w:p>
    <w:p w14:paraId="33F3FE01" w14:textId="77777777" w:rsidR="00473C4A" w:rsidRDefault="00473C4A" w:rsidP="00953ACD">
      <w:pPr>
        <w:pStyle w:val="Ttulo4"/>
      </w:pPr>
      <w:r>
        <w:t>Perfis de Risco não são fixos, são atribuídos por função</w:t>
      </w:r>
    </w:p>
    <w:p w14:paraId="32642E14" w14:textId="77777777" w:rsidR="00473C4A" w:rsidRDefault="00473C4A" w:rsidP="00473C4A">
      <w:r>
        <w:t xml:space="preserve">A designação de um perfil de risco (Longevity, High Longevity ou High Longevity Plus) é determinada </w:t>
      </w:r>
      <w:r>
        <w:rPr>
          <w:rStyle w:val="s1"/>
          <w:b/>
          <w:bCs/>
        </w:rPr>
        <w:t>pela função estratégica da conta no momento</w:t>
      </w:r>
      <w:r>
        <w:t>, e não por sua cronologia de criação.</w:t>
      </w:r>
    </w:p>
    <w:p w14:paraId="75940F9A" w14:textId="77777777" w:rsidR="00953ACD" w:rsidRDefault="00953ACD" w:rsidP="00473C4A"/>
    <w:p w14:paraId="48487435" w14:textId="77777777" w:rsidR="00473C4A" w:rsidRDefault="00473C4A" w:rsidP="00953ACD">
      <w:pPr>
        <w:pStyle w:val="Ttulo4"/>
      </w:pPr>
      <w:r>
        <w:t>Contas escaladas tendem a migrar para perfis mais defensivos</w:t>
      </w:r>
    </w:p>
    <w:p w14:paraId="1E9EDEE9" w14:textId="77777777" w:rsidR="00473C4A" w:rsidRDefault="00473C4A" w:rsidP="00473C4A">
      <w:r>
        <w:t xml:space="preserve">À medida que uma conta é promovida nos planos de escalonamento das prop firms (ex: FTMO), ela passa a representar </w:t>
      </w:r>
      <w:r>
        <w:rPr>
          <w:rStyle w:val="s1"/>
          <w:b/>
          <w:bCs/>
        </w:rPr>
        <w:t>um capital institucional mais relevante</w:t>
      </w:r>
      <w:r>
        <w:t>. Em razão disso, a exposição tende a ser recalibrada para perfis mais conservadores, reduzindo o risco de perda abrupta.</w:t>
      </w:r>
    </w:p>
    <w:p w14:paraId="4FDA5953" w14:textId="77777777" w:rsidR="00473C4A" w:rsidRDefault="00473C4A" w:rsidP="00953ACD">
      <w:pPr>
        <w:pStyle w:val="Ttulo4"/>
      </w:pPr>
      <w:r>
        <w:t>Rotatividade ocorre também em caso de quebra de conta base</w:t>
      </w:r>
    </w:p>
    <w:p w14:paraId="06A1A657" w14:textId="77777777" w:rsidR="00473C4A" w:rsidRDefault="00473C4A" w:rsidP="005D2ED1">
      <w:r>
        <w:t xml:space="preserve">Caso uma conta do perfil Longevity seja perdida por violação de drawdown, </w:t>
      </w:r>
      <w:r>
        <w:rPr>
          <w:rStyle w:val="s1"/>
          <w:b/>
          <w:bCs/>
        </w:rPr>
        <w:t>outra conta ativa pode ser promovida para assumir o papel de perfil base</w:t>
      </w:r>
      <w:r>
        <w:t>, mantendo a dinâmica operacional em equilíbrio. Ao mesmo tempo, uma nova conta pode ser adquirida e alocada no perfil mais conservador, repondo o sistema de defesa.</w:t>
      </w:r>
    </w:p>
    <w:p w14:paraId="0276FB47" w14:textId="77777777" w:rsidR="00473C4A" w:rsidRPr="00953ACD" w:rsidRDefault="00473C4A" w:rsidP="00953ACD">
      <w:pPr>
        <w:pStyle w:val="Ttulo3"/>
      </w:pPr>
      <w:bookmarkStart w:id="17" w:name="_Toc203640862"/>
      <w:r w:rsidRPr="00953ACD">
        <w:t>As contas High Longevity Plus são estáticas por princípio</w:t>
      </w:r>
      <w:bookmarkEnd w:id="17"/>
    </w:p>
    <w:p w14:paraId="29927197" w14:textId="77777777" w:rsidR="00473C4A" w:rsidRDefault="00473C4A" w:rsidP="005D2ED1">
      <w:r>
        <w:t xml:space="preserve">Por se </w:t>
      </w:r>
      <w:proofErr w:type="gramStart"/>
      <w:r>
        <w:t>tratarem</w:t>
      </w:r>
      <w:proofErr w:type="gramEnd"/>
      <w:r>
        <w:t xml:space="preserve"> da camada mais segura e com menor alocação de risco, as contas High Longevity Plus </w:t>
      </w:r>
      <w:r>
        <w:rPr>
          <w:rStyle w:val="s1"/>
          <w:b/>
          <w:bCs/>
        </w:rPr>
        <w:t>não devem ser promovidas</w:t>
      </w:r>
      <w:r>
        <w:t>, salvo em caso extremo de esgotamento de outras contas. Seu papel é garantir continuidade estrutural mesmo em regimes extremos de adversidade.</w:t>
      </w:r>
    </w:p>
    <w:p w14:paraId="10777681" w14:textId="77777777" w:rsidR="005D2ED1" w:rsidRPr="005D2ED1" w:rsidRDefault="005D2ED1" w:rsidP="005D2ED1">
      <w:pPr>
        <w:rPr>
          <w:b/>
          <w:bCs/>
          <w:sz w:val="24"/>
        </w:rPr>
      </w:pPr>
      <w:r w:rsidRPr="005D2ED1">
        <w:rPr>
          <w:b/>
          <w:bCs/>
        </w:rPr>
        <w:t>Essa lógica permite que a JP Wealth mantenha:</w:t>
      </w:r>
    </w:p>
    <w:p w14:paraId="5209E1D8" w14:textId="77777777" w:rsidR="005D2ED1" w:rsidRDefault="005D2ED1" w:rsidP="005D2ED1">
      <w:pPr>
        <w:pStyle w:val="PargrafodaLista"/>
        <w:numPr>
          <w:ilvl w:val="0"/>
          <w:numId w:val="29"/>
        </w:numPr>
      </w:pPr>
      <w:r>
        <w:t>Capacidade de crescimento sem comprometer segurança institucional</w:t>
      </w:r>
      <w:r>
        <w:rPr>
          <w:rStyle w:val="s1"/>
        </w:rPr>
        <w:t>;</w:t>
      </w:r>
    </w:p>
    <w:p w14:paraId="6029F109" w14:textId="77777777" w:rsidR="005D2ED1" w:rsidRDefault="005D2ED1" w:rsidP="005D2ED1">
      <w:pPr>
        <w:pStyle w:val="PargrafodaLista"/>
        <w:numPr>
          <w:ilvl w:val="0"/>
          <w:numId w:val="29"/>
        </w:numPr>
      </w:pPr>
      <w:r>
        <w:t xml:space="preserve">Sistema de resiliência </w:t>
      </w:r>
      <w:proofErr w:type="gramStart"/>
      <w:r>
        <w:t>auto-regenerativo</w:t>
      </w:r>
      <w:proofErr w:type="gramEnd"/>
      <w:r>
        <w:rPr>
          <w:rStyle w:val="s1"/>
        </w:rPr>
        <w:t>;</w:t>
      </w:r>
    </w:p>
    <w:p w14:paraId="4410D0BE" w14:textId="77777777" w:rsidR="005D2ED1" w:rsidRDefault="005D2ED1" w:rsidP="005D2ED1">
      <w:pPr>
        <w:pStyle w:val="PargrafodaLista"/>
        <w:numPr>
          <w:ilvl w:val="0"/>
          <w:numId w:val="29"/>
        </w:numPr>
      </w:pPr>
      <w:r>
        <w:t>Presença contínua nas mesas mesmo em ciclos desfavoráveis</w:t>
      </w:r>
      <w:r>
        <w:rPr>
          <w:rStyle w:val="s1"/>
        </w:rPr>
        <w:t>;</w:t>
      </w:r>
    </w:p>
    <w:p w14:paraId="5424E722" w14:textId="77777777" w:rsidR="005D2ED1" w:rsidRDefault="005D2ED1" w:rsidP="005D2ED1">
      <w:pPr>
        <w:pStyle w:val="PargrafodaLista"/>
        <w:numPr>
          <w:ilvl w:val="0"/>
          <w:numId w:val="29"/>
        </w:numPr>
        <w:rPr>
          <w:rStyle w:val="s1"/>
        </w:rPr>
      </w:pPr>
      <w:r>
        <w:t>Gestão tática com alta capacidade de reposição e contenção de perdas</w:t>
      </w:r>
      <w:r>
        <w:rPr>
          <w:rStyle w:val="s1"/>
        </w:rPr>
        <w:t>.</w:t>
      </w:r>
    </w:p>
    <w:p w14:paraId="4854B258" w14:textId="77777777" w:rsidR="0018348B" w:rsidRDefault="0018348B" w:rsidP="0018348B">
      <w:pPr>
        <w:pStyle w:val="PargrafodaLista"/>
        <w:ind w:left="360"/>
      </w:pPr>
    </w:p>
    <w:p w14:paraId="4732259D" w14:textId="77777777" w:rsidR="0018348B" w:rsidRDefault="0018348B" w:rsidP="00975AF9">
      <w:pPr>
        <w:pStyle w:val="Ttulo3"/>
        <w:rPr>
          <w:sz w:val="27"/>
        </w:rPr>
      </w:pPr>
      <w:bookmarkStart w:id="18" w:name="_Toc203640863"/>
      <w:r>
        <w:t>Política de Saques e Retenção Estratégica de Lucros nas Prop Firms</w:t>
      </w:r>
      <w:bookmarkEnd w:id="18"/>
    </w:p>
    <w:p w14:paraId="46CB37E2" w14:textId="77777777" w:rsidR="0018348B" w:rsidRDefault="0018348B" w:rsidP="0018348B">
      <w:r>
        <w:t xml:space="preserve">A JP Wealth adota uma política de saques diferenciada nas contas de mesa proprietária, com o objetivo de </w:t>
      </w:r>
      <w:r>
        <w:rPr>
          <w:rStyle w:val="s1"/>
          <w:b/>
          <w:bCs/>
        </w:rPr>
        <w:t xml:space="preserve">transformar parte dos lucros mensais em margem de segurança </w:t>
      </w:r>
      <w:r>
        <w:rPr>
          <w:rStyle w:val="s1"/>
          <w:b/>
          <w:bCs/>
        </w:rPr>
        <w:t>estatística adicional</w:t>
      </w:r>
      <w:r>
        <w:t xml:space="preserve">. Essa política tem caráter </w:t>
      </w:r>
      <w:r>
        <w:rPr>
          <w:rStyle w:val="s1"/>
          <w:b/>
          <w:bCs/>
        </w:rPr>
        <w:t>voluntário, conservador e antifrágil</w:t>
      </w:r>
      <w:r>
        <w:t>, e se destina a aumentar a longevidade e estabilidade das contas ativas.</w:t>
      </w:r>
    </w:p>
    <w:p w14:paraId="533A4010" w14:textId="77777777" w:rsidR="0018348B" w:rsidRDefault="0018348B" w:rsidP="0018348B">
      <w:pPr>
        <w:rPr>
          <w:sz w:val="24"/>
        </w:rPr>
      </w:pPr>
      <w:r>
        <w:rPr>
          <w:rStyle w:val="s1"/>
        </w:rPr>
        <w:t xml:space="preserve">Por padrão, as prop firms estabelecem um </w:t>
      </w:r>
      <w:r>
        <w:t>drawdown máximo absoluto de 10%</w:t>
      </w:r>
      <w:r>
        <w:rPr>
          <w:rStyle w:val="s1"/>
        </w:rPr>
        <w:t xml:space="preserve"> sobre o saldo inicial. No entanto, se </w:t>
      </w:r>
      <w:r>
        <w:t>parte dos lucros for mantida na conta</w:t>
      </w:r>
      <w:r>
        <w:rPr>
          <w:rStyle w:val="s1"/>
        </w:rPr>
        <w:t xml:space="preserve">, o saldo aumenta — e, com isso, </w:t>
      </w:r>
      <w:r>
        <w:t>o valor nominal de perda permitido também cresce</w:t>
      </w:r>
      <w:r>
        <w:rPr>
          <w:rStyle w:val="s1"/>
        </w:rPr>
        <w:t>.</w:t>
      </w:r>
    </w:p>
    <w:p w14:paraId="199954A3" w14:textId="77777777" w:rsidR="0018348B" w:rsidRDefault="0018348B" w:rsidP="0018348B">
      <w:pPr>
        <w:pStyle w:val="Ttulo3"/>
        <w:rPr>
          <w:sz w:val="24"/>
        </w:rPr>
      </w:pPr>
      <w:bookmarkStart w:id="19" w:name="_Toc203640864"/>
      <w:r>
        <w:t>Parâmetros da Política</w:t>
      </w:r>
      <w:bookmarkEnd w:id="19"/>
    </w:p>
    <w:p w14:paraId="2896B8D2" w14:textId="01EA15E4" w:rsidR="0018348B" w:rsidRPr="0018348B" w:rsidRDefault="0018348B" w:rsidP="0018348B">
      <w:pPr>
        <w:pStyle w:val="PargrafodaLista"/>
        <w:numPr>
          <w:ilvl w:val="0"/>
          <w:numId w:val="31"/>
        </w:numPr>
        <w:rPr>
          <w:rStyle w:val="s1"/>
        </w:rPr>
      </w:pPr>
      <w:r>
        <w:rPr>
          <w:rStyle w:val="s1"/>
          <w:b/>
          <w:bCs/>
        </w:rPr>
        <w:t>R</w:t>
      </w:r>
      <w:r w:rsidRPr="0018348B">
        <w:rPr>
          <w:rStyle w:val="s1"/>
          <w:b/>
          <w:bCs/>
        </w:rPr>
        <w:t>etenção mínima</w:t>
      </w:r>
      <w:r>
        <w:t xml:space="preserve">: 2% de lucro mensal </w:t>
      </w:r>
    </w:p>
    <w:p w14:paraId="48314B0F" w14:textId="1AD64160" w:rsidR="0018348B" w:rsidRDefault="0018348B" w:rsidP="0018348B">
      <w:pPr>
        <w:pStyle w:val="PargrafodaLista"/>
        <w:numPr>
          <w:ilvl w:val="0"/>
          <w:numId w:val="31"/>
        </w:numPr>
      </w:pPr>
      <w:r w:rsidRPr="0018348B">
        <w:rPr>
          <w:rStyle w:val="s1"/>
          <w:b/>
          <w:bCs/>
        </w:rPr>
        <w:t>Finalidade</w:t>
      </w:r>
      <w:r>
        <w:t>: aumentar o capital de defesa e liberar espaço técnico para stop-loss futuros.</w:t>
      </w:r>
    </w:p>
    <w:p w14:paraId="6604040A" w14:textId="34923454" w:rsidR="000F60E2" w:rsidRDefault="0018348B" w:rsidP="0018348B">
      <w:pPr>
        <w:pStyle w:val="PargrafodaLista"/>
        <w:numPr>
          <w:ilvl w:val="0"/>
          <w:numId w:val="31"/>
        </w:numPr>
      </w:pPr>
      <w:r w:rsidRPr="0018348B">
        <w:rPr>
          <w:rStyle w:val="s1"/>
          <w:b/>
          <w:bCs/>
        </w:rPr>
        <w:t>Revisão mensal</w:t>
      </w:r>
      <w:r>
        <w:t>: a cada ciclo, a política será reavaliada conforme o desempenho e o risco corrente da estrutura.</w:t>
      </w:r>
    </w:p>
    <w:p w14:paraId="6CEE166A" w14:textId="7B722BB7" w:rsidR="00A00FBB" w:rsidRDefault="00A00FBB" w:rsidP="00A00FBB">
      <w:pPr>
        <w:pStyle w:val="Ttulo3"/>
      </w:pPr>
      <w:bookmarkStart w:id="20" w:name="_Toc203640865"/>
      <w:r>
        <w:t>Consideração Final</w:t>
      </w:r>
      <w:bookmarkEnd w:id="20"/>
    </w:p>
    <w:p w14:paraId="1B9D9644" w14:textId="77777777" w:rsidR="008137F2" w:rsidRDefault="008137F2" w:rsidP="008137F2">
      <w:r>
        <w:t>As prop firms oferecem acesso escalonado a capital operacional, mas ainda não possuem regulação universal e definitiva em todas as jurisdições.</w:t>
      </w:r>
    </w:p>
    <w:p w14:paraId="079A5FA3" w14:textId="77777777" w:rsidR="008137F2" w:rsidRDefault="008137F2" w:rsidP="008137F2">
      <w:r>
        <w:t>Portanto, os recursos financeiros obtidos através dessas estruturas devem servir prioritariamente para fortalecer o capital próprio institucional da JP Wealth nas suas linhas soberanas: Base, Longevity e High Yield.</w:t>
      </w:r>
    </w:p>
    <w:p w14:paraId="2714DE51" w14:textId="53540409" w:rsidR="007B1C00" w:rsidRPr="00234B48" w:rsidRDefault="008137F2" w:rsidP="00746F62">
      <w:r>
        <w:t xml:space="preserve">O perfil </w:t>
      </w:r>
      <w:r w:rsidR="004A440F">
        <w:t xml:space="preserve">de risco </w:t>
      </w:r>
      <w:r>
        <w:t>High Conservative não é concebido para uso em contas próprias, pois sua expectativa de retorno não compensa a complexidade e o esforço operacional que demanda. Seu uso está restrito às exigências normativas das prop firms.</w:t>
      </w:r>
    </w:p>
    <w:sectPr w:rsidR="007B1C00" w:rsidRPr="00234B48" w:rsidSect="00D76EDC">
      <w:type w:val="continuous"/>
      <w:pgSz w:w="11906" w:h="16838"/>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618C" w14:textId="77777777" w:rsidR="00EC0F21" w:rsidRDefault="00EC0F21" w:rsidP="00405D17">
      <w:pPr>
        <w:spacing w:after="0" w:line="240" w:lineRule="auto"/>
      </w:pPr>
      <w:r>
        <w:separator/>
      </w:r>
    </w:p>
  </w:endnote>
  <w:endnote w:type="continuationSeparator" w:id="0">
    <w:p w14:paraId="23446A34" w14:textId="77777777" w:rsidR="00EC0F21" w:rsidRDefault="00EC0F21" w:rsidP="00405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F2E6" w14:textId="77777777" w:rsidR="00EC0F21" w:rsidRDefault="00EC0F21" w:rsidP="00405D17">
      <w:pPr>
        <w:spacing w:after="0" w:line="240" w:lineRule="auto"/>
      </w:pPr>
      <w:r>
        <w:separator/>
      </w:r>
    </w:p>
  </w:footnote>
  <w:footnote w:type="continuationSeparator" w:id="0">
    <w:p w14:paraId="1EE5D337" w14:textId="77777777" w:rsidR="00EC0F21" w:rsidRDefault="00EC0F21" w:rsidP="00405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6C58" w14:textId="0E9B748F" w:rsidR="00405D17" w:rsidRDefault="00E323AC">
    <w:pPr>
      <w:pStyle w:val="Cabealho"/>
    </w:pPr>
    <w:r>
      <w:rPr>
        <w:noProof/>
      </w:rPr>
      <w:drawing>
        <wp:anchor distT="0" distB="0" distL="114300" distR="114300" simplePos="0" relativeHeight="251658240" behindDoc="1" locked="0" layoutInCell="1" allowOverlap="1" wp14:anchorId="7CD33C35" wp14:editId="6DE2CE88">
          <wp:simplePos x="0" y="0"/>
          <wp:positionH relativeFrom="column">
            <wp:posOffset>5601823</wp:posOffset>
          </wp:positionH>
          <wp:positionV relativeFrom="paragraph">
            <wp:posOffset>-400685</wp:posOffset>
          </wp:positionV>
          <wp:extent cx="836930" cy="836930"/>
          <wp:effectExtent l="0" t="0" r="0" b="0"/>
          <wp:wrapTight wrapText="bothSides">
            <wp:wrapPolygon edited="0">
              <wp:start x="1967" y="8194"/>
              <wp:lineTo x="1639" y="11472"/>
              <wp:lineTo x="2950" y="13439"/>
              <wp:lineTo x="4589" y="14094"/>
              <wp:lineTo x="16388" y="14094"/>
              <wp:lineTo x="17372" y="13439"/>
              <wp:lineTo x="19666" y="10161"/>
              <wp:lineTo x="19338" y="8194"/>
              <wp:lineTo x="1967" y="8194"/>
            </wp:wrapPolygon>
          </wp:wrapTight>
          <wp:docPr id="1001845846" name="Imagem 5"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45846" name="Imagem 5" descr="Logotipo&#10;&#10;O conteúdo gerado por IA pode estar incorreto."/>
                  <pic:cNvPicPr/>
                </pic:nvPicPr>
                <pic:blipFill>
                  <a:blip r:embed="rId1">
                    <a:duotone>
                      <a:prstClr val="black"/>
                      <a:schemeClr val="tx1">
                        <a:tint val="45000"/>
                        <a:satMod val="400000"/>
                      </a:schemeClr>
                    </a:duotone>
                    <a:extLst>
                      <a:ext uri="{BEBA8EAE-BF5A-486C-A8C5-ECC9F3942E4B}">
                        <a14:imgProps xmlns:a14="http://schemas.microsoft.com/office/drawing/2010/main">
                          <a14:imgLayer r:embed="rId2">
                            <a14:imgEffect>
                              <a14:sharpenSoften amount="12000"/>
                            </a14:imgEffect>
                            <a14:imgEffect>
                              <a14:saturation sat="400000"/>
                            </a14:imgEffect>
                            <a14:imgEffect>
                              <a14:brightnessContrast bright="-100000" contrast="100000"/>
                            </a14:imgEffect>
                          </a14:imgLayer>
                        </a14:imgProps>
                      </a:ext>
                      <a:ext uri="{28A0092B-C50C-407E-A947-70E740481C1C}">
                        <a14:useLocalDpi xmlns:a14="http://schemas.microsoft.com/office/drawing/2010/main" val="0"/>
                      </a:ext>
                    </a:extLst>
                  </a:blip>
                  <a:stretch>
                    <a:fillRect/>
                  </a:stretch>
                </pic:blipFill>
                <pic:spPr>
                  <a:xfrm>
                    <a:off x="0" y="0"/>
                    <a:ext cx="836930" cy="8369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4C8D692"/>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 w15:restartNumberingAfterBreak="0">
    <w:nsid w:val="03AA3285"/>
    <w:multiLevelType w:val="hybridMultilevel"/>
    <w:tmpl w:val="0D7494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550011F"/>
    <w:multiLevelType w:val="hybridMultilevel"/>
    <w:tmpl w:val="651654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AF91A98"/>
    <w:multiLevelType w:val="hybridMultilevel"/>
    <w:tmpl w:val="3E523BC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BF84EEE"/>
    <w:multiLevelType w:val="hybridMultilevel"/>
    <w:tmpl w:val="A7222FBA"/>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114F3579"/>
    <w:multiLevelType w:val="multilevel"/>
    <w:tmpl w:val="6094A2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6E04D7A"/>
    <w:multiLevelType w:val="multilevel"/>
    <w:tmpl w:val="06CA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A1FA1"/>
    <w:multiLevelType w:val="multilevel"/>
    <w:tmpl w:val="39C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685"/>
    <w:multiLevelType w:val="multilevel"/>
    <w:tmpl w:val="2F8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1075F"/>
    <w:multiLevelType w:val="hybridMultilevel"/>
    <w:tmpl w:val="9F6A1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807F33"/>
    <w:multiLevelType w:val="multilevel"/>
    <w:tmpl w:val="56E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41CBC"/>
    <w:multiLevelType w:val="hybridMultilevel"/>
    <w:tmpl w:val="2E2A7E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3B57452"/>
    <w:multiLevelType w:val="hybridMultilevel"/>
    <w:tmpl w:val="6BECDB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542B95"/>
    <w:multiLevelType w:val="multilevel"/>
    <w:tmpl w:val="513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02A04"/>
    <w:multiLevelType w:val="multilevel"/>
    <w:tmpl w:val="1740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A2280"/>
    <w:multiLevelType w:val="multilevel"/>
    <w:tmpl w:val="7B5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030BD"/>
    <w:multiLevelType w:val="hybridMultilevel"/>
    <w:tmpl w:val="F2C64B7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3D0C424A"/>
    <w:multiLevelType w:val="multilevel"/>
    <w:tmpl w:val="C6F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064DF"/>
    <w:multiLevelType w:val="hybridMultilevel"/>
    <w:tmpl w:val="0FAC821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F450255"/>
    <w:multiLevelType w:val="hybridMultilevel"/>
    <w:tmpl w:val="535E91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4622D64"/>
    <w:multiLevelType w:val="hybridMultilevel"/>
    <w:tmpl w:val="F7B21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A86914"/>
    <w:multiLevelType w:val="hybridMultilevel"/>
    <w:tmpl w:val="B8BEE73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2" w15:restartNumberingAfterBreak="0">
    <w:nsid w:val="4750004C"/>
    <w:multiLevelType w:val="hybridMultilevel"/>
    <w:tmpl w:val="397CD4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96F75A1"/>
    <w:multiLevelType w:val="hybridMultilevel"/>
    <w:tmpl w:val="DB54C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F331A89"/>
    <w:multiLevelType w:val="hybridMultilevel"/>
    <w:tmpl w:val="4B0C62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3B4236"/>
    <w:multiLevelType w:val="hybridMultilevel"/>
    <w:tmpl w:val="91AE5F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AFB1811"/>
    <w:multiLevelType w:val="hybridMultilevel"/>
    <w:tmpl w:val="CF9E7F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5B6171B1"/>
    <w:multiLevelType w:val="multilevel"/>
    <w:tmpl w:val="A37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374CE"/>
    <w:multiLevelType w:val="hybridMultilevel"/>
    <w:tmpl w:val="4B0C62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2049DC"/>
    <w:multiLevelType w:val="hybridMultilevel"/>
    <w:tmpl w:val="6BECDB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22741BF"/>
    <w:multiLevelType w:val="hybridMultilevel"/>
    <w:tmpl w:val="9F6A1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2A7042"/>
    <w:multiLevelType w:val="multilevel"/>
    <w:tmpl w:val="EC5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E75854"/>
    <w:multiLevelType w:val="multilevel"/>
    <w:tmpl w:val="8E04AB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D814FF6"/>
    <w:multiLevelType w:val="multilevel"/>
    <w:tmpl w:val="B796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D214F"/>
    <w:multiLevelType w:val="multilevel"/>
    <w:tmpl w:val="286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C7D8F"/>
    <w:multiLevelType w:val="multilevel"/>
    <w:tmpl w:val="69D8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C03C8"/>
    <w:multiLevelType w:val="hybridMultilevel"/>
    <w:tmpl w:val="937A5A3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7" w15:restartNumberingAfterBreak="0">
    <w:nsid w:val="70750C5A"/>
    <w:multiLevelType w:val="hybridMultilevel"/>
    <w:tmpl w:val="854E64A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29D4103"/>
    <w:multiLevelType w:val="multilevel"/>
    <w:tmpl w:val="B19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AE25F5"/>
    <w:multiLevelType w:val="multilevel"/>
    <w:tmpl w:val="D33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9298C"/>
    <w:multiLevelType w:val="multilevel"/>
    <w:tmpl w:val="2E8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01D68"/>
    <w:multiLevelType w:val="hybridMultilevel"/>
    <w:tmpl w:val="A8008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A682788"/>
    <w:multiLevelType w:val="multilevel"/>
    <w:tmpl w:val="B06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472863"/>
    <w:multiLevelType w:val="multilevel"/>
    <w:tmpl w:val="0B6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118072">
    <w:abstractNumId w:val="33"/>
  </w:num>
  <w:num w:numId="2" w16cid:durableId="1362853657">
    <w:abstractNumId w:val="16"/>
  </w:num>
  <w:num w:numId="3" w16cid:durableId="1577667013">
    <w:abstractNumId w:val="23"/>
  </w:num>
  <w:num w:numId="4" w16cid:durableId="441341943">
    <w:abstractNumId w:val="37"/>
  </w:num>
  <w:num w:numId="5" w16cid:durableId="1992559245">
    <w:abstractNumId w:val="31"/>
  </w:num>
  <w:num w:numId="6" w16cid:durableId="351735414">
    <w:abstractNumId w:val="1"/>
  </w:num>
  <w:num w:numId="7" w16cid:durableId="697392790">
    <w:abstractNumId w:val="36"/>
  </w:num>
  <w:num w:numId="8" w16cid:durableId="1761873021">
    <w:abstractNumId w:val="7"/>
  </w:num>
  <w:num w:numId="9" w16cid:durableId="1638218368">
    <w:abstractNumId w:val="6"/>
  </w:num>
  <w:num w:numId="10" w16cid:durableId="745036308">
    <w:abstractNumId w:val="15"/>
  </w:num>
  <w:num w:numId="11" w16cid:durableId="1318801668">
    <w:abstractNumId w:val="19"/>
  </w:num>
  <w:num w:numId="12" w16cid:durableId="2103643473">
    <w:abstractNumId w:val="10"/>
  </w:num>
  <w:num w:numId="13" w16cid:durableId="1096556143">
    <w:abstractNumId w:val="14"/>
  </w:num>
  <w:num w:numId="14" w16cid:durableId="1066949309">
    <w:abstractNumId w:val="22"/>
  </w:num>
  <w:num w:numId="15" w16cid:durableId="1688561564">
    <w:abstractNumId w:val="34"/>
  </w:num>
  <w:num w:numId="16" w16cid:durableId="1369725082">
    <w:abstractNumId w:val="25"/>
  </w:num>
  <w:num w:numId="17" w16cid:durableId="1175538443">
    <w:abstractNumId w:val="13"/>
  </w:num>
  <w:num w:numId="18" w16cid:durableId="1316302059">
    <w:abstractNumId w:val="41"/>
  </w:num>
  <w:num w:numId="19" w16cid:durableId="1679962083">
    <w:abstractNumId w:val="20"/>
  </w:num>
  <w:num w:numId="20" w16cid:durableId="1912541579">
    <w:abstractNumId w:val="0"/>
  </w:num>
  <w:num w:numId="21" w16cid:durableId="1155100399">
    <w:abstractNumId w:val="2"/>
  </w:num>
  <w:num w:numId="22" w16cid:durableId="2049332717">
    <w:abstractNumId w:val="29"/>
  </w:num>
  <w:num w:numId="23" w16cid:durableId="1798061122">
    <w:abstractNumId w:val="35"/>
  </w:num>
  <w:num w:numId="24" w16cid:durableId="931743063">
    <w:abstractNumId w:val="12"/>
  </w:num>
  <w:num w:numId="25" w16cid:durableId="1335306411">
    <w:abstractNumId w:val="4"/>
  </w:num>
  <w:num w:numId="26" w16cid:durableId="883324057">
    <w:abstractNumId w:val="21"/>
  </w:num>
  <w:num w:numId="27" w16cid:durableId="953248453">
    <w:abstractNumId w:val="32"/>
  </w:num>
  <w:num w:numId="28" w16cid:durableId="1529946722">
    <w:abstractNumId w:val="43"/>
  </w:num>
  <w:num w:numId="29" w16cid:durableId="1730692983">
    <w:abstractNumId w:val="26"/>
  </w:num>
  <w:num w:numId="30" w16cid:durableId="356273637">
    <w:abstractNumId w:val="5"/>
  </w:num>
  <w:num w:numId="31" w16cid:durableId="1500579340">
    <w:abstractNumId w:val="11"/>
  </w:num>
  <w:num w:numId="32" w16cid:durableId="1649893780">
    <w:abstractNumId w:val="8"/>
  </w:num>
  <w:num w:numId="33" w16cid:durableId="1280381913">
    <w:abstractNumId w:val="3"/>
  </w:num>
  <w:num w:numId="34" w16cid:durableId="429356298">
    <w:abstractNumId w:val="18"/>
  </w:num>
  <w:num w:numId="35" w16cid:durableId="49036059">
    <w:abstractNumId w:val="9"/>
  </w:num>
  <w:num w:numId="36" w16cid:durableId="1834949971">
    <w:abstractNumId w:val="30"/>
  </w:num>
  <w:num w:numId="37" w16cid:durableId="1438328804">
    <w:abstractNumId w:val="28"/>
  </w:num>
  <w:num w:numId="38" w16cid:durableId="105807463">
    <w:abstractNumId w:val="40"/>
  </w:num>
  <w:num w:numId="39" w16cid:durableId="1101142379">
    <w:abstractNumId w:val="27"/>
  </w:num>
  <w:num w:numId="40" w16cid:durableId="835997115">
    <w:abstractNumId w:val="24"/>
  </w:num>
  <w:num w:numId="41" w16cid:durableId="1113670003">
    <w:abstractNumId w:val="17"/>
  </w:num>
  <w:num w:numId="42" w16cid:durableId="321586122">
    <w:abstractNumId w:val="42"/>
  </w:num>
  <w:num w:numId="43" w16cid:durableId="1999842996">
    <w:abstractNumId w:val="38"/>
  </w:num>
  <w:num w:numId="44" w16cid:durableId="163533160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87"/>
    <w:rsid w:val="0000722F"/>
    <w:rsid w:val="00027F6C"/>
    <w:rsid w:val="00045CAA"/>
    <w:rsid w:val="00053785"/>
    <w:rsid w:val="00055C1E"/>
    <w:rsid w:val="000573EF"/>
    <w:rsid w:val="00057C64"/>
    <w:rsid w:val="00067E38"/>
    <w:rsid w:val="00072063"/>
    <w:rsid w:val="000B3AE5"/>
    <w:rsid w:val="000D3E01"/>
    <w:rsid w:val="000D4EA3"/>
    <w:rsid w:val="000D747A"/>
    <w:rsid w:val="000F60E2"/>
    <w:rsid w:val="000F6CFF"/>
    <w:rsid w:val="00107AD5"/>
    <w:rsid w:val="001170C6"/>
    <w:rsid w:val="001250CA"/>
    <w:rsid w:val="001339C2"/>
    <w:rsid w:val="00154C17"/>
    <w:rsid w:val="00156180"/>
    <w:rsid w:val="00157276"/>
    <w:rsid w:val="00166A92"/>
    <w:rsid w:val="00173355"/>
    <w:rsid w:val="0018348B"/>
    <w:rsid w:val="00186BE8"/>
    <w:rsid w:val="001A67AA"/>
    <w:rsid w:val="00203889"/>
    <w:rsid w:val="00217E64"/>
    <w:rsid w:val="00234B48"/>
    <w:rsid w:val="002434C1"/>
    <w:rsid w:val="00244BC5"/>
    <w:rsid w:val="00254505"/>
    <w:rsid w:val="00265EDE"/>
    <w:rsid w:val="00275CA9"/>
    <w:rsid w:val="00285C19"/>
    <w:rsid w:val="00287F52"/>
    <w:rsid w:val="00291A66"/>
    <w:rsid w:val="002A0801"/>
    <w:rsid w:val="002B6C33"/>
    <w:rsid w:val="002C5DB7"/>
    <w:rsid w:val="002E01B4"/>
    <w:rsid w:val="002E7243"/>
    <w:rsid w:val="002F13A0"/>
    <w:rsid w:val="0030156C"/>
    <w:rsid w:val="00316F31"/>
    <w:rsid w:val="00341F68"/>
    <w:rsid w:val="00342A49"/>
    <w:rsid w:val="00342F85"/>
    <w:rsid w:val="00375013"/>
    <w:rsid w:val="00385414"/>
    <w:rsid w:val="00394BF6"/>
    <w:rsid w:val="003B00B0"/>
    <w:rsid w:val="003B7FDE"/>
    <w:rsid w:val="003C30A8"/>
    <w:rsid w:val="003C6157"/>
    <w:rsid w:val="003E2858"/>
    <w:rsid w:val="0040285C"/>
    <w:rsid w:val="00402FC0"/>
    <w:rsid w:val="00405D17"/>
    <w:rsid w:val="004173CF"/>
    <w:rsid w:val="00440110"/>
    <w:rsid w:val="004527CD"/>
    <w:rsid w:val="00455C60"/>
    <w:rsid w:val="00466E55"/>
    <w:rsid w:val="00473C4A"/>
    <w:rsid w:val="00483BD9"/>
    <w:rsid w:val="004A440F"/>
    <w:rsid w:val="004D2F01"/>
    <w:rsid w:val="004D5AB5"/>
    <w:rsid w:val="00506CA8"/>
    <w:rsid w:val="00517B08"/>
    <w:rsid w:val="00524682"/>
    <w:rsid w:val="00554133"/>
    <w:rsid w:val="00563470"/>
    <w:rsid w:val="00584898"/>
    <w:rsid w:val="00590105"/>
    <w:rsid w:val="00594898"/>
    <w:rsid w:val="005B1F9F"/>
    <w:rsid w:val="005D2ED1"/>
    <w:rsid w:val="005E1B54"/>
    <w:rsid w:val="005F2493"/>
    <w:rsid w:val="005F2CED"/>
    <w:rsid w:val="00620CDC"/>
    <w:rsid w:val="006258E0"/>
    <w:rsid w:val="00627BAD"/>
    <w:rsid w:val="006349EA"/>
    <w:rsid w:val="00634CB4"/>
    <w:rsid w:val="006730A7"/>
    <w:rsid w:val="00680086"/>
    <w:rsid w:val="00697D73"/>
    <w:rsid w:val="006B745F"/>
    <w:rsid w:val="006C537D"/>
    <w:rsid w:val="006D2411"/>
    <w:rsid w:val="006D6564"/>
    <w:rsid w:val="006E77AF"/>
    <w:rsid w:val="0073336F"/>
    <w:rsid w:val="00742047"/>
    <w:rsid w:val="00744208"/>
    <w:rsid w:val="007469FE"/>
    <w:rsid w:val="00746F62"/>
    <w:rsid w:val="00750953"/>
    <w:rsid w:val="00774293"/>
    <w:rsid w:val="0077750E"/>
    <w:rsid w:val="0078186F"/>
    <w:rsid w:val="007A05A3"/>
    <w:rsid w:val="007A6D84"/>
    <w:rsid w:val="007B1C00"/>
    <w:rsid w:val="007B2A0B"/>
    <w:rsid w:val="007B4F57"/>
    <w:rsid w:val="007B70D4"/>
    <w:rsid w:val="007C26F9"/>
    <w:rsid w:val="007C2835"/>
    <w:rsid w:val="007C4B98"/>
    <w:rsid w:val="007C6B0B"/>
    <w:rsid w:val="007C7728"/>
    <w:rsid w:val="007D4002"/>
    <w:rsid w:val="007F063E"/>
    <w:rsid w:val="007F5509"/>
    <w:rsid w:val="007F7CC5"/>
    <w:rsid w:val="008137F2"/>
    <w:rsid w:val="0081638C"/>
    <w:rsid w:val="00841422"/>
    <w:rsid w:val="0084250C"/>
    <w:rsid w:val="00845B41"/>
    <w:rsid w:val="0084618D"/>
    <w:rsid w:val="008513D6"/>
    <w:rsid w:val="00861C33"/>
    <w:rsid w:val="00862A2A"/>
    <w:rsid w:val="0086409D"/>
    <w:rsid w:val="00865673"/>
    <w:rsid w:val="00874819"/>
    <w:rsid w:val="00885E11"/>
    <w:rsid w:val="00893C70"/>
    <w:rsid w:val="0089623E"/>
    <w:rsid w:val="008A1D1E"/>
    <w:rsid w:val="008A7DCF"/>
    <w:rsid w:val="008B4847"/>
    <w:rsid w:val="008C6B79"/>
    <w:rsid w:val="00934764"/>
    <w:rsid w:val="00953ACD"/>
    <w:rsid w:val="00967247"/>
    <w:rsid w:val="00967D86"/>
    <w:rsid w:val="00970B0F"/>
    <w:rsid w:val="00972ECE"/>
    <w:rsid w:val="00975AF9"/>
    <w:rsid w:val="009767D1"/>
    <w:rsid w:val="00984AF0"/>
    <w:rsid w:val="00985D2E"/>
    <w:rsid w:val="00992E69"/>
    <w:rsid w:val="009C79E1"/>
    <w:rsid w:val="009E08D1"/>
    <w:rsid w:val="00A00FBB"/>
    <w:rsid w:val="00A01701"/>
    <w:rsid w:val="00A12894"/>
    <w:rsid w:val="00A24C37"/>
    <w:rsid w:val="00A30651"/>
    <w:rsid w:val="00A523EE"/>
    <w:rsid w:val="00A81348"/>
    <w:rsid w:val="00A836C9"/>
    <w:rsid w:val="00AA5F33"/>
    <w:rsid w:val="00AB1BFF"/>
    <w:rsid w:val="00AC494C"/>
    <w:rsid w:val="00AC662A"/>
    <w:rsid w:val="00AC743C"/>
    <w:rsid w:val="00AD05CC"/>
    <w:rsid w:val="00AD7306"/>
    <w:rsid w:val="00AD7E3F"/>
    <w:rsid w:val="00AF5F88"/>
    <w:rsid w:val="00B1607B"/>
    <w:rsid w:val="00B40581"/>
    <w:rsid w:val="00B4728A"/>
    <w:rsid w:val="00B605F0"/>
    <w:rsid w:val="00B62909"/>
    <w:rsid w:val="00B81F3F"/>
    <w:rsid w:val="00B93308"/>
    <w:rsid w:val="00BA0388"/>
    <w:rsid w:val="00BD7EA2"/>
    <w:rsid w:val="00BF32CD"/>
    <w:rsid w:val="00C179DB"/>
    <w:rsid w:val="00C2676C"/>
    <w:rsid w:val="00C30D72"/>
    <w:rsid w:val="00C519CD"/>
    <w:rsid w:val="00C57AA9"/>
    <w:rsid w:val="00C60163"/>
    <w:rsid w:val="00C66287"/>
    <w:rsid w:val="00C675E6"/>
    <w:rsid w:val="00C67776"/>
    <w:rsid w:val="00C811B6"/>
    <w:rsid w:val="00C831BC"/>
    <w:rsid w:val="00C8448D"/>
    <w:rsid w:val="00C87328"/>
    <w:rsid w:val="00C949C6"/>
    <w:rsid w:val="00CB6584"/>
    <w:rsid w:val="00CE0E69"/>
    <w:rsid w:val="00CE4441"/>
    <w:rsid w:val="00CF34B0"/>
    <w:rsid w:val="00CF4551"/>
    <w:rsid w:val="00CF637D"/>
    <w:rsid w:val="00D10DB9"/>
    <w:rsid w:val="00D31582"/>
    <w:rsid w:val="00D339EA"/>
    <w:rsid w:val="00D44D57"/>
    <w:rsid w:val="00D60A3D"/>
    <w:rsid w:val="00D61C7A"/>
    <w:rsid w:val="00D6271D"/>
    <w:rsid w:val="00D76EDC"/>
    <w:rsid w:val="00D93240"/>
    <w:rsid w:val="00DB5FC4"/>
    <w:rsid w:val="00DD2219"/>
    <w:rsid w:val="00DD4883"/>
    <w:rsid w:val="00DE12CE"/>
    <w:rsid w:val="00DF6197"/>
    <w:rsid w:val="00E14828"/>
    <w:rsid w:val="00E270E4"/>
    <w:rsid w:val="00E323AC"/>
    <w:rsid w:val="00E4352E"/>
    <w:rsid w:val="00E567E2"/>
    <w:rsid w:val="00E64F2E"/>
    <w:rsid w:val="00E80929"/>
    <w:rsid w:val="00EA2B23"/>
    <w:rsid w:val="00EA341E"/>
    <w:rsid w:val="00EA740B"/>
    <w:rsid w:val="00EC0AC7"/>
    <w:rsid w:val="00EC0F21"/>
    <w:rsid w:val="00ED4716"/>
    <w:rsid w:val="00ED64C7"/>
    <w:rsid w:val="00EF207A"/>
    <w:rsid w:val="00EF356B"/>
    <w:rsid w:val="00F23F66"/>
    <w:rsid w:val="00F343B2"/>
    <w:rsid w:val="00F4699D"/>
    <w:rsid w:val="00F471BC"/>
    <w:rsid w:val="00F5406F"/>
    <w:rsid w:val="00F65E14"/>
    <w:rsid w:val="00F70DB2"/>
    <w:rsid w:val="00F71B0B"/>
    <w:rsid w:val="00F72295"/>
    <w:rsid w:val="00F74F49"/>
    <w:rsid w:val="00F80EBF"/>
    <w:rsid w:val="00F81067"/>
    <w:rsid w:val="00F952EF"/>
    <w:rsid w:val="00FA041B"/>
    <w:rsid w:val="00FD14F4"/>
    <w:rsid w:val="00FD35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DD979"/>
  <w15:chartTrackingRefBased/>
  <w15:docId w15:val="{2983F458-8512-6B4D-AF7A-37E4A12C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45F"/>
    <w:rPr>
      <w:rFonts w:ascii="Times New Roman" w:hAnsi="Times New Roman"/>
      <w:sz w:val="15"/>
    </w:rPr>
  </w:style>
  <w:style w:type="paragraph" w:styleId="Ttulo1">
    <w:name w:val="heading 1"/>
    <w:basedOn w:val="Normal"/>
    <w:next w:val="Normal"/>
    <w:link w:val="Ttulo1Char"/>
    <w:uiPriority w:val="9"/>
    <w:qFormat/>
    <w:rsid w:val="00C66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B745F"/>
    <w:pPr>
      <w:keepNext/>
      <w:keepLines/>
      <w:spacing w:before="160" w:after="80"/>
      <w:jc w:val="center"/>
      <w:outlineLvl w:val="1"/>
    </w:pPr>
    <w:rPr>
      <w:rFonts w:eastAsiaTheme="majorEastAsia" w:cstheme="majorBidi"/>
      <w:b/>
      <w:color w:val="000000" w:themeColor="text1"/>
      <w:sz w:val="24"/>
      <w:szCs w:val="32"/>
    </w:rPr>
  </w:style>
  <w:style w:type="paragraph" w:styleId="Ttulo3">
    <w:name w:val="heading 3"/>
    <w:basedOn w:val="Normal"/>
    <w:next w:val="Normal"/>
    <w:link w:val="Ttulo3Char"/>
    <w:uiPriority w:val="9"/>
    <w:unhideWhenUsed/>
    <w:qFormat/>
    <w:rsid w:val="006B745F"/>
    <w:pPr>
      <w:keepNext/>
      <w:keepLines/>
      <w:spacing w:before="160" w:after="80"/>
      <w:outlineLvl w:val="2"/>
    </w:pPr>
    <w:rPr>
      <w:rFonts w:eastAsiaTheme="majorEastAsia" w:cstheme="majorBidi"/>
      <w:b/>
      <w:color w:val="000000" w:themeColor="text1"/>
      <w:sz w:val="20"/>
      <w:szCs w:val="28"/>
    </w:rPr>
  </w:style>
  <w:style w:type="paragraph" w:styleId="Ttulo4">
    <w:name w:val="heading 4"/>
    <w:basedOn w:val="Normal"/>
    <w:next w:val="Normal"/>
    <w:link w:val="Ttulo4Char"/>
    <w:uiPriority w:val="9"/>
    <w:unhideWhenUsed/>
    <w:qFormat/>
    <w:rsid w:val="00053785"/>
    <w:pPr>
      <w:keepNext/>
      <w:keepLines/>
      <w:spacing w:before="80" w:after="40"/>
      <w:outlineLvl w:val="3"/>
    </w:pPr>
    <w:rPr>
      <w:rFonts w:eastAsiaTheme="majorEastAsia" w:cstheme="majorBidi"/>
      <w:b/>
      <w:iCs/>
      <w:color w:val="000000" w:themeColor="text1"/>
      <w:sz w:val="16"/>
    </w:rPr>
  </w:style>
  <w:style w:type="paragraph" w:styleId="Ttulo5">
    <w:name w:val="heading 5"/>
    <w:basedOn w:val="Normal"/>
    <w:next w:val="Normal"/>
    <w:link w:val="Ttulo5Char"/>
    <w:uiPriority w:val="9"/>
    <w:semiHidden/>
    <w:unhideWhenUsed/>
    <w:qFormat/>
    <w:rsid w:val="00C662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662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662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662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662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62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B745F"/>
    <w:rPr>
      <w:rFonts w:ascii="Times New Roman" w:eastAsiaTheme="majorEastAsia" w:hAnsi="Times New Roman" w:cstheme="majorBidi"/>
      <w:b/>
      <w:color w:val="000000" w:themeColor="text1"/>
      <w:szCs w:val="32"/>
    </w:rPr>
  </w:style>
  <w:style w:type="character" w:customStyle="1" w:styleId="Ttulo3Char">
    <w:name w:val="Título 3 Char"/>
    <w:basedOn w:val="Fontepargpadro"/>
    <w:link w:val="Ttulo3"/>
    <w:uiPriority w:val="9"/>
    <w:rsid w:val="006B745F"/>
    <w:rPr>
      <w:rFonts w:ascii="Times New Roman" w:eastAsiaTheme="majorEastAsia" w:hAnsi="Times New Roman" w:cstheme="majorBidi"/>
      <w:b/>
      <w:color w:val="000000" w:themeColor="text1"/>
      <w:sz w:val="20"/>
      <w:szCs w:val="28"/>
    </w:rPr>
  </w:style>
  <w:style w:type="character" w:customStyle="1" w:styleId="Ttulo4Char">
    <w:name w:val="Título 4 Char"/>
    <w:basedOn w:val="Fontepargpadro"/>
    <w:link w:val="Ttulo4"/>
    <w:uiPriority w:val="9"/>
    <w:rsid w:val="00053785"/>
    <w:rPr>
      <w:rFonts w:ascii="Times New Roman" w:eastAsiaTheme="majorEastAsia" w:hAnsi="Times New Roman" w:cstheme="majorBidi"/>
      <w:b/>
      <w:iCs/>
      <w:color w:val="000000" w:themeColor="text1"/>
      <w:sz w:val="16"/>
    </w:rPr>
  </w:style>
  <w:style w:type="character" w:customStyle="1" w:styleId="Ttulo5Char">
    <w:name w:val="Título 5 Char"/>
    <w:basedOn w:val="Fontepargpadro"/>
    <w:link w:val="Ttulo5"/>
    <w:uiPriority w:val="9"/>
    <w:semiHidden/>
    <w:rsid w:val="00C662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662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662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662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66287"/>
    <w:rPr>
      <w:rFonts w:eastAsiaTheme="majorEastAsia" w:cstheme="majorBidi"/>
      <w:color w:val="272727" w:themeColor="text1" w:themeTint="D8"/>
    </w:rPr>
  </w:style>
  <w:style w:type="paragraph" w:styleId="Ttulo">
    <w:name w:val="Title"/>
    <w:basedOn w:val="Normal"/>
    <w:next w:val="Normal"/>
    <w:link w:val="TtuloChar"/>
    <w:uiPriority w:val="10"/>
    <w:qFormat/>
    <w:rsid w:val="00C66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662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662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662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66287"/>
    <w:pPr>
      <w:spacing w:before="160"/>
      <w:jc w:val="center"/>
    </w:pPr>
    <w:rPr>
      <w:i/>
      <w:iCs/>
      <w:color w:val="404040" w:themeColor="text1" w:themeTint="BF"/>
    </w:rPr>
  </w:style>
  <w:style w:type="character" w:customStyle="1" w:styleId="CitaoChar">
    <w:name w:val="Citação Char"/>
    <w:basedOn w:val="Fontepargpadro"/>
    <w:link w:val="Citao"/>
    <w:uiPriority w:val="29"/>
    <w:rsid w:val="00C66287"/>
    <w:rPr>
      <w:i/>
      <w:iCs/>
      <w:color w:val="404040" w:themeColor="text1" w:themeTint="BF"/>
    </w:rPr>
  </w:style>
  <w:style w:type="paragraph" w:styleId="PargrafodaLista">
    <w:name w:val="List Paragraph"/>
    <w:basedOn w:val="Normal"/>
    <w:uiPriority w:val="34"/>
    <w:qFormat/>
    <w:rsid w:val="00C66287"/>
    <w:pPr>
      <w:ind w:left="720"/>
      <w:contextualSpacing/>
    </w:pPr>
  </w:style>
  <w:style w:type="character" w:styleId="nfaseIntensa">
    <w:name w:val="Intense Emphasis"/>
    <w:basedOn w:val="Fontepargpadro"/>
    <w:uiPriority w:val="21"/>
    <w:qFormat/>
    <w:rsid w:val="00C66287"/>
    <w:rPr>
      <w:i/>
      <w:iCs/>
      <w:color w:val="0F4761" w:themeColor="accent1" w:themeShade="BF"/>
    </w:rPr>
  </w:style>
  <w:style w:type="paragraph" w:styleId="CitaoIntensa">
    <w:name w:val="Intense Quote"/>
    <w:basedOn w:val="Normal"/>
    <w:next w:val="Normal"/>
    <w:link w:val="CitaoIntensaChar"/>
    <w:uiPriority w:val="30"/>
    <w:qFormat/>
    <w:rsid w:val="00C66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66287"/>
    <w:rPr>
      <w:i/>
      <w:iCs/>
      <w:color w:val="0F4761" w:themeColor="accent1" w:themeShade="BF"/>
    </w:rPr>
  </w:style>
  <w:style w:type="character" w:styleId="RefernciaIntensa">
    <w:name w:val="Intense Reference"/>
    <w:basedOn w:val="Fontepargpadro"/>
    <w:uiPriority w:val="32"/>
    <w:qFormat/>
    <w:rsid w:val="00C66287"/>
    <w:rPr>
      <w:b/>
      <w:bCs/>
      <w:smallCaps/>
      <w:color w:val="0F4761" w:themeColor="accent1" w:themeShade="BF"/>
      <w:spacing w:val="5"/>
    </w:rPr>
  </w:style>
  <w:style w:type="paragraph" w:styleId="NormalWeb">
    <w:name w:val="Normal (Web)"/>
    <w:basedOn w:val="Normal"/>
    <w:uiPriority w:val="99"/>
    <w:semiHidden/>
    <w:unhideWhenUsed/>
    <w:rsid w:val="00C66287"/>
    <w:pPr>
      <w:spacing w:before="100" w:beforeAutospacing="1" w:after="100" w:afterAutospacing="1" w:line="240" w:lineRule="auto"/>
    </w:pPr>
    <w:rPr>
      <w:rFonts w:eastAsia="Times New Roman" w:cs="Times New Roman"/>
      <w:kern w:val="0"/>
      <w:lang w:eastAsia="pt-BR"/>
      <w14:ligatures w14:val="none"/>
    </w:rPr>
  </w:style>
  <w:style w:type="character" w:styleId="Forte">
    <w:name w:val="Strong"/>
    <w:basedOn w:val="Fontepargpadro"/>
    <w:uiPriority w:val="22"/>
    <w:qFormat/>
    <w:rsid w:val="00C66287"/>
    <w:rPr>
      <w:b/>
      <w:bCs/>
    </w:rPr>
  </w:style>
  <w:style w:type="paragraph" w:styleId="Cabealho">
    <w:name w:val="header"/>
    <w:basedOn w:val="Normal"/>
    <w:link w:val="CabealhoChar"/>
    <w:uiPriority w:val="99"/>
    <w:unhideWhenUsed/>
    <w:rsid w:val="00405D1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05D17"/>
    <w:rPr>
      <w:rFonts w:ascii="Garamond" w:hAnsi="Garamond"/>
      <w:sz w:val="20"/>
    </w:rPr>
  </w:style>
  <w:style w:type="paragraph" w:styleId="Rodap">
    <w:name w:val="footer"/>
    <w:basedOn w:val="Normal"/>
    <w:link w:val="RodapChar"/>
    <w:uiPriority w:val="99"/>
    <w:unhideWhenUsed/>
    <w:rsid w:val="00405D17"/>
    <w:pPr>
      <w:tabs>
        <w:tab w:val="center" w:pos="4252"/>
        <w:tab w:val="right" w:pos="8504"/>
      </w:tabs>
      <w:spacing w:after="0" w:line="240" w:lineRule="auto"/>
    </w:pPr>
  </w:style>
  <w:style w:type="character" w:customStyle="1" w:styleId="RodapChar">
    <w:name w:val="Rodapé Char"/>
    <w:basedOn w:val="Fontepargpadro"/>
    <w:link w:val="Rodap"/>
    <w:uiPriority w:val="99"/>
    <w:rsid w:val="00405D17"/>
    <w:rPr>
      <w:rFonts w:ascii="Garamond" w:hAnsi="Garamond"/>
      <w:sz w:val="20"/>
    </w:rPr>
  </w:style>
  <w:style w:type="paragraph" w:styleId="Corpodetexto">
    <w:name w:val="Body Text"/>
    <w:basedOn w:val="Normal"/>
    <w:link w:val="CorpodetextoChar"/>
    <w:qFormat/>
    <w:rsid w:val="007B70D4"/>
    <w:pPr>
      <w:spacing w:before="180" w:after="180" w:line="240" w:lineRule="auto"/>
    </w:pPr>
    <w:rPr>
      <w:rFonts w:asciiTheme="minorHAnsi" w:hAnsiTheme="minorHAnsi"/>
      <w:kern w:val="0"/>
      <w:sz w:val="24"/>
      <w:lang w:val="en-US"/>
      <w14:ligatures w14:val="none"/>
    </w:rPr>
  </w:style>
  <w:style w:type="character" w:customStyle="1" w:styleId="CorpodetextoChar">
    <w:name w:val="Corpo de texto Char"/>
    <w:basedOn w:val="Fontepargpadro"/>
    <w:link w:val="Corpodetexto"/>
    <w:rsid w:val="007B70D4"/>
    <w:rPr>
      <w:kern w:val="0"/>
      <w:lang w:val="en-US"/>
      <w14:ligatures w14:val="none"/>
    </w:rPr>
  </w:style>
  <w:style w:type="paragraph" w:customStyle="1" w:styleId="Compact">
    <w:name w:val="Compact"/>
    <w:basedOn w:val="Corpodetexto"/>
    <w:qFormat/>
    <w:rsid w:val="004527CD"/>
    <w:pPr>
      <w:spacing w:before="36" w:after="36"/>
    </w:pPr>
  </w:style>
  <w:style w:type="paragraph" w:customStyle="1" w:styleId="FirstParagraph">
    <w:name w:val="First Paragraph"/>
    <w:basedOn w:val="Corpodetexto"/>
    <w:next w:val="Corpodetexto"/>
    <w:qFormat/>
    <w:rsid w:val="00985D2E"/>
  </w:style>
  <w:style w:type="paragraph" w:customStyle="1" w:styleId="p1">
    <w:name w:val="p1"/>
    <w:basedOn w:val="Normal"/>
    <w:rsid w:val="00156180"/>
    <w:pPr>
      <w:spacing w:before="100" w:beforeAutospacing="1" w:after="100" w:afterAutospacing="1" w:line="240" w:lineRule="auto"/>
    </w:pPr>
    <w:rPr>
      <w:rFonts w:eastAsia="Times New Roman" w:cs="Times New Roman"/>
      <w:kern w:val="0"/>
      <w:sz w:val="24"/>
      <w:lang w:eastAsia="pt-BR"/>
      <w14:ligatures w14:val="none"/>
    </w:rPr>
  </w:style>
  <w:style w:type="character" w:customStyle="1" w:styleId="s1">
    <w:name w:val="s1"/>
    <w:basedOn w:val="Fontepargpadro"/>
    <w:rsid w:val="00156180"/>
  </w:style>
  <w:style w:type="paragraph" w:customStyle="1" w:styleId="p2">
    <w:name w:val="p2"/>
    <w:basedOn w:val="Normal"/>
    <w:rsid w:val="00473C4A"/>
    <w:pPr>
      <w:spacing w:before="100" w:beforeAutospacing="1" w:after="100" w:afterAutospacing="1" w:line="240" w:lineRule="auto"/>
    </w:pPr>
    <w:rPr>
      <w:rFonts w:eastAsia="Times New Roman" w:cs="Times New Roman"/>
      <w:kern w:val="0"/>
      <w:sz w:val="24"/>
      <w:lang w:eastAsia="pt-BR"/>
      <w14:ligatures w14:val="none"/>
    </w:rPr>
  </w:style>
  <w:style w:type="paragraph" w:styleId="SemEspaamento">
    <w:name w:val="No Spacing"/>
    <w:link w:val="SemEspaamentoChar"/>
    <w:uiPriority w:val="1"/>
    <w:qFormat/>
    <w:rsid w:val="002F13A0"/>
    <w:pPr>
      <w:spacing w:after="0" w:line="240" w:lineRule="auto"/>
    </w:pPr>
    <w:rPr>
      <w:rFonts w:eastAsiaTheme="minorEastAsia"/>
      <w:kern w:val="0"/>
      <w:sz w:val="22"/>
      <w:szCs w:val="22"/>
      <w:lang w:val="en-US" w:eastAsia="zh-CN"/>
      <w14:ligatures w14:val="none"/>
    </w:rPr>
  </w:style>
  <w:style w:type="character" w:customStyle="1" w:styleId="SemEspaamentoChar">
    <w:name w:val="Sem Espaçamento Char"/>
    <w:basedOn w:val="Fontepargpadro"/>
    <w:link w:val="SemEspaamento"/>
    <w:uiPriority w:val="1"/>
    <w:rsid w:val="002F13A0"/>
    <w:rPr>
      <w:rFonts w:eastAsiaTheme="minorEastAsia"/>
      <w:kern w:val="0"/>
      <w:sz w:val="22"/>
      <w:szCs w:val="22"/>
      <w:lang w:val="en-US" w:eastAsia="zh-CN"/>
      <w14:ligatures w14:val="none"/>
    </w:rPr>
  </w:style>
  <w:style w:type="paragraph" w:styleId="CabealhodoSumrio">
    <w:name w:val="TOC Heading"/>
    <w:basedOn w:val="Ttulo1"/>
    <w:next w:val="Normal"/>
    <w:uiPriority w:val="39"/>
    <w:unhideWhenUsed/>
    <w:qFormat/>
    <w:rsid w:val="00584898"/>
    <w:pPr>
      <w:spacing w:before="480" w:after="0" w:line="276" w:lineRule="auto"/>
      <w:outlineLvl w:val="9"/>
    </w:pPr>
    <w:rPr>
      <w:b/>
      <w:bCs/>
      <w:kern w:val="0"/>
      <w:sz w:val="28"/>
      <w:szCs w:val="28"/>
      <w:lang w:eastAsia="pt-BR"/>
      <w14:ligatures w14:val="none"/>
    </w:rPr>
  </w:style>
  <w:style w:type="paragraph" w:styleId="Sumrio2">
    <w:name w:val="toc 2"/>
    <w:basedOn w:val="Normal"/>
    <w:next w:val="Normal"/>
    <w:autoRedefine/>
    <w:uiPriority w:val="39"/>
    <w:unhideWhenUsed/>
    <w:rsid w:val="00584898"/>
    <w:pPr>
      <w:spacing w:before="120" w:after="0"/>
      <w:ind w:left="150"/>
    </w:pPr>
    <w:rPr>
      <w:rFonts w:asciiTheme="minorHAnsi" w:hAnsiTheme="minorHAnsi"/>
      <w:b/>
      <w:bCs/>
      <w:sz w:val="22"/>
      <w:szCs w:val="22"/>
    </w:rPr>
  </w:style>
  <w:style w:type="paragraph" w:styleId="Sumrio3">
    <w:name w:val="toc 3"/>
    <w:basedOn w:val="Normal"/>
    <w:next w:val="Normal"/>
    <w:autoRedefine/>
    <w:uiPriority w:val="39"/>
    <w:unhideWhenUsed/>
    <w:rsid w:val="00584898"/>
    <w:pPr>
      <w:spacing w:after="0"/>
      <w:ind w:left="300"/>
    </w:pPr>
    <w:rPr>
      <w:rFonts w:asciiTheme="minorHAnsi" w:hAnsiTheme="minorHAnsi"/>
      <w:sz w:val="20"/>
      <w:szCs w:val="20"/>
    </w:rPr>
  </w:style>
  <w:style w:type="character" w:styleId="Hyperlink">
    <w:name w:val="Hyperlink"/>
    <w:basedOn w:val="Fontepargpadro"/>
    <w:uiPriority w:val="99"/>
    <w:unhideWhenUsed/>
    <w:rsid w:val="00584898"/>
    <w:rPr>
      <w:color w:val="467886" w:themeColor="hyperlink"/>
      <w:u w:val="single"/>
    </w:rPr>
  </w:style>
  <w:style w:type="paragraph" w:styleId="Sumrio1">
    <w:name w:val="toc 1"/>
    <w:basedOn w:val="Normal"/>
    <w:next w:val="Normal"/>
    <w:autoRedefine/>
    <w:uiPriority w:val="39"/>
    <w:semiHidden/>
    <w:unhideWhenUsed/>
    <w:rsid w:val="00584898"/>
    <w:pPr>
      <w:spacing w:before="120" w:after="0"/>
    </w:pPr>
    <w:rPr>
      <w:rFonts w:asciiTheme="minorHAnsi" w:hAnsiTheme="minorHAnsi"/>
      <w:b/>
      <w:bCs/>
      <w:i/>
      <w:iCs/>
      <w:sz w:val="24"/>
    </w:rPr>
  </w:style>
  <w:style w:type="paragraph" w:styleId="Sumrio4">
    <w:name w:val="toc 4"/>
    <w:basedOn w:val="Normal"/>
    <w:next w:val="Normal"/>
    <w:autoRedefine/>
    <w:uiPriority w:val="39"/>
    <w:semiHidden/>
    <w:unhideWhenUsed/>
    <w:rsid w:val="00584898"/>
    <w:pPr>
      <w:spacing w:after="0"/>
      <w:ind w:left="450"/>
    </w:pPr>
    <w:rPr>
      <w:rFonts w:asciiTheme="minorHAnsi" w:hAnsiTheme="minorHAnsi"/>
      <w:sz w:val="20"/>
      <w:szCs w:val="20"/>
    </w:rPr>
  </w:style>
  <w:style w:type="paragraph" w:styleId="Sumrio5">
    <w:name w:val="toc 5"/>
    <w:basedOn w:val="Normal"/>
    <w:next w:val="Normal"/>
    <w:autoRedefine/>
    <w:uiPriority w:val="39"/>
    <w:semiHidden/>
    <w:unhideWhenUsed/>
    <w:rsid w:val="00584898"/>
    <w:pPr>
      <w:spacing w:after="0"/>
      <w:ind w:left="600"/>
    </w:pPr>
    <w:rPr>
      <w:rFonts w:asciiTheme="minorHAnsi" w:hAnsiTheme="minorHAnsi"/>
      <w:sz w:val="20"/>
      <w:szCs w:val="20"/>
    </w:rPr>
  </w:style>
  <w:style w:type="paragraph" w:styleId="Sumrio6">
    <w:name w:val="toc 6"/>
    <w:basedOn w:val="Normal"/>
    <w:next w:val="Normal"/>
    <w:autoRedefine/>
    <w:uiPriority w:val="39"/>
    <w:semiHidden/>
    <w:unhideWhenUsed/>
    <w:rsid w:val="00584898"/>
    <w:pPr>
      <w:spacing w:after="0"/>
      <w:ind w:left="750"/>
    </w:pPr>
    <w:rPr>
      <w:rFonts w:asciiTheme="minorHAnsi" w:hAnsiTheme="minorHAnsi"/>
      <w:sz w:val="20"/>
      <w:szCs w:val="20"/>
    </w:rPr>
  </w:style>
  <w:style w:type="paragraph" w:styleId="Sumrio7">
    <w:name w:val="toc 7"/>
    <w:basedOn w:val="Normal"/>
    <w:next w:val="Normal"/>
    <w:autoRedefine/>
    <w:uiPriority w:val="39"/>
    <w:semiHidden/>
    <w:unhideWhenUsed/>
    <w:rsid w:val="00584898"/>
    <w:pPr>
      <w:spacing w:after="0"/>
      <w:ind w:left="900"/>
    </w:pPr>
    <w:rPr>
      <w:rFonts w:asciiTheme="minorHAnsi" w:hAnsiTheme="minorHAnsi"/>
      <w:sz w:val="20"/>
      <w:szCs w:val="20"/>
    </w:rPr>
  </w:style>
  <w:style w:type="paragraph" w:styleId="Sumrio8">
    <w:name w:val="toc 8"/>
    <w:basedOn w:val="Normal"/>
    <w:next w:val="Normal"/>
    <w:autoRedefine/>
    <w:uiPriority w:val="39"/>
    <w:semiHidden/>
    <w:unhideWhenUsed/>
    <w:rsid w:val="00584898"/>
    <w:pPr>
      <w:spacing w:after="0"/>
      <w:ind w:left="1050"/>
    </w:pPr>
    <w:rPr>
      <w:rFonts w:asciiTheme="minorHAnsi" w:hAnsiTheme="minorHAnsi"/>
      <w:sz w:val="20"/>
      <w:szCs w:val="20"/>
    </w:rPr>
  </w:style>
  <w:style w:type="paragraph" w:styleId="Sumrio9">
    <w:name w:val="toc 9"/>
    <w:basedOn w:val="Normal"/>
    <w:next w:val="Normal"/>
    <w:autoRedefine/>
    <w:uiPriority w:val="39"/>
    <w:semiHidden/>
    <w:unhideWhenUsed/>
    <w:rsid w:val="00584898"/>
    <w:pPr>
      <w:spacing w:after="0"/>
      <w:ind w:left="1200"/>
    </w:pPr>
    <w:rPr>
      <w:rFonts w:asciiTheme="minorHAnsi" w:hAnsiTheme="minorHAnsi"/>
      <w:sz w:val="20"/>
      <w:szCs w:val="20"/>
    </w:rPr>
  </w:style>
  <w:style w:type="character" w:customStyle="1" w:styleId="apple-converted-space">
    <w:name w:val="apple-converted-space"/>
    <w:basedOn w:val="Fontepargpadro"/>
    <w:rsid w:val="00342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6297">
      <w:bodyDiv w:val="1"/>
      <w:marLeft w:val="0"/>
      <w:marRight w:val="0"/>
      <w:marTop w:val="0"/>
      <w:marBottom w:val="0"/>
      <w:divBdr>
        <w:top w:val="none" w:sz="0" w:space="0" w:color="auto"/>
        <w:left w:val="none" w:sz="0" w:space="0" w:color="auto"/>
        <w:bottom w:val="none" w:sz="0" w:space="0" w:color="auto"/>
        <w:right w:val="none" w:sz="0" w:space="0" w:color="auto"/>
      </w:divBdr>
    </w:div>
    <w:div w:id="95178805">
      <w:bodyDiv w:val="1"/>
      <w:marLeft w:val="0"/>
      <w:marRight w:val="0"/>
      <w:marTop w:val="0"/>
      <w:marBottom w:val="0"/>
      <w:divBdr>
        <w:top w:val="none" w:sz="0" w:space="0" w:color="auto"/>
        <w:left w:val="none" w:sz="0" w:space="0" w:color="auto"/>
        <w:bottom w:val="none" w:sz="0" w:space="0" w:color="auto"/>
        <w:right w:val="none" w:sz="0" w:space="0" w:color="auto"/>
      </w:divBdr>
    </w:div>
    <w:div w:id="122041805">
      <w:bodyDiv w:val="1"/>
      <w:marLeft w:val="0"/>
      <w:marRight w:val="0"/>
      <w:marTop w:val="0"/>
      <w:marBottom w:val="0"/>
      <w:divBdr>
        <w:top w:val="none" w:sz="0" w:space="0" w:color="auto"/>
        <w:left w:val="none" w:sz="0" w:space="0" w:color="auto"/>
        <w:bottom w:val="none" w:sz="0" w:space="0" w:color="auto"/>
        <w:right w:val="none" w:sz="0" w:space="0" w:color="auto"/>
      </w:divBdr>
    </w:div>
    <w:div w:id="122503295">
      <w:bodyDiv w:val="1"/>
      <w:marLeft w:val="0"/>
      <w:marRight w:val="0"/>
      <w:marTop w:val="0"/>
      <w:marBottom w:val="0"/>
      <w:divBdr>
        <w:top w:val="none" w:sz="0" w:space="0" w:color="auto"/>
        <w:left w:val="none" w:sz="0" w:space="0" w:color="auto"/>
        <w:bottom w:val="none" w:sz="0" w:space="0" w:color="auto"/>
        <w:right w:val="none" w:sz="0" w:space="0" w:color="auto"/>
      </w:divBdr>
    </w:div>
    <w:div w:id="134571652">
      <w:bodyDiv w:val="1"/>
      <w:marLeft w:val="0"/>
      <w:marRight w:val="0"/>
      <w:marTop w:val="0"/>
      <w:marBottom w:val="0"/>
      <w:divBdr>
        <w:top w:val="none" w:sz="0" w:space="0" w:color="auto"/>
        <w:left w:val="none" w:sz="0" w:space="0" w:color="auto"/>
        <w:bottom w:val="none" w:sz="0" w:space="0" w:color="auto"/>
        <w:right w:val="none" w:sz="0" w:space="0" w:color="auto"/>
      </w:divBdr>
    </w:div>
    <w:div w:id="208499496">
      <w:bodyDiv w:val="1"/>
      <w:marLeft w:val="0"/>
      <w:marRight w:val="0"/>
      <w:marTop w:val="0"/>
      <w:marBottom w:val="0"/>
      <w:divBdr>
        <w:top w:val="none" w:sz="0" w:space="0" w:color="auto"/>
        <w:left w:val="none" w:sz="0" w:space="0" w:color="auto"/>
        <w:bottom w:val="none" w:sz="0" w:space="0" w:color="auto"/>
        <w:right w:val="none" w:sz="0" w:space="0" w:color="auto"/>
      </w:divBdr>
    </w:div>
    <w:div w:id="242374597">
      <w:bodyDiv w:val="1"/>
      <w:marLeft w:val="0"/>
      <w:marRight w:val="0"/>
      <w:marTop w:val="0"/>
      <w:marBottom w:val="0"/>
      <w:divBdr>
        <w:top w:val="none" w:sz="0" w:space="0" w:color="auto"/>
        <w:left w:val="none" w:sz="0" w:space="0" w:color="auto"/>
        <w:bottom w:val="none" w:sz="0" w:space="0" w:color="auto"/>
        <w:right w:val="none" w:sz="0" w:space="0" w:color="auto"/>
      </w:divBdr>
    </w:div>
    <w:div w:id="290481601">
      <w:bodyDiv w:val="1"/>
      <w:marLeft w:val="0"/>
      <w:marRight w:val="0"/>
      <w:marTop w:val="0"/>
      <w:marBottom w:val="0"/>
      <w:divBdr>
        <w:top w:val="none" w:sz="0" w:space="0" w:color="auto"/>
        <w:left w:val="none" w:sz="0" w:space="0" w:color="auto"/>
        <w:bottom w:val="none" w:sz="0" w:space="0" w:color="auto"/>
        <w:right w:val="none" w:sz="0" w:space="0" w:color="auto"/>
      </w:divBdr>
    </w:div>
    <w:div w:id="313801327">
      <w:bodyDiv w:val="1"/>
      <w:marLeft w:val="0"/>
      <w:marRight w:val="0"/>
      <w:marTop w:val="0"/>
      <w:marBottom w:val="0"/>
      <w:divBdr>
        <w:top w:val="none" w:sz="0" w:space="0" w:color="auto"/>
        <w:left w:val="none" w:sz="0" w:space="0" w:color="auto"/>
        <w:bottom w:val="none" w:sz="0" w:space="0" w:color="auto"/>
        <w:right w:val="none" w:sz="0" w:space="0" w:color="auto"/>
      </w:divBdr>
    </w:div>
    <w:div w:id="334695103">
      <w:bodyDiv w:val="1"/>
      <w:marLeft w:val="0"/>
      <w:marRight w:val="0"/>
      <w:marTop w:val="0"/>
      <w:marBottom w:val="0"/>
      <w:divBdr>
        <w:top w:val="none" w:sz="0" w:space="0" w:color="auto"/>
        <w:left w:val="none" w:sz="0" w:space="0" w:color="auto"/>
        <w:bottom w:val="none" w:sz="0" w:space="0" w:color="auto"/>
        <w:right w:val="none" w:sz="0" w:space="0" w:color="auto"/>
      </w:divBdr>
    </w:div>
    <w:div w:id="343823962">
      <w:bodyDiv w:val="1"/>
      <w:marLeft w:val="0"/>
      <w:marRight w:val="0"/>
      <w:marTop w:val="0"/>
      <w:marBottom w:val="0"/>
      <w:divBdr>
        <w:top w:val="none" w:sz="0" w:space="0" w:color="auto"/>
        <w:left w:val="none" w:sz="0" w:space="0" w:color="auto"/>
        <w:bottom w:val="none" w:sz="0" w:space="0" w:color="auto"/>
        <w:right w:val="none" w:sz="0" w:space="0" w:color="auto"/>
      </w:divBdr>
    </w:div>
    <w:div w:id="360251434">
      <w:bodyDiv w:val="1"/>
      <w:marLeft w:val="0"/>
      <w:marRight w:val="0"/>
      <w:marTop w:val="0"/>
      <w:marBottom w:val="0"/>
      <w:divBdr>
        <w:top w:val="none" w:sz="0" w:space="0" w:color="auto"/>
        <w:left w:val="none" w:sz="0" w:space="0" w:color="auto"/>
        <w:bottom w:val="none" w:sz="0" w:space="0" w:color="auto"/>
        <w:right w:val="none" w:sz="0" w:space="0" w:color="auto"/>
      </w:divBdr>
    </w:div>
    <w:div w:id="379016532">
      <w:bodyDiv w:val="1"/>
      <w:marLeft w:val="0"/>
      <w:marRight w:val="0"/>
      <w:marTop w:val="0"/>
      <w:marBottom w:val="0"/>
      <w:divBdr>
        <w:top w:val="none" w:sz="0" w:space="0" w:color="auto"/>
        <w:left w:val="none" w:sz="0" w:space="0" w:color="auto"/>
        <w:bottom w:val="none" w:sz="0" w:space="0" w:color="auto"/>
        <w:right w:val="none" w:sz="0" w:space="0" w:color="auto"/>
      </w:divBdr>
    </w:div>
    <w:div w:id="395982654">
      <w:bodyDiv w:val="1"/>
      <w:marLeft w:val="0"/>
      <w:marRight w:val="0"/>
      <w:marTop w:val="0"/>
      <w:marBottom w:val="0"/>
      <w:divBdr>
        <w:top w:val="none" w:sz="0" w:space="0" w:color="auto"/>
        <w:left w:val="none" w:sz="0" w:space="0" w:color="auto"/>
        <w:bottom w:val="none" w:sz="0" w:space="0" w:color="auto"/>
        <w:right w:val="none" w:sz="0" w:space="0" w:color="auto"/>
      </w:divBdr>
    </w:div>
    <w:div w:id="484510010">
      <w:bodyDiv w:val="1"/>
      <w:marLeft w:val="0"/>
      <w:marRight w:val="0"/>
      <w:marTop w:val="0"/>
      <w:marBottom w:val="0"/>
      <w:divBdr>
        <w:top w:val="none" w:sz="0" w:space="0" w:color="auto"/>
        <w:left w:val="none" w:sz="0" w:space="0" w:color="auto"/>
        <w:bottom w:val="none" w:sz="0" w:space="0" w:color="auto"/>
        <w:right w:val="none" w:sz="0" w:space="0" w:color="auto"/>
      </w:divBdr>
    </w:div>
    <w:div w:id="512887065">
      <w:bodyDiv w:val="1"/>
      <w:marLeft w:val="0"/>
      <w:marRight w:val="0"/>
      <w:marTop w:val="0"/>
      <w:marBottom w:val="0"/>
      <w:divBdr>
        <w:top w:val="none" w:sz="0" w:space="0" w:color="auto"/>
        <w:left w:val="none" w:sz="0" w:space="0" w:color="auto"/>
        <w:bottom w:val="none" w:sz="0" w:space="0" w:color="auto"/>
        <w:right w:val="none" w:sz="0" w:space="0" w:color="auto"/>
      </w:divBdr>
    </w:div>
    <w:div w:id="556674082">
      <w:bodyDiv w:val="1"/>
      <w:marLeft w:val="0"/>
      <w:marRight w:val="0"/>
      <w:marTop w:val="0"/>
      <w:marBottom w:val="0"/>
      <w:divBdr>
        <w:top w:val="none" w:sz="0" w:space="0" w:color="auto"/>
        <w:left w:val="none" w:sz="0" w:space="0" w:color="auto"/>
        <w:bottom w:val="none" w:sz="0" w:space="0" w:color="auto"/>
        <w:right w:val="none" w:sz="0" w:space="0" w:color="auto"/>
      </w:divBdr>
    </w:div>
    <w:div w:id="784691650">
      <w:bodyDiv w:val="1"/>
      <w:marLeft w:val="0"/>
      <w:marRight w:val="0"/>
      <w:marTop w:val="0"/>
      <w:marBottom w:val="0"/>
      <w:divBdr>
        <w:top w:val="none" w:sz="0" w:space="0" w:color="auto"/>
        <w:left w:val="none" w:sz="0" w:space="0" w:color="auto"/>
        <w:bottom w:val="none" w:sz="0" w:space="0" w:color="auto"/>
        <w:right w:val="none" w:sz="0" w:space="0" w:color="auto"/>
      </w:divBdr>
    </w:div>
    <w:div w:id="893003304">
      <w:bodyDiv w:val="1"/>
      <w:marLeft w:val="0"/>
      <w:marRight w:val="0"/>
      <w:marTop w:val="0"/>
      <w:marBottom w:val="0"/>
      <w:divBdr>
        <w:top w:val="none" w:sz="0" w:space="0" w:color="auto"/>
        <w:left w:val="none" w:sz="0" w:space="0" w:color="auto"/>
        <w:bottom w:val="none" w:sz="0" w:space="0" w:color="auto"/>
        <w:right w:val="none" w:sz="0" w:space="0" w:color="auto"/>
      </w:divBdr>
    </w:div>
    <w:div w:id="901863776">
      <w:bodyDiv w:val="1"/>
      <w:marLeft w:val="0"/>
      <w:marRight w:val="0"/>
      <w:marTop w:val="0"/>
      <w:marBottom w:val="0"/>
      <w:divBdr>
        <w:top w:val="none" w:sz="0" w:space="0" w:color="auto"/>
        <w:left w:val="none" w:sz="0" w:space="0" w:color="auto"/>
        <w:bottom w:val="none" w:sz="0" w:space="0" w:color="auto"/>
        <w:right w:val="none" w:sz="0" w:space="0" w:color="auto"/>
      </w:divBdr>
    </w:div>
    <w:div w:id="906035675">
      <w:bodyDiv w:val="1"/>
      <w:marLeft w:val="0"/>
      <w:marRight w:val="0"/>
      <w:marTop w:val="0"/>
      <w:marBottom w:val="0"/>
      <w:divBdr>
        <w:top w:val="none" w:sz="0" w:space="0" w:color="auto"/>
        <w:left w:val="none" w:sz="0" w:space="0" w:color="auto"/>
        <w:bottom w:val="none" w:sz="0" w:space="0" w:color="auto"/>
        <w:right w:val="none" w:sz="0" w:space="0" w:color="auto"/>
      </w:divBdr>
    </w:div>
    <w:div w:id="953630882">
      <w:bodyDiv w:val="1"/>
      <w:marLeft w:val="0"/>
      <w:marRight w:val="0"/>
      <w:marTop w:val="0"/>
      <w:marBottom w:val="0"/>
      <w:divBdr>
        <w:top w:val="none" w:sz="0" w:space="0" w:color="auto"/>
        <w:left w:val="none" w:sz="0" w:space="0" w:color="auto"/>
        <w:bottom w:val="none" w:sz="0" w:space="0" w:color="auto"/>
        <w:right w:val="none" w:sz="0" w:space="0" w:color="auto"/>
      </w:divBdr>
    </w:div>
    <w:div w:id="1054768875">
      <w:bodyDiv w:val="1"/>
      <w:marLeft w:val="0"/>
      <w:marRight w:val="0"/>
      <w:marTop w:val="0"/>
      <w:marBottom w:val="0"/>
      <w:divBdr>
        <w:top w:val="none" w:sz="0" w:space="0" w:color="auto"/>
        <w:left w:val="none" w:sz="0" w:space="0" w:color="auto"/>
        <w:bottom w:val="none" w:sz="0" w:space="0" w:color="auto"/>
        <w:right w:val="none" w:sz="0" w:space="0" w:color="auto"/>
      </w:divBdr>
    </w:div>
    <w:div w:id="1101412592">
      <w:bodyDiv w:val="1"/>
      <w:marLeft w:val="0"/>
      <w:marRight w:val="0"/>
      <w:marTop w:val="0"/>
      <w:marBottom w:val="0"/>
      <w:divBdr>
        <w:top w:val="none" w:sz="0" w:space="0" w:color="auto"/>
        <w:left w:val="none" w:sz="0" w:space="0" w:color="auto"/>
        <w:bottom w:val="none" w:sz="0" w:space="0" w:color="auto"/>
        <w:right w:val="none" w:sz="0" w:space="0" w:color="auto"/>
      </w:divBdr>
    </w:div>
    <w:div w:id="1147818487">
      <w:bodyDiv w:val="1"/>
      <w:marLeft w:val="0"/>
      <w:marRight w:val="0"/>
      <w:marTop w:val="0"/>
      <w:marBottom w:val="0"/>
      <w:divBdr>
        <w:top w:val="none" w:sz="0" w:space="0" w:color="auto"/>
        <w:left w:val="none" w:sz="0" w:space="0" w:color="auto"/>
        <w:bottom w:val="none" w:sz="0" w:space="0" w:color="auto"/>
        <w:right w:val="none" w:sz="0" w:space="0" w:color="auto"/>
      </w:divBdr>
    </w:div>
    <w:div w:id="1252085027">
      <w:bodyDiv w:val="1"/>
      <w:marLeft w:val="0"/>
      <w:marRight w:val="0"/>
      <w:marTop w:val="0"/>
      <w:marBottom w:val="0"/>
      <w:divBdr>
        <w:top w:val="none" w:sz="0" w:space="0" w:color="auto"/>
        <w:left w:val="none" w:sz="0" w:space="0" w:color="auto"/>
        <w:bottom w:val="none" w:sz="0" w:space="0" w:color="auto"/>
        <w:right w:val="none" w:sz="0" w:space="0" w:color="auto"/>
      </w:divBdr>
    </w:div>
    <w:div w:id="1276862379">
      <w:bodyDiv w:val="1"/>
      <w:marLeft w:val="0"/>
      <w:marRight w:val="0"/>
      <w:marTop w:val="0"/>
      <w:marBottom w:val="0"/>
      <w:divBdr>
        <w:top w:val="none" w:sz="0" w:space="0" w:color="auto"/>
        <w:left w:val="none" w:sz="0" w:space="0" w:color="auto"/>
        <w:bottom w:val="none" w:sz="0" w:space="0" w:color="auto"/>
        <w:right w:val="none" w:sz="0" w:space="0" w:color="auto"/>
      </w:divBdr>
    </w:div>
    <w:div w:id="1300837611">
      <w:bodyDiv w:val="1"/>
      <w:marLeft w:val="0"/>
      <w:marRight w:val="0"/>
      <w:marTop w:val="0"/>
      <w:marBottom w:val="0"/>
      <w:divBdr>
        <w:top w:val="none" w:sz="0" w:space="0" w:color="auto"/>
        <w:left w:val="none" w:sz="0" w:space="0" w:color="auto"/>
        <w:bottom w:val="none" w:sz="0" w:space="0" w:color="auto"/>
        <w:right w:val="none" w:sz="0" w:space="0" w:color="auto"/>
      </w:divBdr>
    </w:div>
    <w:div w:id="1365406740">
      <w:bodyDiv w:val="1"/>
      <w:marLeft w:val="0"/>
      <w:marRight w:val="0"/>
      <w:marTop w:val="0"/>
      <w:marBottom w:val="0"/>
      <w:divBdr>
        <w:top w:val="none" w:sz="0" w:space="0" w:color="auto"/>
        <w:left w:val="none" w:sz="0" w:space="0" w:color="auto"/>
        <w:bottom w:val="none" w:sz="0" w:space="0" w:color="auto"/>
        <w:right w:val="none" w:sz="0" w:space="0" w:color="auto"/>
      </w:divBdr>
    </w:div>
    <w:div w:id="1472401202">
      <w:bodyDiv w:val="1"/>
      <w:marLeft w:val="0"/>
      <w:marRight w:val="0"/>
      <w:marTop w:val="0"/>
      <w:marBottom w:val="0"/>
      <w:divBdr>
        <w:top w:val="none" w:sz="0" w:space="0" w:color="auto"/>
        <w:left w:val="none" w:sz="0" w:space="0" w:color="auto"/>
        <w:bottom w:val="none" w:sz="0" w:space="0" w:color="auto"/>
        <w:right w:val="none" w:sz="0" w:space="0" w:color="auto"/>
      </w:divBdr>
    </w:div>
    <w:div w:id="1493252708">
      <w:bodyDiv w:val="1"/>
      <w:marLeft w:val="0"/>
      <w:marRight w:val="0"/>
      <w:marTop w:val="0"/>
      <w:marBottom w:val="0"/>
      <w:divBdr>
        <w:top w:val="none" w:sz="0" w:space="0" w:color="auto"/>
        <w:left w:val="none" w:sz="0" w:space="0" w:color="auto"/>
        <w:bottom w:val="none" w:sz="0" w:space="0" w:color="auto"/>
        <w:right w:val="none" w:sz="0" w:space="0" w:color="auto"/>
      </w:divBdr>
    </w:div>
    <w:div w:id="1516722809">
      <w:bodyDiv w:val="1"/>
      <w:marLeft w:val="0"/>
      <w:marRight w:val="0"/>
      <w:marTop w:val="0"/>
      <w:marBottom w:val="0"/>
      <w:divBdr>
        <w:top w:val="none" w:sz="0" w:space="0" w:color="auto"/>
        <w:left w:val="none" w:sz="0" w:space="0" w:color="auto"/>
        <w:bottom w:val="none" w:sz="0" w:space="0" w:color="auto"/>
        <w:right w:val="none" w:sz="0" w:space="0" w:color="auto"/>
      </w:divBdr>
    </w:div>
    <w:div w:id="1525972672">
      <w:bodyDiv w:val="1"/>
      <w:marLeft w:val="0"/>
      <w:marRight w:val="0"/>
      <w:marTop w:val="0"/>
      <w:marBottom w:val="0"/>
      <w:divBdr>
        <w:top w:val="none" w:sz="0" w:space="0" w:color="auto"/>
        <w:left w:val="none" w:sz="0" w:space="0" w:color="auto"/>
        <w:bottom w:val="none" w:sz="0" w:space="0" w:color="auto"/>
        <w:right w:val="none" w:sz="0" w:space="0" w:color="auto"/>
      </w:divBdr>
    </w:div>
    <w:div w:id="1584606393">
      <w:bodyDiv w:val="1"/>
      <w:marLeft w:val="0"/>
      <w:marRight w:val="0"/>
      <w:marTop w:val="0"/>
      <w:marBottom w:val="0"/>
      <w:divBdr>
        <w:top w:val="none" w:sz="0" w:space="0" w:color="auto"/>
        <w:left w:val="none" w:sz="0" w:space="0" w:color="auto"/>
        <w:bottom w:val="none" w:sz="0" w:space="0" w:color="auto"/>
        <w:right w:val="none" w:sz="0" w:space="0" w:color="auto"/>
      </w:divBdr>
    </w:div>
    <w:div w:id="1667978615">
      <w:bodyDiv w:val="1"/>
      <w:marLeft w:val="0"/>
      <w:marRight w:val="0"/>
      <w:marTop w:val="0"/>
      <w:marBottom w:val="0"/>
      <w:divBdr>
        <w:top w:val="none" w:sz="0" w:space="0" w:color="auto"/>
        <w:left w:val="none" w:sz="0" w:space="0" w:color="auto"/>
        <w:bottom w:val="none" w:sz="0" w:space="0" w:color="auto"/>
        <w:right w:val="none" w:sz="0" w:space="0" w:color="auto"/>
      </w:divBdr>
    </w:div>
    <w:div w:id="1773208542">
      <w:bodyDiv w:val="1"/>
      <w:marLeft w:val="0"/>
      <w:marRight w:val="0"/>
      <w:marTop w:val="0"/>
      <w:marBottom w:val="0"/>
      <w:divBdr>
        <w:top w:val="none" w:sz="0" w:space="0" w:color="auto"/>
        <w:left w:val="none" w:sz="0" w:space="0" w:color="auto"/>
        <w:bottom w:val="none" w:sz="0" w:space="0" w:color="auto"/>
        <w:right w:val="none" w:sz="0" w:space="0" w:color="auto"/>
      </w:divBdr>
    </w:div>
    <w:div w:id="1780565688">
      <w:bodyDiv w:val="1"/>
      <w:marLeft w:val="0"/>
      <w:marRight w:val="0"/>
      <w:marTop w:val="0"/>
      <w:marBottom w:val="0"/>
      <w:divBdr>
        <w:top w:val="none" w:sz="0" w:space="0" w:color="auto"/>
        <w:left w:val="none" w:sz="0" w:space="0" w:color="auto"/>
        <w:bottom w:val="none" w:sz="0" w:space="0" w:color="auto"/>
        <w:right w:val="none" w:sz="0" w:space="0" w:color="auto"/>
      </w:divBdr>
    </w:div>
    <w:div w:id="1794328159">
      <w:bodyDiv w:val="1"/>
      <w:marLeft w:val="0"/>
      <w:marRight w:val="0"/>
      <w:marTop w:val="0"/>
      <w:marBottom w:val="0"/>
      <w:divBdr>
        <w:top w:val="none" w:sz="0" w:space="0" w:color="auto"/>
        <w:left w:val="none" w:sz="0" w:space="0" w:color="auto"/>
        <w:bottom w:val="none" w:sz="0" w:space="0" w:color="auto"/>
        <w:right w:val="none" w:sz="0" w:space="0" w:color="auto"/>
      </w:divBdr>
    </w:div>
    <w:div w:id="1822426167">
      <w:bodyDiv w:val="1"/>
      <w:marLeft w:val="0"/>
      <w:marRight w:val="0"/>
      <w:marTop w:val="0"/>
      <w:marBottom w:val="0"/>
      <w:divBdr>
        <w:top w:val="none" w:sz="0" w:space="0" w:color="auto"/>
        <w:left w:val="none" w:sz="0" w:space="0" w:color="auto"/>
        <w:bottom w:val="none" w:sz="0" w:space="0" w:color="auto"/>
        <w:right w:val="none" w:sz="0" w:space="0" w:color="auto"/>
      </w:divBdr>
    </w:div>
    <w:div w:id="1883125601">
      <w:bodyDiv w:val="1"/>
      <w:marLeft w:val="0"/>
      <w:marRight w:val="0"/>
      <w:marTop w:val="0"/>
      <w:marBottom w:val="0"/>
      <w:divBdr>
        <w:top w:val="none" w:sz="0" w:space="0" w:color="auto"/>
        <w:left w:val="none" w:sz="0" w:space="0" w:color="auto"/>
        <w:bottom w:val="none" w:sz="0" w:space="0" w:color="auto"/>
        <w:right w:val="none" w:sz="0" w:space="0" w:color="auto"/>
      </w:divBdr>
    </w:div>
    <w:div w:id="1897930717">
      <w:bodyDiv w:val="1"/>
      <w:marLeft w:val="0"/>
      <w:marRight w:val="0"/>
      <w:marTop w:val="0"/>
      <w:marBottom w:val="0"/>
      <w:divBdr>
        <w:top w:val="none" w:sz="0" w:space="0" w:color="auto"/>
        <w:left w:val="none" w:sz="0" w:space="0" w:color="auto"/>
        <w:bottom w:val="none" w:sz="0" w:space="0" w:color="auto"/>
        <w:right w:val="none" w:sz="0" w:space="0" w:color="auto"/>
      </w:divBdr>
    </w:div>
    <w:div w:id="1922567930">
      <w:bodyDiv w:val="1"/>
      <w:marLeft w:val="0"/>
      <w:marRight w:val="0"/>
      <w:marTop w:val="0"/>
      <w:marBottom w:val="0"/>
      <w:divBdr>
        <w:top w:val="none" w:sz="0" w:space="0" w:color="auto"/>
        <w:left w:val="none" w:sz="0" w:space="0" w:color="auto"/>
        <w:bottom w:val="none" w:sz="0" w:space="0" w:color="auto"/>
        <w:right w:val="none" w:sz="0" w:space="0" w:color="auto"/>
      </w:divBdr>
    </w:div>
    <w:div w:id="204964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58D9B-72CD-254F-89C1-48EB78896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3173</Words>
  <Characters>17139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JOÃO P. CIRQUEIRA</Company>
  <LinksUpToDate>false</LinksUpToDate>
  <CharactersWithSpaces>20272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 Wealth PROP FIRM</dc:title>
  <dc:subject>Estatuto normatizado para mesas proprietárias</dc:subject>
  <dc:creator>+55(31) 997832052</dc:creator>
  <cp:keywords/>
  <dc:description/>
  <cp:lastModifiedBy>João Cirqueira</cp:lastModifiedBy>
  <cp:revision>4</cp:revision>
  <cp:lastPrinted>2025-08-21T15:06:00Z</cp:lastPrinted>
  <dcterms:created xsi:type="dcterms:W3CDTF">2025-08-21T15:06:00Z</dcterms:created>
  <dcterms:modified xsi:type="dcterms:W3CDTF">2025-10-03T16:51:00Z</dcterms:modified>
</cp:coreProperties>
</file>