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0db7e75b26d768d3f740c57e0ece410b9c0c59d"/>
    <w:p>
      <w:pPr>
        <w:pStyle w:val="Heading1"/>
      </w:pPr>
      <w:r>
        <w:t xml:space="preserve">AI Agents in the Enterprise: Evidence-Based Review and Deployment Blueprint</w:t>
      </w:r>
    </w:p>
    <w:bookmarkStart w:id="30" w:name="executive-findings"/>
    <w:p>
      <w:pPr>
        <w:pStyle w:val="Heading2"/>
      </w:pPr>
      <w:r>
        <w:t xml:space="preserve">Executive findings</w:t>
      </w:r>
    </w:p>
    <w:p>
      <w:pPr>
        <w:pStyle w:val="FirstParagraph"/>
      </w:pPr>
      <w:r>
        <w:t xml:space="preserve">AI agents are best understood as software systems that can interpret a goal, plan a sequence of steps, and take actions via tools (APIs, databases, SaaS apps, RPA/UI automation) with varying degrees of autonomy. This “actuation” aspect is what makes agents higher-impact—and higher-risk—than single-response assistants.</w:t>
      </w:r>
      <w:r>
        <w:t xml:space="preserve"> </w:t>
      </w:r>
      <w:hyperlink r:id="rId21">
        <w:r>
          <w:rPr>
            <w:rStyle w:val="Hyperlink"/>
          </w:rPr>
          <w:t xml:space="preserve">[1]</w:t>
        </w:r>
      </w:hyperlink>
    </w:p>
    <w:p>
      <w:pPr>
        <w:pStyle w:val="BodyText"/>
      </w:pPr>
      <w:r>
        <w:t xml:space="preserve">Market and adoption signals that appear in the provided blueprint are directionally consistent with major analyst research, but the most important nuance is that many headline statistics are forecasts or survey expectations—not realized outcomes—so they should be framed explicitly as such in executive materials.</w:t>
      </w:r>
      <w:r>
        <w:t xml:space="preserve"> </w:t>
      </w:r>
      <w:hyperlink r:id="rId22">
        <w:r>
          <w:rPr>
            <w:rStyle w:val="Hyperlink"/>
          </w:rPr>
          <w:t xml:space="preserve">[2]</w:t>
        </w:r>
      </w:hyperlink>
    </w:p>
    <w:p>
      <w:pPr>
        <w:pStyle w:val="BodyText"/>
      </w:pPr>
      <w:r>
        <w:t xml:space="preserve">The strongest, most “board-ready” message emerging from recent guidance is that agent programs succeed or fail based on governance, identity/security controls, and operational monitoring—not on model choice alone. This is reinforced by (a) the NIST emphasis on cross-cutting governance as part of continuous AI risk management, (b) ISO’s management-system framing, and (c) OWASP’s agentic threat work, which consistently prioritizes least agency, identity/privilege safety, and observability.</w:t>
      </w:r>
      <w:r>
        <w:t xml:space="preserve"> </w:t>
      </w:r>
      <w:hyperlink r:id="rId23">
        <w:r>
          <w:rPr>
            <w:rStyle w:val="Hyperlink"/>
          </w:rPr>
          <w:t xml:space="preserve">[3]</w:t>
        </w:r>
      </w:hyperlink>
    </w:p>
    <w:p>
      <w:pPr>
        <w:pStyle w:val="BodyText"/>
      </w:pPr>
      <w:r>
        <w:t xml:space="preserve">A critical counterbalance to optimistic adoption projections is Gartner’s warning that more than 40% of agentic AI projects could be canceled by the end of 2027 because of cost escalation, unclear value, or inadequate risk controls. This is a useful “why governance first” data point for executive leadership.</w:t>
      </w:r>
      <w:r>
        <w:t xml:space="preserve"> </w:t>
      </w:r>
      <w:hyperlink r:id="rId21">
        <w:r>
          <w:rPr>
            <w:rStyle w:val="Hyperlink"/>
          </w:rPr>
          <w:t xml:space="preserve">[4]</w:t>
        </w:r>
      </w:hyperlink>
    </w:p>
    <w:bookmarkStart w:id="29" w:name="X39ffeed739de7350ebb070e13af91c7e72a1b44"/>
    <w:p>
      <w:pPr>
        <w:pStyle w:val="Heading3"/>
      </w:pPr>
      <w:r>
        <w:t xml:space="preserve">Fact-check of headline metrics from the provided blueprint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Blueprint claim (paraphrased)</w:t>
            </w:r>
          </w:p>
        </w:tc>
        <w:tc>
          <w:tcPr/>
          <w:p>
            <w:pPr>
              <w:pStyle w:val="Compact"/>
            </w:pPr>
            <w:r>
              <w:t xml:space="preserve">What the best-available sources support (and how to say it precisely)</w:t>
            </w:r>
          </w:p>
        </w:tc>
      </w:tr>
      <w:tr>
        <w:tc>
          <w:tcPr/>
          <w:p>
            <w:pPr>
              <w:pStyle w:val="Compact"/>
            </w:pPr>
            <w:r>
              <w:t xml:space="preserve">“40% of enterprise apps will include AI agents by end of 2026 (up from &lt;5% in 2025).”</w:t>
            </w:r>
          </w:p>
        </w:tc>
        <w:tc>
          <w:tcPr/>
          <w:p>
            <w:pPr>
              <w:pStyle w:val="Compact"/>
            </w:pPr>
            <w:r>
              <w:t xml:space="preserve">In an August 2025 press release, Gartner</w:t>
            </w:r>
            <w:hyperlink r:id="rId24">
              <w:r>
                <w:rPr>
                  <w:rStyle w:val="Hyperlink"/>
                </w:rPr>
                <w:t xml:space="preserve">[5]</w:t>
              </w:r>
            </w:hyperlink>
            <w:r>
              <w:t xml:space="preserve"> </w:t>
            </w:r>
            <w:r>
              <w:t xml:space="preserve">forecast that 40% of enterprise applications will be integrated with task-specific AI agents by the end of 2026, up from less than 5% in 2025. Treat as a forecast and define “task-specific agent” vs “assistant.”</w:t>
            </w:r>
            <w:r>
              <w:t xml:space="preserve"> </w:t>
            </w:r>
            <w:hyperlink r:id="rId22">
              <w:r>
                <w:rPr>
                  <w:rStyle w:val="Hyperlink"/>
                </w:rPr>
                <w:t xml:space="preserve">[6]</w:t>
              </w:r>
            </w:hyperlink>
          </w:p>
        </w:tc>
      </w:tr>
      <w:tr>
        <w:tc>
          <w:tcPr/>
          <w:p>
            <w:pPr>
              <w:pStyle w:val="Compact"/>
            </w:pPr>
            <w:r>
              <w:t xml:space="preserve">“80% of common customer-service issues resolved autonomously by agents by 2029.”</w:t>
            </w:r>
          </w:p>
        </w:tc>
        <w:tc>
          <w:tcPr/>
          <w:p>
            <w:pPr>
              <w:pStyle w:val="Compact"/>
            </w:pPr>
            <w:r>
              <w:t xml:space="preserve">Gartner stated (March 5, 2025) that by 2029, agentic AI will autonomously resolve 80% of common customer service issues, with a 30% operational cost reduction, as a forecast.</w:t>
            </w:r>
            <w:r>
              <w:t xml:space="preserve"> </w:t>
            </w:r>
            <w:hyperlink r:id="rId25">
              <w:r>
                <w:rPr>
                  <w:rStyle w:val="Hyperlink"/>
                </w:rPr>
                <w:t xml:space="preserve">[7]</w:t>
              </w:r>
            </w:hyperlink>
          </w:p>
        </w:tc>
      </w:tr>
      <w:tr>
        <w:tc>
          <w:tcPr/>
          <w:p>
            <w:pPr>
              <w:pStyle w:val="Compact"/>
            </w:pPr>
            <w:r>
              <w:t xml:space="preserve">“50% of knowledge workers developing/governing agents by 2029.”</w:t>
            </w:r>
          </w:p>
        </w:tc>
        <w:tc>
          <w:tcPr/>
          <w:p>
            <w:pPr>
              <w:pStyle w:val="Compact"/>
            </w:pPr>
            <w:r>
              <w:t xml:space="preserve">The same Gartner (Aug 2025) release explicitly forecasts that by 2029, at least 50% of knowledge workers will develop new skills to work with, govern, or create AI agents on demand for complex tasks.</w:t>
            </w:r>
            <w:r>
              <w:t xml:space="preserve"> </w:t>
            </w:r>
            <w:hyperlink r:id="rId22">
              <w:r>
                <w:rPr>
                  <w:rStyle w:val="Hyperlink"/>
                </w:rPr>
                <w:t xml:space="preserve">[8]</w:t>
              </w:r>
            </w:hyperlink>
          </w:p>
        </w:tc>
      </w:tr>
      <w:tr>
        <w:tc>
          <w:tcPr/>
          <w:p>
            <w:pPr>
              <w:pStyle w:val="Compact"/>
            </w:pPr>
            <w:r>
              <w:t xml:space="preserve">“Average ROI projected by early adopters: 171%.”</w:t>
            </w:r>
          </w:p>
        </w:tc>
        <w:tc>
          <w:tcPr/>
          <w:p>
            <w:pPr>
              <w:pStyle w:val="Compact"/>
            </w:pPr>
            <w:r>
              <w:t xml:space="preserve">PagerDuty</w:t>
            </w:r>
            <w:hyperlink r:id="rId26">
              <w:r>
                <w:rPr>
                  <w:rStyle w:val="Hyperlink"/>
                </w:rPr>
                <w:t xml:space="preserve">[9]</w:t>
              </w:r>
            </w:hyperlink>
            <w:r>
              <w:t xml:space="preserve"> </w:t>
            </w:r>
            <w:r>
              <w:t xml:space="preserve">summarizes survey-based expectations: 62% expect &gt;100% ROI and the average expected ROI is 171% (with higher expectations cited for the U.S.). These are expectations from a survey, not audited realized ROI.</w:t>
            </w:r>
            <w:r>
              <w:t xml:space="preserve"> </w:t>
            </w:r>
            <w:hyperlink r:id="rId27">
              <w:r>
                <w:rPr>
                  <w:rStyle w:val="Hyperlink"/>
                </w:rPr>
                <w:t xml:space="preserve">[10]</w:t>
              </w:r>
            </w:hyperlink>
          </w:p>
        </w:tc>
      </w:tr>
      <w:tr>
        <w:tc>
          <w:tcPr/>
          <w:p>
            <w:pPr>
              <w:pStyle w:val="Compact"/>
            </w:pPr>
            <w:r>
              <w:t xml:space="preserve">“Agentic AI market size by 2029: $127B (35% CAGR).”</w:t>
            </w:r>
          </w:p>
        </w:tc>
        <w:tc>
          <w:tcPr/>
          <w:p>
            <w:pPr>
              <w:pStyle w:val="Compact"/>
            </w:pPr>
            <w:r>
              <w:t xml:space="preserve">Market-sizing is highly inconsistent because “agents,” “agentic AI,” and “autonomous workflows” are defined differently across firms. One commonly repeated figure (often cited secondhand) is ~$28B (2024) to ~$127B (2029). Even the market-research vendor pages that do publish numbers can differ substantially across editions/definitions, so treat as directional only and cite the exact report/version used.</w:t>
            </w:r>
            <w:r>
              <w:t xml:space="preserve"> </w:t>
            </w:r>
            <w:hyperlink r:id="rId28">
              <w:r>
                <w:rPr>
                  <w:rStyle w:val="Hyperlink"/>
                </w:rPr>
                <w:t xml:space="preserve">[11]</w:t>
              </w:r>
            </w:hyperlink>
          </w:p>
        </w:tc>
      </w:tr>
    </w:tbl>
    <w:bookmarkEnd w:id="29"/>
    <w:bookmarkEnd w:id="30"/>
    <w:bookmarkStart w:id="34" w:name="definitions-and-market-signals"/>
    <w:p>
      <w:pPr>
        <w:pStyle w:val="Heading2"/>
      </w:pPr>
      <w:r>
        <w:t xml:space="preserve">Definitions and market signals</w:t>
      </w:r>
    </w:p>
    <w:p>
      <w:pPr>
        <w:pStyle w:val="FirstParagraph"/>
      </w:pPr>
      <w:r>
        <w:t xml:space="preserve">The most common practical failure mode in enterprise agent programs is “agentwashing”: relabeling assistants, chatbots, or simple automations as “agents” without adding true planning + tool autonomy, which inflates expectations and muddies governance requirements. Gartner explicitly calls out “agent washing” as a major source of hype and mismatch between promised and actual capability.</w:t>
      </w:r>
      <w:r>
        <w:t xml:space="preserve"> </w:t>
      </w:r>
      <w:hyperlink r:id="rId21">
        <w:r>
          <w:rPr>
            <w:rStyle w:val="Hyperlink"/>
          </w:rPr>
          <w:t xml:space="preserve">[12]</w:t>
        </w:r>
      </w:hyperlink>
    </w:p>
    <w:p>
      <w:pPr>
        <w:pStyle w:val="BodyText"/>
      </w:pPr>
      <w:r>
        <w:t xml:space="preserve">From a risk-management perspective, the most important definitional axis is autonomy: how much of the workflow is executed without a human decision point, and what kinds of actions (data access, money movement, system changes) the agent is allowed to take. NIST defines AI systems as producing outputs (predictions, recommendations, decisions) that influence environments and operate at varying levels of autonomy—an anchor concept that maps cleanly to agents as “AI systems with tool-mediated actuation.”</w:t>
      </w:r>
      <w:r>
        <w:t xml:space="preserve"> </w:t>
      </w:r>
      <w:hyperlink r:id="rId23">
        <w:r>
          <w:rPr>
            <w:rStyle w:val="Hyperlink"/>
          </w:rPr>
          <w:t xml:space="preserve">[13]</w:t>
        </w:r>
      </w:hyperlink>
    </w:p>
    <w:p>
      <w:pPr>
        <w:pStyle w:val="BodyText"/>
      </w:pPr>
      <w:r>
        <w:t xml:space="preserve">Recent management research reinforces that the value of agents is inseparable from operating-model redesign. For example, the MIT Sloan/BCG survey-based work reports meaningful near-term adoption interest (35% already using agentic AI and another 44% planning to deploy soon), while simultaneously emphasizing that few organizations have restructured around this shift—an organizational readiness gap that maps directly to governance, process redesign, and role evolution.</w:t>
      </w:r>
      <w:r>
        <w:t xml:space="preserve"> </w:t>
      </w:r>
      <w:hyperlink r:id="rId31">
        <w:r>
          <w:rPr>
            <w:rStyle w:val="Hyperlink"/>
          </w:rPr>
          <w:t xml:space="preserve">[14]</w:t>
        </w:r>
      </w:hyperlink>
      <w:r>
        <w:t xml:space="preserve"> </w:t>
      </w:r>
      <w:r>
        <w:t xml:space="preserve">This framing shows up similarly in major consulting guidance from entity["company","Bain &amp; Company","management consulting firm"] and entity["company","McKinsey &amp; Company","management consulting firm"], which both stress that scalable deployment requires modernization of data/platform foundations and stronger security/accountability practices.</w:t>
      </w:r>
      <w:r>
        <w:t xml:space="preserve"> </w:t>
      </w:r>
      <w:hyperlink r:id="rId32">
        <w:r>
          <w:rPr>
            <w:rStyle w:val="Hyperlink"/>
          </w:rPr>
          <w:t xml:space="preserve">[15]</w:t>
        </w:r>
      </w:hyperlink>
    </w:p>
    <w:p>
      <w:pPr>
        <w:pStyle w:val="BodyText"/>
      </w:pPr>
      <w:r>
        <w:t xml:space="preserve">Two governance-relevant market signals are especially useful to bake into an enterprise blueprint:</w:t>
      </w:r>
    </w:p>
    <w:p>
      <w:pPr>
        <w:pStyle w:val="BodyText"/>
      </w:pPr>
      <w:r>
        <w:t xml:space="preserve">First, Gartner’s forecast that over 40% of agentic AI projects could be canceled by end of 2027 due to cost, unclear business value, or inadequate risk controls should be used as explicit justification for a phased “govern → prove → scale” program shape.</w:t>
      </w:r>
      <w:r>
        <w:t xml:space="preserve"> </w:t>
      </w:r>
      <w:hyperlink r:id="rId21">
        <w:r>
          <w:rPr>
            <w:rStyle w:val="Hyperlink"/>
          </w:rPr>
          <w:t xml:space="preserve">[4]</w:t>
        </w:r>
      </w:hyperlink>
    </w:p>
    <w:p>
      <w:pPr>
        <w:pStyle w:val="BodyText"/>
      </w:pPr>
      <w:r>
        <w:t xml:space="preserve">Second, forecasts about adoption (40% of enterprise apps with task-specific agents by end of 2026) and workforce skill shifts (50% of knowledge workers building/governing/creating agents by 2029) strongly suggest that “shadow agent programs” (unapproved agents created in business units) will rise, making centralized inventory, identity control, and monitoring a prerequisite—not a maturity milestone.</w:t>
      </w:r>
      <w:r>
        <w:t xml:space="preserve"> </w:t>
      </w:r>
      <w:hyperlink r:id="rId22">
        <w:r>
          <w:rPr>
            <w:rStyle w:val="Hyperlink"/>
          </w:rPr>
          <w:t xml:space="preserve">[16]</w:t>
        </w:r>
      </w:hyperlink>
    </w:p>
    <w:p>
      <w:pPr>
        <w:pStyle w:val="BodyText"/>
      </w:pPr>
      <w:r>
        <w:t xml:space="preserve">The market-sizing conversation should be treated carefully. “Agentic AI market size” estimates vary widely because they often mix (a) platform revenue, (b) services revenue, and (c) embedded agent features inside broader enterprise suites. Even the same named research vendor can publish substantially different figures across adjacent categories or report editions, which is why executive decks should emphasize adoption and governance posture more than any single market-size number.</w:t>
      </w:r>
      <w:r>
        <w:t xml:space="preserve"> </w:t>
      </w:r>
      <w:hyperlink r:id="rId33">
        <w:r>
          <w:rPr>
            <w:rStyle w:val="Hyperlink"/>
          </w:rPr>
          <w:t xml:space="preserve">[17]</w:t>
        </w:r>
      </w:hyperlink>
    </w:p>
    <w:bookmarkEnd w:id="34"/>
    <w:bookmarkStart w:id="38" w:name="architecture-patterns-and-control-points"/>
    <w:p>
      <w:pPr>
        <w:pStyle w:val="Heading2"/>
      </w:pPr>
      <w:r>
        <w:t xml:space="preserve">Architecture patterns and control points</w:t>
      </w:r>
    </w:p>
    <w:p>
      <w:pPr>
        <w:pStyle w:val="FirstParagraph"/>
      </w:pPr>
      <w:r>
        <w:t xml:space="preserve">Enterprise agent architectures can be described as a loop: receive inputs, plan, call tools, observe results, and iterate. This is not only an engineering pattern; it is also a risk pattern, because each loop creates opportunity for goal hijack, tool misuse, identity abuse, memory poisoning, and cascading failures—exactly the categories OWASP elevates in its agentic security work.</w:t>
      </w:r>
      <w:r>
        <w:t xml:space="preserve"> </w:t>
      </w:r>
      <w:hyperlink r:id="rId26">
        <w:r>
          <w:rPr>
            <w:rStyle w:val="Hyperlink"/>
          </w:rPr>
          <w:t xml:space="preserve">[18]</w:t>
        </w:r>
      </w:hyperlink>
    </w:p>
    <w:p>
      <w:pPr>
        <w:pStyle w:val="BodyText"/>
      </w:pPr>
      <w:r>
        <w:t xml:space="preserve">A useful practical lens is to treat the agent as a composition of control points:</w:t>
      </w:r>
    </w:p>
    <w:p>
      <w:pPr>
        <w:pStyle w:val="BodyText"/>
      </w:pPr>
      <w:r>
        <w:t xml:space="preserve">The tool plane (APIs/RPA), where “ability to act” lives and where most material harm occurs if scope is wrong. OWASP’s agentic Top 10 directly elevates tool misuse/exploitation and identity/privilege abuse, and recommends per-tool least privilege plus action-level authentication/approval for sensitive operations.</w:t>
      </w:r>
      <w:r>
        <w:t xml:space="preserve"> </w:t>
      </w:r>
      <w:hyperlink r:id="rId26">
        <w:r>
          <w:rPr>
            <w:rStyle w:val="Hyperlink"/>
          </w:rPr>
          <w:t xml:space="preserve">[19]</w:t>
        </w:r>
      </w:hyperlink>
    </w:p>
    <w:p>
      <w:pPr>
        <w:pStyle w:val="BodyText"/>
      </w:pPr>
      <w:r>
        <w:t xml:space="preserve">The memory/context plane (short-term scratchpad, long-term memory, RAG), where persistent poisoning can steer future actions. OWASP’s “Agentic AI – Threats and Mitigations” explicitly enumerates memory poisoning and related threats in its taxonomy and threat modeling approach.</w:t>
      </w:r>
      <w:r>
        <w:t xml:space="preserve"> </w:t>
      </w:r>
      <w:hyperlink r:id="rId35">
        <w:r>
          <w:rPr>
            <w:rStyle w:val="Hyperlink"/>
          </w:rPr>
          <w:t xml:space="preserve">[20]</w:t>
        </w:r>
      </w:hyperlink>
    </w:p>
    <w:p>
      <w:pPr>
        <w:pStyle w:val="BodyText"/>
      </w:pPr>
      <w:r>
        <w:t xml:space="preserve">The identity plane (non-human identity, service accounts, delegated permissions), where agent compromise becomes “privilege with plausible legitimacy.” ISACA describes agentic AI as extending the non-human identity landscape and highlights the auditing challenge when actions and identity creation occur without classic human approvals.</w:t>
      </w:r>
      <w:r>
        <w:t xml:space="preserve"> </w:t>
      </w:r>
      <w:hyperlink r:id="rId24">
        <w:r>
          <w:rPr>
            <w:rStyle w:val="Hyperlink"/>
          </w:rPr>
          <w:t xml:space="preserve">[21]</w:t>
        </w:r>
      </w:hyperlink>
    </w:p>
    <w:p>
      <w:pPr>
        <w:pStyle w:val="BodyText"/>
      </w:pPr>
      <w:r>
        <w:t xml:space="preserve">The human oversight plane, where review is inserted by risk and where attackers may attempt to overwhelm reviewers. OWASP’s threat taxonomy explicitly includes “Overwhelming Human-in-the-Loop (HITL)” as a named threat (T10) with cognitive-overload and decision-bypass scenarios.</w:t>
      </w:r>
      <w:r>
        <w:t xml:space="preserve"> </w:t>
      </w:r>
      <w:hyperlink r:id="rId35">
        <w:r>
          <w:rPr>
            <w:rStyle w:val="Hyperlink"/>
          </w:rPr>
          <w:t xml:space="preserve">[22]</w:t>
        </w:r>
      </w:hyperlink>
    </w:p>
    <w:p>
      <w:pPr>
        <w:pStyle w:val="BodyText"/>
      </w:pPr>
      <w:r>
        <w:t xml:space="preserve">A key design implication is that “least privilege” is necessary but insufficient; “least agency” matters too. OWASP explicitly introduces least-agency as a way to avoid unnecessary autonomy that expands attack surface without adding value, and ties this to the non-negotiability of strong observability.</w:t>
      </w:r>
      <w:r>
        <w:t xml:space="preserve"> </w:t>
      </w:r>
      <w:hyperlink r:id="rId26">
        <w:r>
          <w:rPr>
            <w:rStyle w:val="Hyperlink"/>
          </w:rPr>
          <w:t xml:space="preserve">[23]</w:t>
        </w:r>
      </w:hyperlink>
    </w:p>
    <w:p>
      <w:pPr>
        <w:pStyle w:val="BodyText"/>
      </w:pPr>
      <w:r>
        <w:t xml:space="preserve">In addition to OWASP’s concrete mitigations, the Coalition for Secure AI</w:t>
      </w:r>
      <w:hyperlink r:id="rId36">
        <w:r>
          <w:rPr>
            <w:rStyle w:val="Hyperlink"/>
          </w:rPr>
          <w:t xml:space="preserve">[24]</w:t>
        </w:r>
      </w:hyperlink>
      <w:r>
        <w:t xml:space="preserve"> </w:t>
      </w:r>
      <w:r>
        <w:t xml:space="preserve">frames secure-by-design agentic systems as an optimization problem—balancing speed/autonomy with bounded security risk—and recommends a defense-in-depth approach starting with human oversight/shared accountability, then containment, then integrity controls.</w:t>
      </w:r>
      <w:r>
        <w:t xml:space="preserve"> </w:t>
      </w:r>
      <w:hyperlink r:id="rId37">
        <w:r>
          <w:rPr>
            <w:rStyle w:val="Hyperlink"/>
          </w:rPr>
          <w:t xml:space="preserve">[25]</w:t>
        </w:r>
      </w:hyperlink>
    </w:p>
    <w:bookmarkEnd w:id="38"/>
    <w:bookmarkStart w:id="50" w:name="evidence-from-real-world-deployments"/>
    <w:p>
      <w:pPr>
        <w:pStyle w:val="Heading2"/>
      </w:pPr>
      <w:r>
        <w:t xml:space="preserve">Evidence from real-world deployments</w:t>
      </w:r>
    </w:p>
    <w:p>
      <w:pPr>
        <w:pStyle w:val="FirstParagraph"/>
      </w:pPr>
      <w:r>
        <w:t xml:space="preserve">Many widely cited “agent use cases” are still vendor-originated narratives, so credibility depends on whether the organization provides enough detail to show (a) tool integration, (b) operating mode (recommend-only vs auto-act), and (c) measurable outcomes. Gartner’s cancellation forecast is a reminder to treat proof-of-concept stories as insufficient for scale decisions without governance and operating data.</w:t>
      </w:r>
      <w:r>
        <w:t xml:space="preserve"> </w:t>
      </w:r>
      <w:hyperlink r:id="rId21">
        <w:r>
          <w:rPr>
            <w:rStyle w:val="Hyperlink"/>
          </w:rPr>
          <w:t xml:space="preserve">[4]</w:t>
        </w:r>
      </w:hyperlink>
    </w:p>
    <w:p>
      <w:pPr>
        <w:pStyle w:val="BodyText"/>
      </w:pPr>
      <w:r>
        <w:t xml:space="preserve">In finance operations, Ramp</w:t>
      </w:r>
      <w:hyperlink r:id="rId24">
        <w:r>
          <w:rPr>
            <w:rStyle w:val="Hyperlink"/>
          </w:rPr>
          <w:t xml:space="preserve">[26]</w:t>
        </w:r>
      </w:hyperlink>
      <w:r>
        <w:t xml:space="preserve"> </w:t>
      </w:r>
      <w:r>
        <w:t xml:space="preserve">publicly announced AI agents for controllers to enforce expense policies (July 10, 2025), positioning this as automation of policy enforcement and reduction of manual work.</w:t>
      </w:r>
      <w:r>
        <w:t xml:space="preserve"> </w:t>
      </w:r>
      <w:hyperlink r:id="rId39">
        <w:r>
          <w:rPr>
            <w:rStyle w:val="Hyperlink"/>
          </w:rPr>
          <w:t xml:space="preserve">[27]</w:t>
        </w:r>
      </w:hyperlink>
      <w:r>
        <w:t xml:space="preserve"> </w:t>
      </w:r>
      <w:r>
        <w:t xml:space="preserve">Ramp’s own documentation describes a “Policy Agent” that applies written expense policy to transactions and reimbursements, with an explicit “review-only mode” and retained human authority, which is a concrete example of staged autonomy and human-on-the-loop control.</w:t>
      </w:r>
      <w:r>
        <w:t xml:space="preserve"> </w:t>
      </w:r>
      <w:hyperlink r:id="rId40">
        <w:r>
          <w:rPr>
            <w:rStyle w:val="Hyperlink"/>
          </w:rPr>
          <w:t xml:space="preserve">[28]</w:t>
        </w:r>
      </w:hyperlink>
    </w:p>
    <w:p>
      <w:pPr>
        <w:pStyle w:val="BodyText"/>
      </w:pPr>
      <w:r>
        <w:t xml:space="preserve">In legal/contract workflows, Google Cloud</w:t>
      </w:r>
      <w:hyperlink r:id="rId25">
        <w:r>
          <w:rPr>
            <w:rStyle w:val="Hyperlink"/>
          </w:rPr>
          <w:t xml:space="preserve">[29]</w:t>
        </w:r>
      </w:hyperlink>
      <w:r>
        <w:t xml:space="preserve"> </w:t>
      </w:r>
      <w:r>
        <w:t xml:space="preserve">publishes examples of agentic systems built on Vertex AI and Gemini. The Google Cloud “AI agent ecosystem partners” listing describes Cognizant</w:t>
      </w:r>
      <w:hyperlink r:id="rId41">
        <w:r>
          <w:rPr>
            <w:rStyle w:val="Hyperlink"/>
          </w:rPr>
          <w:t xml:space="preserve">[30]</w:t>
        </w:r>
      </w:hyperlink>
      <w:r>
        <w:t xml:space="preserve"> </w:t>
      </w:r>
      <w:r>
        <w:t xml:space="preserve">helping legal teams draft contracts with risk scoring and recommendations.</w:t>
      </w:r>
      <w:r>
        <w:t xml:space="preserve"> </w:t>
      </w:r>
      <w:hyperlink r:id="rId42">
        <w:r>
          <w:rPr>
            <w:rStyle w:val="Hyperlink"/>
          </w:rPr>
          <w:t xml:space="preserve">[31]</w:t>
        </w:r>
      </w:hyperlink>
      <w:r>
        <w:t xml:space="preserve"> </w:t>
      </w:r>
      <w:r>
        <w:t xml:space="preserve">The same Google Cloud compilation cites Fluna</w:t>
      </w:r>
      <w:hyperlink r:id="rId24">
        <w:r>
          <w:rPr>
            <w:rStyle w:val="Hyperlink"/>
          </w:rPr>
          <w:t xml:space="preserve">[32]</w:t>
        </w:r>
      </w:hyperlink>
      <w:r>
        <w:t xml:space="preserve"> </w:t>
      </w:r>
      <w:r>
        <w:t xml:space="preserve">achieving 92% extraction accuracy for legal agreements using Vertex AI, Document AI, and Gemini (presented as a provider case and framed around security/reliability for sensitive information).</w:t>
      </w:r>
      <w:r>
        <w:t xml:space="preserve"> </w:t>
      </w:r>
      <w:hyperlink r:id="rId43">
        <w:r>
          <w:rPr>
            <w:rStyle w:val="Hyperlink"/>
          </w:rPr>
          <w:t xml:space="preserve">[33]</w:t>
        </w:r>
      </w:hyperlink>
    </w:p>
    <w:p>
      <w:pPr>
        <w:pStyle w:val="BodyText"/>
      </w:pPr>
      <w:r>
        <w:t xml:space="preserve">In legal review acceleration, the Vellum</w:t>
      </w:r>
      <w:hyperlink r:id="rId44">
        <w:r>
          <w:rPr>
            <w:rStyle w:val="Hyperlink"/>
          </w:rPr>
          <w:t xml:space="preserve">[34]</w:t>
        </w:r>
      </w:hyperlink>
      <w:r>
        <w:t xml:space="preserve"> </w:t>
      </w:r>
      <w:r>
        <w:t xml:space="preserve">case study with Gravity Stack</w:t>
      </w:r>
      <w:hyperlink r:id="rId26">
        <w:r>
          <w:rPr>
            <w:rStyle w:val="Hyperlink"/>
          </w:rPr>
          <w:t xml:space="preserve">[35]</w:t>
        </w:r>
      </w:hyperlink>
      <w:r>
        <w:t xml:space="preserve"> </w:t>
      </w:r>
      <w:r>
        <w:t xml:space="preserve">reports reducing a credit agreement review workflow from “several days to under 24 hours” via a hybrid LLM + human-in-the-loop validation approach. As presented, this is a practical illustration of using agents to narrow the review burden to exceptions and validations rather than replacing human judgment entirely.</w:t>
      </w:r>
      <w:r>
        <w:t xml:space="preserve"> </w:t>
      </w:r>
      <w:hyperlink r:id="rId45">
        <w:r>
          <w:rPr>
            <w:rStyle w:val="Hyperlink"/>
          </w:rPr>
          <w:t xml:space="preserve">[36]</w:t>
        </w:r>
      </w:hyperlink>
    </w:p>
    <w:p>
      <w:pPr>
        <w:pStyle w:val="BodyText"/>
      </w:pPr>
      <w:r>
        <w:t xml:space="preserve">In cybersecurity operations, Darktrace</w:t>
      </w:r>
      <w:hyperlink r:id="rId46">
        <w:r>
          <w:rPr>
            <w:rStyle w:val="Hyperlink"/>
          </w:rPr>
          <w:t xml:space="preserve">[37]</w:t>
        </w:r>
      </w:hyperlink>
      <w:r>
        <w:t xml:space="preserve"> </w:t>
      </w:r>
      <w:r>
        <w:t xml:space="preserve">positions Cyber AI Analyst as autonomously investigating alerts and streamlining SOC triage.</w:t>
      </w:r>
      <w:r>
        <w:t xml:space="preserve"> </w:t>
      </w:r>
      <w:hyperlink r:id="rId47">
        <w:r>
          <w:rPr>
            <w:rStyle w:val="Hyperlink"/>
          </w:rPr>
          <w:t xml:space="preserve">[38]</w:t>
        </w:r>
      </w:hyperlink>
      <w:r>
        <w:t xml:space="preserve"> </w:t>
      </w:r>
      <w:r>
        <w:t xml:space="preserve">Darktrace’s customer case study for the State of Oklahoma</w:t>
      </w:r>
      <w:hyperlink r:id="rId32">
        <w:r>
          <w:rPr>
            <w:rStyle w:val="Hyperlink"/>
          </w:rPr>
          <w:t xml:space="preserve">[39]</w:t>
        </w:r>
      </w:hyperlink>
      <w:r>
        <w:t xml:space="preserve"> </w:t>
      </w:r>
      <w:r>
        <w:t xml:space="preserve">describes using Cyber AI Analyst to triage and prioritize alerts, including third-party tool alerts, supporting a “lean IT team” model.</w:t>
      </w:r>
      <w:r>
        <w:t xml:space="preserve"> </w:t>
      </w:r>
      <w:hyperlink r:id="rId46">
        <w:r>
          <w:rPr>
            <w:rStyle w:val="Hyperlink"/>
          </w:rPr>
          <w:t xml:space="preserve">[40]</w:t>
        </w:r>
      </w:hyperlink>
      <w:r>
        <w:t xml:space="preserve"> </w:t>
      </w:r>
      <w:r>
        <w:t xml:space="preserve">Independent reporting also notes Oklahoma’s increasing use of agentic AI in cyber operations and the governance concerns that come with giving “more latitude.”</w:t>
      </w:r>
      <w:r>
        <w:t xml:space="preserve"> </w:t>
      </w:r>
      <w:hyperlink r:id="rId48">
        <w:r>
          <w:rPr>
            <w:rStyle w:val="Hyperlink"/>
          </w:rPr>
          <w:t xml:space="preserve">[41]</w:t>
        </w:r>
      </w:hyperlink>
    </w:p>
    <w:p>
      <w:pPr>
        <w:pStyle w:val="BodyText"/>
      </w:pPr>
      <w:r>
        <w:t xml:space="preserve">In healthcare revenue-cycle automation, Thoughtful AI</w:t>
      </w:r>
      <w:hyperlink r:id="rId35">
        <w:r>
          <w:rPr>
            <w:rStyle w:val="Hyperlink"/>
          </w:rPr>
          <w:t xml:space="preserve">[42]</w:t>
        </w:r>
      </w:hyperlink>
      <w:r>
        <w:t xml:space="preserve"> </w:t>
      </w:r>
      <w:r>
        <w:t xml:space="preserve">announced a comprehensive team of specialized RCM AI agents, which it positions as automating tedious administrative workflows to improve revenue cycle performance.</w:t>
      </w:r>
      <w:r>
        <w:t xml:space="preserve"> </w:t>
      </w:r>
      <w:hyperlink r:id="rId49">
        <w:r>
          <w:rPr>
            <w:rStyle w:val="Hyperlink"/>
          </w:rPr>
          <w:t xml:space="preserve">[43]</w:t>
        </w:r>
      </w:hyperlink>
      <w:r>
        <w:t xml:space="preserve"> </w:t>
      </w:r>
      <w:r>
        <w:t xml:space="preserve">Public-facing materials and partner listings also describe the system as a coordinated set of specialized agents across revenue cycle steps (eligibility verification, prior auth, claims, denials, payment posting), which is aligned with the “orchestrator + task agents” pattern described in the provided blueprint.</w:t>
      </w:r>
      <w:r>
        <w:t xml:space="preserve"> </w:t>
      </w:r>
      <w:hyperlink r:id="rId44">
        <w:r>
          <w:rPr>
            <w:rStyle w:val="Hyperlink"/>
          </w:rPr>
          <w:t xml:space="preserve">[44]</w:t>
        </w:r>
      </w:hyperlink>
    </w:p>
    <w:p>
      <w:pPr>
        <w:pStyle w:val="BodyText"/>
      </w:pPr>
      <w:r>
        <w:t xml:space="preserve">Across these examples, the recurring implementation pattern is not “full autonomy everywhere,” but staged autonomy with explicit boundaries, auditability, and exception routing—consistent with OWASP’s emphasis on limiting agency and with NIST’s framing that trustworthiness requires reliability and governance embedded throughout the lifecycle.</w:t>
      </w:r>
      <w:r>
        <w:t xml:space="preserve"> </w:t>
      </w:r>
      <w:hyperlink r:id="rId26">
        <w:r>
          <w:rPr>
            <w:rStyle w:val="Hyperlink"/>
          </w:rPr>
          <w:t xml:space="preserve">[45]</w:t>
        </w:r>
      </w:hyperlink>
    </w:p>
    <w:bookmarkEnd w:id="50"/>
    <w:bookmarkStart w:id="54" w:name="governance-aligned-to-nist46-and-iso47"/>
    <w:p>
      <w:pPr>
        <w:pStyle w:val="Heading2"/>
      </w:pPr>
      <w:r>
        <w:t xml:space="preserve">Governance aligned to NIST</w:t>
      </w:r>
      <w:hyperlink r:id="rId42">
        <w:r>
          <w:rPr>
            <w:rStyle w:val="Hyperlink"/>
          </w:rPr>
          <w:t xml:space="preserve">[46]</w:t>
        </w:r>
      </w:hyperlink>
      <w:r>
        <w:t xml:space="preserve"> </w:t>
      </w:r>
      <w:r>
        <w:t xml:space="preserve">and ISO</w:t>
      </w:r>
      <w:hyperlink r:id="rId26">
        <w:r>
          <w:rPr>
            <w:rStyle w:val="Hyperlink"/>
          </w:rPr>
          <w:t xml:space="preserve">[47]</w:t>
        </w:r>
      </w:hyperlink>
    </w:p>
    <w:p>
      <w:pPr>
        <w:pStyle w:val="FirstParagraph"/>
      </w:pPr>
      <w:r>
        <w:t xml:space="preserve">A defensible enterprise blueprint should root its governance program in a recognizable risk-management framework, because that makes it easier to explain decisions to executives, auditors, and regulators. NIST’s AI Risk Management Framework (AI RMF 1.0) explicitly organizes risk management into four functions—govern, map, measure, manage—where govern is cross-cutting and infused throughout the other functions.</w:t>
      </w:r>
      <w:r>
        <w:t xml:space="preserve"> </w:t>
      </w:r>
      <w:hyperlink r:id="rId23">
        <w:r>
          <w:rPr>
            <w:rStyle w:val="Hyperlink"/>
          </w:rPr>
          <w:t xml:space="preserve">[48]</w:t>
        </w:r>
      </w:hyperlink>
    </w:p>
    <w:p>
      <w:pPr>
        <w:pStyle w:val="BodyText"/>
      </w:pPr>
      <w:r>
        <w:t xml:space="preserve">Two NIST points are particularly relevant to agent programs:</w:t>
      </w:r>
    </w:p>
    <w:p>
      <w:pPr>
        <w:pStyle w:val="BodyText"/>
      </w:pPr>
      <w:r>
        <w:t xml:space="preserve">NIST explicitly frames governance as a continuous requirement over an AI system’s lifespan and emphasizes roles/responsibilities, policies, and training as part of the GOVERN function—mapping cleanly to an AI governance committee, a use-case registry, and defined approval thresholds for agent autonomy.</w:t>
      </w:r>
      <w:r>
        <w:t xml:space="preserve"> </w:t>
      </w:r>
      <w:hyperlink r:id="rId23">
        <w:r>
          <w:rPr>
            <w:rStyle w:val="Hyperlink"/>
          </w:rPr>
          <w:t xml:space="preserve">[48]</w:t>
        </w:r>
      </w:hyperlink>
    </w:p>
    <w:p>
      <w:pPr>
        <w:pStyle w:val="BodyText"/>
      </w:pPr>
      <w:r>
        <w:t xml:space="preserve">NIST also recommends separation between those building/using models and those verifying/validating them as a best practice, which in agent programs translates into distinct “agent product owners/builders” vs “risk/QA evaluators” with independent evaluation harnesses.</w:t>
      </w:r>
      <w:r>
        <w:t xml:space="preserve"> </w:t>
      </w:r>
      <w:hyperlink r:id="rId23">
        <w:r>
          <w:rPr>
            <w:rStyle w:val="Hyperlink"/>
          </w:rPr>
          <w:t xml:space="preserve">[49]</w:t>
        </w:r>
      </w:hyperlink>
    </w:p>
    <w:p>
      <w:pPr>
        <w:pStyle w:val="BodyText"/>
      </w:pPr>
      <w:r>
        <w:t xml:space="preserve">ISO/IEC 42001 adds a management-system framing: it specifies requirements for establishing and continually improving an AI Management System (AIMS), using a structured approach to manage risks and opportunities and balance innovation with governance.</w:t>
      </w:r>
      <w:r>
        <w:t xml:space="preserve"> </w:t>
      </w:r>
      <w:hyperlink r:id="rId41">
        <w:r>
          <w:rPr>
            <w:rStyle w:val="Hyperlink"/>
          </w:rPr>
          <w:t xml:space="preserve">[50]</w:t>
        </w:r>
      </w:hyperlink>
      <w:r>
        <w:t xml:space="preserve"> </w:t>
      </w:r>
      <w:r>
        <w:t xml:space="preserve">This is valuable for enterprises seeking standardization across many agents, because it pushes consistency in policy, documentation, and improvement cycles rather than treating each deployment as an ad hoc project.</w:t>
      </w:r>
      <w:r>
        <w:t xml:space="preserve"> </w:t>
      </w:r>
      <w:hyperlink r:id="rId41">
        <w:r>
          <w:rPr>
            <w:rStyle w:val="Hyperlink"/>
          </w:rPr>
          <w:t xml:space="preserve">[51]</w:t>
        </w:r>
      </w:hyperlink>
    </w:p>
    <w:p>
      <w:pPr>
        <w:pStyle w:val="BodyText"/>
      </w:pPr>
      <w:r>
        <w:t xml:space="preserve">Regulation adds concrete constraints when agents touch certain domains. The European Commission</w:t>
      </w:r>
      <w:hyperlink r:id="rId27">
        <w:r>
          <w:rPr>
            <w:rStyle w:val="Hyperlink"/>
          </w:rPr>
          <w:t xml:space="preserve">[52]</w:t>
        </w:r>
      </w:hyperlink>
      <w:r>
        <w:t xml:space="preserve"> </w:t>
      </w:r>
      <w:r>
        <w:t xml:space="preserve">describes the EU AI Act as risk-based, with transparency obligations (e.g., informing users when interacting with chatbots) and “high-risk” requirements that include risk mitigation, high-quality datasets, clear user information, and human oversight.</w:t>
      </w:r>
      <w:r>
        <w:t xml:space="preserve"> </w:t>
      </w:r>
      <w:hyperlink r:id="rId51">
        <w:r>
          <w:rPr>
            <w:rStyle w:val="Hyperlink"/>
          </w:rPr>
          <w:t xml:space="preserve">[53]</w:t>
        </w:r>
      </w:hyperlink>
      <w:r>
        <w:t xml:space="preserve"> </w:t>
      </w:r>
      <w:r>
        <w:t xml:space="preserve">It also publishes a clear application timeline (entered into force August 1, 2024; most provisions fully applicable August 2, 2026; with staged milestones for prohibited practices, GPAI rules, and embedded high-risk systems).</w:t>
      </w:r>
      <w:r>
        <w:t xml:space="preserve"> </w:t>
      </w:r>
      <w:hyperlink r:id="rId52">
        <w:r>
          <w:rPr>
            <w:rStyle w:val="Hyperlink"/>
          </w:rPr>
          <w:t xml:space="preserve">[54]</w:t>
        </w:r>
      </w:hyperlink>
    </w:p>
    <w:p>
      <w:pPr>
        <w:pStyle w:val="BodyText"/>
      </w:pPr>
      <w:r>
        <w:t xml:space="preserve">Three governance artifacts consistently supported by these sources—and worth making explicit “deliverables” in an enterprise blueprint—are:</w:t>
      </w:r>
    </w:p>
    <w:p>
      <w:pPr>
        <w:pStyle w:val="BodyText"/>
      </w:pPr>
      <w:r>
        <w:t xml:space="preserve">A centralized inventory of agents and their scopes, because governance is not possible without knowing “what exists.” ISACA explicitly recommends documented account registration and audit trails for AI systems, emphasizing the need to know what identities exist and why actions occurred.</w:t>
      </w:r>
      <w:r>
        <w:t xml:space="preserve"> </w:t>
      </w:r>
      <w:hyperlink r:id="rId24">
        <w:r>
          <w:rPr>
            <w:rStyle w:val="Hyperlink"/>
          </w:rPr>
          <w:t xml:space="preserve">[21]</w:t>
        </w:r>
      </w:hyperlink>
    </w:p>
    <w:p>
      <w:pPr>
        <w:pStyle w:val="BodyText"/>
      </w:pPr>
      <w:r>
        <w:t xml:space="preserve">A formally defined risk appetite for autonomy (what can auto-act vs what must stop for human confirmation), which directly implements NIST’s risk-tolerance and decision gating concepts in GOVERN.</w:t>
      </w:r>
      <w:r>
        <w:t xml:space="preserve"> </w:t>
      </w:r>
      <w:hyperlink r:id="rId23">
        <w:r>
          <w:rPr>
            <w:rStyle w:val="Hyperlink"/>
          </w:rPr>
          <w:t xml:space="preserve">[49]</w:t>
        </w:r>
      </w:hyperlink>
    </w:p>
    <w:p>
      <w:pPr>
        <w:pStyle w:val="BodyText"/>
      </w:pPr>
      <w:r>
        <w:t xml:space="preserve">A lifecycle process (approval → pilot → monitored rollout → review → retirement), because both NIST and ISO emphasize continuous improvement and documented processes rather than one-time deployment decisions.</w:t>
      </w:r>
      <w:r>
        <w:t xml:space="preserve"> </w:t>
      </w:r>
      <w:hyperlink r:id="rId23">
        <w:r>
          <w:rPr>
            <w:rStyle w:val="Hyperlink"/>
          </w:rPr>
          <w:t xml:space="preserve">[55]</w:t>
        </w:r>
      </w:hyperlink>
    </w:p>
    <w:p>
      <w:pPr>
        <w:pStyle w:val="BodyText"/>
      </w:pPr>
      <w:r>
        <w:t xml:space="preserve">Deployment-stage safety controls described in the provided blueprint—especially “shadow mode” (parallel run without taking real actions)—are well established in ML operational practice and are supported by major cloud MLOps tooling, such as shadow testing capability that routes live inference requests to a shadow variant for evaluation before cutover.</w:t>
      </w:r>
      <w:r>
        <w:t xml:space="preserve"> </w:t>
      </w:r>
      <w:hyperlink r:id="rId53">
        <w:r>
          <w:rPr>
            <w:rStyle w:val="Hyperlink"/>
          </w:rPr>
          <w:t xml:space="preserve">[56]</w:t>
        </w:r>
      </w:hyperlink>
    </w:p>
    <w:bookmarkEnd w:id="54"/>
    <w:bookmarkStart w:id="55" w:name="Xb50bac1b81a7f65725dcc421050acb44a27ebcf"/>
    <w:p>
      <w:pPr>
        <w:pStyle w:val="Heading2"/>
      </w:pPr>
      <w:r>
        <w:t xml:space="preserve">Security risks through OWASP</w:t>
      </w:r>
      <w:hyperlink r:id="rId24">
        <w:r>
          <w:rPr>
            <w:rStyle w:val="Hyperlink"/>
          </w:rPr>
          <w:t xml:space="preserve">[57]</w:t>
        </w:r>
      </w:hyperlink>
      <w:r>
        <w:t xml:space="preserve">, ISACA</w:t>
      </w:r>
      <w:hyperlink r:id="rId26">
        <w:r>
          <w:rPr>
            <w:rStyle w:val="Hyperlink"/>
          </w:rPr>
          <w:t xml:space="preserve">[58]</w:t>
        </w:r>
      </w:hyperlink>
      <w:r>
        <w:t xml:space="preserve">, and Coalition for Secure AI</w:t>
      </w:r>
      <w:hyperlink r:id="rId36">
        <w:r>
          <w:rPr>
            <w:rStyle w:val="Hyperlink"/>
          </w:rPr>
          <w:t xml:space="preserve">[24]</w:t>
        </w:r>
      </w:hyperlink>
    </w:p>
    <w:p>
      <w:pPr>
        <w:pStyle w:val="FirstParagraph"/>
      </w:pPr>
      <w:r>
        <w:t xml:space="preserve">Enterprise agents introduce a security surface that is meaningfully different from classic SaaS automation, because the system can (a) interpret untrusted content, (b) decide on a plan, and (c) invoke tools with real permissions. OWASP’s “Agentic AI – Threats and Mitigations” is explicit that memory and tool integration are key attack vectors, and that scaling autonomy changes the threat model.</w:t>
      </w:r>
      <w:r>
        <w:t xml:space="preserve"> </w:t>
      </w:r>
      <w:hyperlink r:id="rId35">
        <w:r>
          <w:rPr>
            <w:rStyle w:val="Hyperlink"/>
          </w:rPr>
          <w:t xml:space="preserve">[59]</w:t>
        </w:r>
      </w:hyperlink>
    </w:p>
    <w:p>
      <w:pPr>
        <w:pStyle w:val="BodyText"/>
      </w:pPr>
      <w:r>
        <w:t xml:space="preserve">Two OWASP publications are especially relevant for a modern enterprise blueprint:</w:t>
      </w:r>
    </w:p>
    <w:p>
      <w:pPr>
        <w:pStyle w:val="BodyText"/>
      </w:pPr>
      <w:r>
        <w:t xml:space="preserve">The “Agentic AI – Threats and Mitigations” taxonomy (February 2025, v1.0) includes a named threat “T10 Overwhelming Human in the Loop,” describing how attackers can exploit human oversight dependency by generating excessive interventions and inducing decision fatigue/cognitive overload. This supports the blueprint’s warning about HITL overload as an attack vector and is directly citable.</w:t>
      </w:r>
      <w:r>
        <w:t xml:space="preserve"> </w:t>
      </w:r>
      <w:hyperlink r:id="rId35">
        <w:r>
          <w:rPr>
            <w:rStyle w:val="Hyperlink"/>
          </w:rPr>
          <w:t xml:space="preserve">[60]</w:t>
        </w:r>
      </w:hyperlink>
    </w:p>
    <w:p>
      <w:pPr>
        <w:pStyle w:val="BodyText"/>
      </w:pPr>
      <w:r>
        <w:t xml:space="preserve">The “OWASP Top 10 for Agentic Applications 2026” (December 2025) identifies high-impact risks such as agent goal hijack, tool misuse/exploitation, identity and privilege abuse, memory/context poisoning, insecure inter-agent communication, cascading failures, and “human-agent trust exploitation.” It also explicitly introduces least-agency and calls strong observability “non-negotiable.”</w:t>
      </w:r>
      <w:r>
        <w:t xml:space="preserve"> </w:t>
      </w:r>
      <w:hyperlink r:id="rId26">
        <w:r>
          <w:rPr>
            <w:rStyle w:val="Hyperlink"/>
          </w:rPr>
          <w:t xml:space="preserve">[61]</w:t>
        </w:r>
      </w:hyperlink>
    </w:p>
    <w:p>
      <w:pPr>
        <w:pStyle w:val="BodyText"/>
      </w:pPr>
      <w:r>
        <w:t xml:space="preserve">From a “controls you can implement” standpoint, OWASP’s agentic Top 10 provides unusually operational guidance that maps cleanly to enterprise requirements, including:</w:t>
      </w:r>
    </w:p>
    <w:p>
      <w:pPr>
        <w:pStyle w:val="BodyText"/>
      </w:pPr>
      <w:r>
        <w:t xml:space="preserve">Per-tool least privilege and action-level authentication/approval for high-impact operations (especially when tools can alter data, send messages, or execute code).</w:t>
      </w:r>
      <w:r>
        <w:t xml:space="preserve"> </w:t>
      </w:r>
      <w:hyperlink r:id="rId26">
        <w:r>
          <w:rPr>
            <w:rStyle w:val="Hyperlink"/>
          </w:rPr>
          <w:t xml:space="preserve">[62]</w:t>
        </w:r>
      </w:hyperlink>
    </w:p>
    <w:p>
      <w:pPr>
        <w:pStyle w:val="BodyText"/>
      </w:pPr>
      <w:r>
        <w:t xml:space="preserve">Designing for containment and response, including “kill switches” and rapid credential revocation for rogue agents, and even “supply chain kill switch” language for disabling compromised tools/prompts/connections across deployments.</w:t>
      </w:r>
      <w:r>
        <w:t xml:space="preserve"> </w:t>
      </w:r>
      <w:hyperlink r:id="rId26">
        <w:r>
          <w:rPr>
            <w:rStyle w:val="Hyperlink"/>
          </w:rPr>
          <w:t xml:space="preserve">[63]</w:t>
        </w:r>
      </w:hyperlink>
    </w:p>
    <w:p>
      <w:pPr>
        <w:pStyle w:val="BodyText"/>
      </w:pPr>
      <w:r>
        <w:t xml:space="preserve">A shift from “humans will catch it” to “systems must defend it,” including watchdog-style monitoring and detection patterns to identify abnormal actions and coordinated failures.</w:t>
      </w:r>
      <w:r>
        <w:t xml:space="preserve"> </w:t>
      </w:r>
      <w:hyperlink r:id="rId26">
        <w:r>
          <w:rPr>
            <w:rStyle w:val="Hyperlink"/>
          </w:rPr>
          <w:t xml:space="preserve">[63]</w:t>
        </w:r>
      </w:hyperlink>
    </w:p>
    <w:p>
      <w:pPr>
        <w:pStyle w:val="BodyText"/>
      </w:pPr>
      <w:r>
        <w:t xml:space="preserve">CoSAI complements OWASP by framing secure-by-design agentic systems as defense-in-depth: enable human oversight/shared accountability, contain the problem space, and ensure integrity of operations. This aligns with the blueprint’s emphasis on governance-before-scale and on explicit authority boundaries.</w:t>
      </w:r>
      <w:r>
        <w:t xml:space="preserve"> </w:t>
      </w:r>
      <w:hyperlink r:id="rId37">
        <w:r>
          <w:rPr>
            <w:rStyle w:val="Hyperlink"/>
          </w:rPr>
          <w:t xml:space="preserve">[25]</w:t>
        </w:r>
      </w:hyperlink>
    </w:p>
    <w:p>
      <w:pPr>
        <w:pStyle w:val="BodyText"/>
      </w:pPr>
      <w:r>
        <w:t xml:space="preserve">ISACA adds an audit and identity-governance lens: it argues organizations must be able to answer not only “who did what” but “why an action occurred,” and recommends that agentic systems follow documented account registration processes and that every action taken by an AI system be logged into an audit trail that records the initiator and reason. It also explicitly recommends treating agent logic as code under version control and auditable like business logic.</w:t>
      </w:r>
      <w:r>
        <w:t xml:space="preserve"> </w:t>
      </w:r>
      <w:hyperlink r:id="rId24">
        <w:r>
          <w:rPr>
            <w:rStyle w:val="Hyperlink"/>
          </w:rPr>
          <w:t xml:space="preserve">[21]</w:t>
        </w:r>
      </w:hyperlink>
    </w:p>
    <w:p>
      <w:pPr>
        <w:pStyle w:val="BodyText"/>
      </w:pPr>
      <w:r>
        <w:t xml:space="preserve">A practical improvement to the provided blueprint is to tie each high-level “risk category” directly to these named OWASP/ISACA constructs. For example:</w:t>
      </w:r>
    </w:p>
    <w:p>
      <w:pPr>
        <w:pStyle w:val="BodyText"/>
      </w:pPr>
      <w:r>
        <w:t xml:space="preserve">Prompt injection and goal hijack should be tied to OWASP “Agent Goal Hijack” and the broader T10/T6-style taxonomy language, because that provides recognized naming and mitigation anchors.</w:t>
      </w:r>
      <w:r>
        <w:t xml:space="preserve"> </w:t>
      </w:r>
      <w:hyperlink r:id="rId26">
        <w:r>
          <w:rPr>
            <w:rStyle w:val="Hyperlink"/>
          </w:rPr>
          <w:t xml:space="preserve">[18]</w:t>
        </w:r>
      </w:hyperlink>
    </w:p>
    <w:p>
      <w:pPr>
        <w:pStyle w:val="BodyText"/>
      </w:pPr>
      <w:r>
        <w:t xml:space="preserve">Non-human identity exploitation and agent impersonation should be framed using OWASP identity/privilege abuse and ISACA’s non-human identity governance discussion, because that connects agent security to existing IAM and audit programs rather than treating it as an AI-only issue.</w:t>
      </w:r>
      <w:r>
        <w:t xml:space="preserve"> </w:t>
      </w:r>
      <w:hyperlink r:id="rId26">
        <w:r>
          <w:rPr>
            <w:rStyle w:val="Hyperlink"/>
          </w:rPr>
          <w:t xml:space="preserve">[64]</w:t>
        </w:r>
      </w:hyperlink>
    </w:p>
    <w:p>
      <w:pPr>
        <w:pStyle w:val="BodyText"/>
      </w:pPr>
      <w:r>
        <w:t xml:space="preserve">HITL overload should be explicitly linked to OWASP’s T10 threat framing and mitigations (frequency thresholds, prioritization, and workflow design to reduce decision fatigue), which makes the risk concrete and actionable.</w:t>
      </w:r>
      <w:r>
        <w:t xml:space="preserve"> </w:t>
      </w:r>
      <w:hyperlink r:id="rId35">
        <w:r>
          <w:rPr>
            <w:rStyle w:val="Hyperlink"/>
          </w:rPr>
          <w:t xml:space="preserve">[22]</w:t>
        </w:r>
      </w:hyperlink>
    </w:p>
    <w:bookmarkEnd w:id="55"/>
    <w:bookmarkStart w:id="62" w:name="X8ff48b2478ea0713d53bb2a1a65e9694470c8ba"/>
    <w:p>
      <w:pPr>
        <w:pStyle w:val="Heading2"/>
      </w:pPr>
      <w:r>
        <w:t xml:space="preserve">Monitoring, observability, and platform choices for scaled operation</w:t>
      </w:r>
    </w:p>
    <w:p>
      <w:pPr>
        <w:pStyle w:val="FirstParagraph"/>
      </w:pPr>
      <w:r>
        <w:t xml:space="preserve">A central claim in the provided blueprint is that “humans cannot supervise agents at machine speed,” so monitoring must be engineered. This view is consistent with both OWASP and ISACA, which emphasize logging, traceability, intent, and continuous monitoring as core requirements for safe operation.</w:t>
      </w:r>
      <w:r>
        <w:t xml:space="preserve"> </w:t>
      </w:r>
      <w:hyperlink r:id="rId26">
        <w:r>
          <w:rPr>
            <w:rStyle w:val="Hyperlink"/>
          </w:rPr>
          <w:t xml:space="preserve">[65]</w:t>
        </w:r>
      </w:hyperlink>
    </w:p>
    <w:p>
      <w:pPr>
        <w:pStyle w:val="BodyText"/>
      </w:pPr>
      <w:r>
        <w:t xml:space="preserve">From an instrumentation standpoint, OpenTelemetry</w:t>
      </w:r>
      <w:hyperlink r:id="rId23">
        <w:r>
          <w:rPr>
            <w:rStyle w:val="Hyperlink"/>
          </w:rPr>
          <w:t xml:space="preserve">[66]</w:t>
        </w:r>
      </w:hyperlink>
      <w:r>
        <w:t xml:space="preserve"> </w:t>
      </w:r>
      <w:r>
        <w:t xml:space="preserve">provides a vendor-neutral framework for generating and exporting telemetry signals (traces, metrics, logs). This is relevant because multi-agent workflows behave like distributed systems: you need end-to-end traces and correlated signals to debug failure chains, detect drift, and investigate security anomalies.</w:t>
      </w:r>
      <w:r>
        <w:t xml:space="preserve"> </w:t>
      </w:r>
      <w:hyperlink r:id="rId56">
        <w:r>
          <w:rPr>
            <w:rStyle w:val="Hyperlink"/>
          </w:rPr>
          <w:t xml:space="preserve">[67]</w:t>
        </w:r>
      </w:hyperlink>
      <w:r>
        <w:t xml:space="preserve"> </w:t>
      </w:r>
      <w:r>
        <w:t xml:space="preserve">For distributed tracing interoperability, OpenTelemetry’s default propagation builds on the World Wide Web Consortium</w:t>
      </w:r>
      <w:hyperlink r:id="rId46">
        <w:r>
          <w:rPr>
            <w:rStyle w:val="Hyperlink"/>
          </w:rPr>
          <w:t xml:space="preserve">[68]</w:t>
        </w:r>
      </w:hyperlink>
      <w:r>
        <w:t xml:space="preserve"> </w:t>
      </w:r>
      <w:r>
        <w:t xml:space="preserve">Trace Context standard (traceparent/tracestate headers), which is broadly used for consistent trace correlation across services.</w:t>
      </w:r>
      <w:r>
        <w:t xml:space="preserve"> </w:t>
      </w:r>
      <w:hyperlink r:id="rId36">
        <w:r>
          <w:rPr>
            <w:rStyle w:val="Hyperlink"/>
          </w:rPr>
          <w:t xml:space="preserve">[69]</w:t>
        </w:r>
      </w:hyperlink>
    </w:p>
    <w:p>
      <w:pPr>
        <w:pStyle w:val="BodyText"/>
      </w:pPr>
      <w:r>
        <w:t xml:space="preserve">A notable strengthening to the blueprint’s observability section is to use OWASP’s language for “audit-grade” operation:</w:t>
      </w:r>
    </w:p>
    <w:p>
      <w:pPr>
        <w:pStyle w:val="BodyText"/>
      </w:pPr>
      <w:r>
        <w:t xml:space="preserve">Immutable/tamper-resistant logs (or functionally equivalent integrity-protected logging) are repeatedly emphasized for audit and forensics, particularly in the context of trust exploitation and rogue agents.</w:t>
      </w:r>
      <w:r>
        <w:t xml:space="preserve"> </w:t>
      </w:r>
      <w:hyperlink r:id="rId26">
        <w:r>
          <w:rPr>
            <w:rStyle w:val="Hyperlink"/>
          </w:rPr>
          <w:t xml:space="preserve">[70]</w:t>
        </w:r>
      </w:hyperlink>
    </w:p>
    <w:p>
      <w:pPr>
        <w:pStyle w:val="BodyText"/>
      </w:pPr>
      <w:r>
        <w:t xml:space="preserve">Operational “kill switch” capability should be treated as a requirement, not a nice-to-have, because OWASP explicitly calls for emergency revocation mechanisms that can disable compromised tools/prompts/agent connections and rapidly contain rogue behavior.</w:t>
      </w:r>
      <w:r>
        <w:t xml:space="preserve"> </w:t>
      </w:r>
      <w:hyperlink r:id="rId26">
        <w:r>
          <w:rPr>
            <w:rStyle w:val="Hyperlink"/>
          </w:rPr>
          <w:t xml:space="preserve">[63]</w:t>
        </w:r>
      </w:hyperlink>
    </w:p>
    <w:p>
      <w:pPr>
        <w:pStyle w:val="BodyText"/>
      </w:pPr>
      <w:r>
        <w:t xml:space="preserve">For platform and framework selection, the “right” answer depends on how tightly you need governance and how complex your workflows are, but current market evidence supports three general observations:</w:t>
      </w:r>
    </w:p>
    <w:p>
      <w:pPr>
        <w:pStyle w:val="BodyText"/>
      </w:pPr>
      <w:r>
        <w:t xml:space="preserve">Open-source orchestration frameworks are converging on stateful, multi-step workflow control as a way to increase reliability and to insert human checkpoints. For instance, LangGraph is positioned as a stateful workflow/agent orchestration approach with explicit workflow vs agent distinctions.</w:t>
      </w:r>
      <w:r>
        <w:t xml:space="preserve"> </w:t>
      </w:r>
      <w:hyperlink r:id="rId57">
        <w:r>
          <w:rPr>
            <w:rStyle w:val="Hyperlink"/>
          </w:rPr>
          <w:t xml:space="preserve">[71]</w:t>
        </w:r>
      </w:hyperlink>
    </w:p>
    <w:p>
      <w:pPr>
        <w:pStyle w:val="BodyText"/>
      </w:pPr>
      <w:r>
        <w:t xml:space="preserve">Microsoft’s ecosystem shows active consolidation: the AutoGen repository describes AutoGen as a multi-agent application framework, and explicitly points new users to the newer Microsoft Agent Framework, which is framed as building/orchestrating/deploying AI agents and multi-agent workflows (Python and .NET).</w:t>
      </w:r>
      <w:r>
        <w:t xml:space="preserve"> </w:t>
      </w:r>
      <w:hyperlink r:id="rId58">
        <w:r>
          <w:rPr>
            <w:rStyle w:val="Hyperlink"/>
          </w:rPr>
          <w:t xml:space="preserve">[72]</w:t>
        </w:r>
      </w:hyperlink>
    </w:p>
    <w:p>
      <w:pPr>
        <w:pStyle w:val="BodyText"/>
      </w:pPr>
      <w:r>
        <w:t xml:space="preserve">CrewAI positions itself as a lean Python framework for orchestrating role-playing/multi-agent automation and provides extensive examples, making it a plausible prototyping and early-solution option when governance requirements are handled externally (e.g., via an enterprise platform layer).</w:t>
      </w:r>
      <w:r>
        <w:t xml:space="preserve"> </w:t>
      </w:r>
      <w:hyperlink r:id="rId59">
        <w:r>
          <w:rPr>
            <w:rStyle w:val="Hyperlink"/>
          </w:rPr>
          <w:t xml:space="preserve">[73]</w:t>
        </w:r>
      </w:hyperlink>
    </w:p>
    <w:p>
      <w:pPr>
        <w:pStyle w:val="BodyText"/>
      </w:pPr>
      <w:r>
        <w:t xml:space="preserve">For enterprises prioritizing built-in governance and lifecycle control over maximum flexibility, major platforms are explicitly marketing agent orchestration + governance as a product capability. IBM</w:t>
      </w:r>
      <w:hyperlink r:id="rId35">
        <w:r>
          <w:rPr>
            <w:rStyle w:val="Hyperlink"/>
          </w:rPr>
          <w:t xml:space="preserve">[74]</w:t>
        </w:r>
      </w:hyperlink>
      <w:r>
        <w:t xml:space="preserve"> </w:t>
      </w:r>
      <w:r>
        <w:t xml:space="preserve">positions watsonx Orchestrate as bringing agents together and emphasizes governance/observability capabilities as part of the lifecycle.</w:t>
      </w:r>
      <w:r>
        <w:t xml:space="preserve"> </w:t>
      </w:r>
      <w:hyperlink r:id="rId60">
        <w:r>
          <w:rPr>
            <w:rStyle w:val="Hyperlink"/>
          </w:rPr>
          <w:t xml:space="preserve">[75]</w:t>
        </w:r>
      </w:hyperlink>
      <w:r>
        <w:t xml:space="preserve"> </w:t>
      </w:r>
      <w:r>
        <w:t xml:space="preserve">UiPath</w:t>
      </w:r>
      <w:hyperlink r:id="rId24">
        <w:r>
          <w:rPr>
            <w:rStyle w:val="Hyperlink"/>
          </w:rPr>
          <w:t xml:space="preserve">[76]</w:t>
        </w:r>
      </w:hyperlink>
      <w:r>
        <w:t xml:space="preserve"> </w:t>
      </w:r>
      <w:r>
        <w:t xml:space="preserve">positions Agent Builder as enterprise agent creation within an automation platform context, which can matter when agents must reliably interface with legacy UIs and existing RPA estates.</w:t>
      </w:r>
      <w:r>
        <w:t xml:space="preserve"> </w:t>
      </w:r>
      <w:hyperlink r:id="rId61">
        <w:r>
          <w:rPr>
            <w:rStyle w:val="Hyperlink"/>
          </w:rPr>
          <w:t xml:space="preserve">[77]</w:t>
        </w:r>
      </w:hyperlink>
    </w:p>
    <w:p>
      <w:pPr>
        <w:pStyle w:val="BodyText"/>
      </w:pPr>
      <w:r>
        <w:t xml:space="preserve">Finally, the “scaling roadmap” for agentic AI should be written like an operational program, not a lab initiative. A concise synthesis of what the strongest sources imply looks like this:</w:t>
      </w:r>
    </w:p>
    <w:p>
      <w:pPr>
        <w:pStyle w:val="BodyText"/>
      </w:pPr>
      <w:r>
        <w:t xml:space="preserve">Start by governing. NIST’s RMF explicitly makes governance cross-cutting and continuous, and Gartner’s cancellation forecast suggests skipping governance materially increases failure probability.</w:t>
      </w:r>
      <w:r>
        <w:t xml:space="preserve"> </w:t>
      </w:r>
      <w:hyperlink r:id="rId23">
        <w:r>
          <w:rPr>
            <w:rStyle w:val="Hyperlink"/>
          </w:rPr>
          <w:t xml:space="preserve">[13]</w:t>
        </w:r>
      </w:hyperlink>
    </w:p>
    <w:p>
      <w:pPr>
        <w:pStyle w:val="BodyText"/>
      </w:pPr>
      <w:r>
        <w:t xml:space="preserve">Prove value in bounded domains with staged autonomy. The most credible public case examples (Ramp policy enforcement, legal contract analysis agents, SOC alert triage) all show explicit boundaries, controlled modes, or human oversight patterns, consistent with OWASP’s least-agency framing.</w:t>
      </w:r>
      <w:r>
        <w:t xml:space="preserve"> </w:t>
      </w:r>
      <w:hyperlink r:id="rId40">
        <w:r>
          <w:rPr>
            <w:rStyle w:val="Hyperlink"/>
          </w:rPr>
          <w:t xml:space="preserve">[78]</w:t>
        </w:r>
      </w:hyperlink>
    </w:p>
    <w:p>
      <w:pPr>
        <w:pStyle w:val="BodyText"/>
      </w:pPr>
      <w:r>
        <w:t xml:space="preserve">Operationalize monitoring as you scale. ISACA’s audit requirements (log every action with initiator and reason) and OpenTelemetry-style distributed tracing provide the backbone for scaling oversight from a human process to an engineered system.</w:t>
      </w:r>
      <w:r>
        <w:t xml:space="preserve"> </w:t>
      </w:r>
      <w:hyperlink r:id="rId24">
        <w:r>
          <w:rPr>
            <w:rStyle w:val="Hyperlink"/>
          </w:rPr>
          <w:t xml:space="preserve">[79]</w:t>
        </w:r>
      </w:hyperlink>
    </w:p>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[12]</w:t>
        </w:r>
      </w:hyperlink>
      <w:r>
        <w:t xml:space="preserve"> </w:t>
      </w:r>
      <w:r>
        <w:t xml:space="preserve">https://www.gartner.com/en/newsroom/press-releases/2025-06-25-gartner-predicts-over-40-percent-of-agentic-ai-projects-will-be-canceled-by-end-of-2027</w:t>
      </w:r>
    </w:p>
    <w:p>
      <w:pPr>
        <w:pStyle w:val="BodyText"/>
      </w:pPr>
      <w:hyperlink r:id="rId21">
        <w:r>
          <w:rPr>
            <w:rStyle w:val="Hyperlink"/>
          </w:rPr>
          <w:t xml:space="preserve">https://www.gartner.com/en/newsroom/press-releases/2025-06-25-gartner-predicts-over-40-percent-of-agentic-ai-projects-will-be-canceled-by-end-of-2027</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[8]</w:t>
        </w:r>
      </w:hyperlink>
      <w:r>
        <w:t xml:space="preserve"> </w:t>
      </w:r>
      <w:hyperlink r:id="rId22">
        <w:r>
          <w:rPr>
            <w:rStyle w:val="Hyperlink"/>
          </w:rPr>
          <w:t xml:space="preserve">[16]</w:t>
        </w:r>
      </w:hyperlink>
      <w:r>
        <w:t xml:space="preserve"> </w:t>
      </w:r>
      <w:r>
        <w:t xml:space="preserve">https://www.gartner.com/en/newsroom/press-releases/2025-08-26-gartner-predicts-40-percent-of-enterprise-apps-will-feature-task-specific-ai-agents-by-2026-up-from-less-than-5-percent-in-2025</w:t>
      </w:r>
    </w:p>
    <w:p>
      <w:pPr>
        <w:pStyle w:val="BodyText"/>
      </w:pPr>
      <w:hyperlink r:id="rId22">
        <w:r>
          <w:rPr>
            <w:rStyle w:val="Hyperlink"/>
          </w:rPr>
          <w:t xml:space="preserve">https://www.gartner.com/en/newsroom/press-releases/2025-08-26-gartner-predicts-40-percent-of-enterprise-apps-will-feature-task-specific-ai-agents-by-2026-up-from-less-than-5-percent-in-2025</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[48]</w:t>
        </w:r>
      </w:hyperlink>
      <w:r>
        <w:t xml:space="preserve"> </w:t>
      </w:r>
      <w:hyperlink r:id="rId23">
        <w:r>
          <w:rPr>
            <w:rStyle w:val="Hyperlink"/>
          </w:rPr>
          <w:t xml:space="preserve">[49]</w:t>
        </w:r>
      </w:hyperlink>
      <w:r>
        <w:t xml:space="preserve"> </w:t>
      </w:r>
      <w:hyperlink r:id="rId23">
        <w:r>
          <w:rPr>
            <w:rStyle w:val="Hyperlink"/>
          </w:rPr>
          <w:t xml:space="preserve">[55]</w:t>
        </w:r>
      </w:hyperlink>
      <w:r>
        <w:t xml:space="preserve"> </w:t>
      </w:r>
      <w:hyperlink r:id="rId23">
        <w:r>
          <w:rPr>
            <w:rStyle w:val="Hyperlink"/>
          </w:rPr>
          <w:t xml:space="preserve">[66]</w:t>
        </w:r>
      </w:hyperlink>
      <w:r>
        <w:t xml:space="preserve"> </w:t>
      </w:r>
      <w:r>
        <w:t xml:space="preserve">https://nvlpubs.nist.gov/nistpubs/ai/nist.ai.100-1.pdf</w:t>
      </w:r>
    </w:p>
    <w:p>
      <w:pPr>
        <w:pStyle w:val="BodyText"/>
      </w:pPr>
      <w:hyperlink r:id="rId23">
        <w:r>
          <w:rPr>
            <w:rStyle w:val="Hyperlink"/>
          </w:rPr>
          <w:t xml:space="preserve">https://nvlpubs.nist.gov/nistpubs/ai/nist.ai.100-1.pdf</w:t>
        </w:r>
      </w:hyperlink>
    </w:p>
    <w:p>
      <w:pPr>
        <w:pStyle w:val="BodyText"/>
      </w:pPr>
      <w:hyperlink r:id="rId24">
        <w:r>
          <w:rPr>
            <w:rStyle w:val="Hyperlink"/>
          </w:rPr>
          <w:t xml:space="preserve">[5]</w:t>
        </w:r>
      </w:hyperlink>
      <w:r>
        <w:t xml:space="preserve"> </w:t>
      </w:r>
      <w:hyperlink r:id="rId24">
        <w:r>
          <w:rPr>
            <w:rStyle w:val="Hyperlink"/>
          </w:rPr>
          <w:t xml:space="preserve">[21]</w:t>
        </w:r>
      </w:hyperlink>
      <w:r>
        <w:t xml:space="preserve"> </w:t>
      </w:r>
      <w:hyperlink r:id="rId24">
        <w:r>
          <w:rPr>
            <w:rStyle w:val="Hyperlink"/>
          </w:rPr>
          <w:t xml:space="preserve">[26]</w:t>
        </w:r>
      </w:hyperlink>
      <w:r>
        <w:t xml:space="preserve"> </w:t>
      </w:r>
      <w:hyperlink r:id="rId24">
        <w:r>
          <w:rPr>
            <w:rStyle w:val="Hyperlink"/>
          </w:rPr>
          <w:t xml:space="preserve">[32]</w:t>
        </w:r>
      </w:hyperlink>
      <w:r>
        <w:t xml:space="preserve"> </w:t>
      </w:r>
      <w:hyperlink r:id="rId24">
        <w:r>
          <w:rPr>
            <w:rStyle w:val="Hyperlink"/>
          </w:rPr>
          <w:t xml:space="preserve">[57]</w:t>
        </w:r>
      </w:hyperlink>
      <w:r>
        <w:t xml:space="preserve"> </w:t>
      </w:r>
      <w:hyperlink r:id="rId24">
        <w:r>
          <w:rPr>
            <w:rStyle w:val="Hyperlink"/>
          </w:rPr>
          <w:t xml:space="preserve">[76]</w:t>
        </w:r>
      </w:hyperlink>
      <w:r>
        <w:t xml:space="preserve"> </w:t>
      </w:r>
      <w:hyperlink r:id="rId24">
        <w:r>
          <w:rPr>
            <w:rStyle w:val="Hyperlink"/>
          </w:rPr>
          <w:t xml:space="preserve">[79]</w:t>
        </w:r>
      </w:hyperlink>
      <w:r>
        <w:t xml:space="preserve"> </w:t>
      </w:r>
      <w:r>
        <w:t xml:space="preserve">https://www.isaca.org/resources/news-and-trends/industry-news/2025/the-growing-challenge-of-auditing-agentic-ai</w:t>
      </w:r>
    </w:p>
    <w:p>
      <w:pPr>
        <w:pStyle w:val="BodyText"/>
      </w:pPr>
      <w:hyperlink r:id="rId24">
        <w:r>
          <w:rPr>
            <w:rStyle w:val="Hyperlink"/>
          </w:rPr>
          <w:t xml:space="preserve">https://www.isaca.org/resources/news-and-trends/industry-news/2025/the-growing-challenge-of-auditing-agentic-ai</w:t>
        </w:r>
      </w:hyperlink>
    </w:p>
    <w:p>
      <w:pPr>
        <w:pStyle w:val="BodyText"/>
      </w:pPr>
      <w:hyperlink r:id="rId25">
        <w:r>
          <w:rPr>
            <w:rStyle w:val="Hyperlink"/>
          </w:rPr>
          <w:t xml:space="preserve">[7]</w:t>
        </w:r>
      </w:hyperlink>
      <w:r>
        <w:t xml:space="preserve"> </w:t>
      </w:r>
      <w:hyperlink r:id="rId25">
        <w:r>
          <w:rPr>
            <w:rStyle w:val="Hyperlink"/>
          </w:rPr>
          <w:t xml:space="preserve">[29]</w:t>
        </w:r>
      </w:hyperlink>
      <w:r>
        <w:t xml:space="preserve"> </w:t>
      </w:r>
      <w:r>
        <w:t xml:space="preserve">https://www.gartner.com/en/newsroom/press-releases/2025-03-05-gartner-predicts-agentic-ai-will-autonomously-resolve-80-percent-of-common-customer-service-issues-without-human-intervention-by-20290</w:t>
      </w:r>
    </w:p>
    <w:p>
      <w:pPr>
        <w:pStyle w:val="BodyText"/>
      </w:pPr>
      <w:hyperlink r:id="rId25">
        <w:r>
          <w:rPr>
            <w:rStyle w:val="Hyperlink"/>
          </w:rPr>
          <w:t xml:space="preserve">https://www.gartner.com/en/newsroom/press-releases/2025-03-05-gartner-predicts-agentic-ai-will-autonomously-resolve-80-percent-of-common-customer-service-issues-without-human-intervention-by-20290</w:t>
        </w:r>
      </w:hyperlink>
    </w:p>
    <w:p>
      <w:pPr>
        <w:pStyle w:val="BodyText"/>
      </w:pPr>
      <w:hyperlink r:id="rId26">
        <w:r>
          <w:rPr>
            <w:rStyle w:val="Hyperlink"/>
          </w:rPr>
          <w:t xml:space="preserve">[9]</w:t>
        </w:r>
      </w:hyperlink>
      <w:r>
        <w:t xml:space="preserve"> </w:t>
      </w:r>
      <w:hyperlink r:id="rId26">
        <w:r>
          <w:rPr>
            <w:rStyle w:val="Hyperlink"/>
          </w:rPr>
          <w:t xml:space="preserve">[18]</w:t>
        </w:r>
      </w:hyperlink>
      <w:r>
        <w:t xml:space="preserve"> </w:t>
      </w:r>
      <w:hyperlink r:id="rId26">
        <w:r>
          <w:rPr>
            <w:rStyle w:val="Hyperlink"/>
          </w:rPr>
          <w:t xml:space="preserve">[19]</w:t>
        </w:r>
      </w:hyperlink>
      <w:r>
        <w:t xml:space="preserve"> </w:t>
      </w:r>
      <w:hyperlink r:id="rId26">
        <w:r>
          <w:rPr>
            <w:rStyle w:val="Hyperlink"/>
          </w:rPr>
          <w:t xml:space="preserve">[23]</w:t>
        </w:r>
      </w:hyperlink>
      <w:r>
        <w:t xml:space="preserve"> </w:t>
      </w:r>
      <w:hyperlink r:id="rId26">
        <w:r>
          <w:rPr>
            <w:rStyle w:val="Hyperlink"/>
          </w:rPr>
          <w:t xml:space="preserve">[35]</w:t>
        </w:r>
      </w:hyperlink>
      <w:r>
        <w:t xml:space="preserve"> </w:t>
      </w:r>
      <w:hyperlink r:id="rId26">
        <w:r>
          <w:rPr>
            <w:rStyle w:val="Hyperlink"/>
          </w:rPr>
          <w:t xml:space="preserve">[45]</w:t>
        </w:r>
      </w:hyperlink>
      <w:r>
        <w:t xml:space="preserve"> </w:t>
      </w:r>
      <w:hyperlink r:id="rId26">
        <w:r>
          <w:rPr>
            <w:rStyle w:val="Hyperlink"/>
          </w:rPr>
          <w:t xml:space="preserve">[47]</w:t>
        </w:r>
      </w:hyperlink>
      <w:r>
        <w:t xml:space="preserve"> </w:t>
      </w:r>
      <w:hyperlink r:id="rId26">
        <w:r>
          <w:rPr>
            <w:rStyle w:val="Hyperlink"/>
          </w:rPr>
          <w:t xml:space="preserve">[58]</w:t>
        </w:r>
      </w:hyperlink>
      <w:r>
        <w:t xml:space="preserve"> </w:t>
      </w:r>
      <w:hyperlink r:id="rId26">
        <w:r>
          <w:rPr>
            <w:rStyle w:val="Hyperlink"/>
          </w:rPr>
          <w:t xml:space="preserve">[61]</w:t>
        </w:r>
      </w:hyperlink>
      <w:r>
        <w:t xml:space="preserve"> </w:t>
      </w:r>
      <w:hyperlink r:id="rId26">
        <w:r>
          <w:rPr>
            <w:rStyle w:val="Hyperlink"/>
          </w:rPr>
          <w:t xml:space="preserve">[62]</w:t>
        </w:r>
      </w:hyperlink>
      <w:r>
        <w:t xml:space="preserve"> </w:t>
      </w:r>
      <w:hyperlink r:id="rId26">
        <w:r>
          <w:rPr>
            <w:rStyle w:val="Hyperlink"/>
          </w:rPr>
          <w:t xml:space="preserve">[63]</w:t>
        </w:r>
      </w:hyperlink>
      <w:r>
        <w:t xml:space="preserve"> </w:t>
      </w:r>
      <w:hyperlink r:id="rId26">
        <w:r>
          <w:rPr>
            <w:rStyle w:val="Hyperlink"/>
          </w:rPr>
          <w:t xml:space="preserve">[64]</w:t>
        </w:r>
      </w:hyperlink>
      <w:r>
        <w:t xml:space="preserve"> </w:t>
      </w:r>
      <w:hyperlink r:id="rId26">
        <w:r>
          <w:rPr>
            <w:rStyle w:val="Hyperlink"/>
          </w:rPr>
          <w:t xml:space="preserve">[65]</w:t>
        </w:r>
      </w:hyperlink>
      <w:r>
        <w:t xml:space="preserve"> </w:t>
      </w:r>
      <w:hyperlink r:id="rId26">
        <w:r>
          <w:rPr>
            <w:rStyle w:val="Hyperlink"/>
          </w:rPr>
          <w:t xml:space="preserve">[70]</w:t>
        </w:r>
      </w:hyperlink>
      <w:r>
        <w:t xml:space="preserve"> </w:t>
      </w:r>
      <w:r>
        <w:t xml:space="preserve">https://genai.owasp.org/download/52117/?tmstv=1765059207</w:t>
      </w:r>
    </w:p>
    <w:p>
      <w:pPr>
        <w:pStyle w:val="BodyText"/>
      </w:pPr>
      <w:hyperlink r:id="rId26">
        <w:r>
          <w:rPr>
            <w:rStyle w:val="Hyperlink"/>
          </w:rPr>
          <w:t xml:space="preserve">https://genai.owasp.org/download/52117/?tmstv=1765059207</w:t>
        </w:r>
      </w:hyperlink>
    </w:p>
    <w:p>
      <w:pPr>
        <w:pStyle w:val="BodyText"/>
      </w:pPr>
      <w:hyperlink r:id="rId27">
        <w:r>
          <w:rPr>
            <w:rStyle w:val="Hyperlink"/>
          </w:rPr>
          <w:t xml:space="preserve">[10]</w:t>
        </w:r>
      </w:hyperlink>
      <w:r>
        <w:t xml:space="preserve"> </w:t>
      </w:r>
      <w:hyperlink r:id="rId27">
        <w:r>
          <w:rPr>
            <w:rStyle w:val="Hyperlink"/>
          </w:rPr>
          <w:t xml:space="preserve">[52]</w:t>
        </w:r>
      </w:hyperlink>
      <w:r>
        <w:t xml:space="preserve"> </w:t>
      </w:r>
      <w:r>
        <w:t xml:space="preserve">https://www.pagerduty.com/resources/ai/learn/companies-expecting-agentic-ai-roi-2025/</w:t>
      </w:r>
    </w:p>
    <w:p>
      <w:pPr>
        <w:pStyle w:val="BodyText"/>
      </w:pPr>
      <w:hyperlink r:id="rId27">
        <w:r>
          <w:rPr>
            <w:rStyle w:val="Hyperlink"/>
          </w:rPr>
          <w:t xml:space="preserve">https://www.pagerduty.com/resources/ai/learn/companies-expecting-agentic-ai-roi-2025/</w:t>
        </w:r>
      </w:hyperlink>
    </w:p>
    <w:p>
      <w:pPr>
        <w:pStyle w:val="BodyText"/>
      </w:pPr>
      <w:hyperlink r:id="rId28">
        <w:r>
          <w:rPr>
            <w:rStyle w:val="Hyperlink"/>
          </w:rPr>
          <w:t xml:space="preserve">[11]</w:t>
        </w:r>
      </w:hyperlink>
      <w:r>
        <w:t xml:space="preserve"> </w:t>
      </w:r>
      <w:r>
        <w:t xml:space="preserve">https://www.salesforce.com/eu/blog/how-agentic-ai-redefines-the-human-edge-in-marketing/</w:t>
      </w:r>
    </w:p>
    <w:p>
      <w:pPr>
        <w:pStyle w:val="BodyText"/>
      </w:pPr>
      <w:hyperlink r:id="rId28">
        <w:r>
          <w:rPr>
            <w:rStyle w:val="Hyperlink"/>
          </w:rPr>
          <w:t xml:space="preserve">https://www.salesforce.com/eu/blog/how-agentic-ai-redefines-the-human-edge-in-marketing/</w:t>
        </w:r>
      </w:hyperlink>
    </w:p>
    <w:p>
      <w:pPr>
        <w:pStyle w:val="BodyText"/>
      </w:pPr>
      <w:hyperlink r:id="rId31">
        <w:r>
          <w:rPr>
            <w:rStyle w:val="Hyperlink"/>
          </w:rPr>
          <w:t xml:space="preserve">[14]</w:t>
        </w:r>
      </w:hyperlink>
      <w:r>
        <w:t xml:space="preserve"> </w:t>
      </w:r>
      <w:r>
        <w:t xml:space="preserve">https://www.bcg.com/publications/2025/machines-that-manage-themselves</w:t>
      </w:r>
    </w:p>
    <w:p>
      <w:pPr>
        <w:pStyle w:val="BodyText"/>
      </w:pPr>
      <w:hyperlink r:id="rId31">
        <w:r>
          <w:rPr>
            <w:rStyle w:val="Hyperlink"/>
          </w:rPr>
          <w:t xml:space="preserve">https://www.bcg.com/publications/2025/machines-that-manage-themselves</w:t>
        </w:r>
      </w:hyperlink>
    </w:p>
    <w:p>
      <w:pPr>
        <w:pStyle w:val="BodyText"/>
      </w:pPr>
      <w:hyperlink r:id="rId32">
        <w:r>
          <w:rPr>
            <w:rStyle w:val="Hyperlink"/>
          </w:rPr>
          <w:t xml:space="preserve">[15]</w:t>
        </w:r>
      </w:hyperlink>
      <w:r>
        <w:t xml:space="preserve"> </w:t>
      </w:r>
      <w:hyperlink r:id="rId32">
        <w:r>
          <w:rPr>
            <w:rStyle w:val="Hyperlink"/>
          </w:rPr>
          <w:t xml:space="preserve">[39]</w:t>
        </w:r>
      </w:hyperlink>
      <w:r>
        <w:t xml:space="preserve"> </w:t>
      </w:r>
      <w:r>
        <w:t xml:space="preserve">https://www.bain.com/insights/building-the-foundation-for-agentic-ai-technology-report-2025/</w:t>
      </w:r>
    </w:p>
    <w:p>
      <w:pPr>
        <w:pStyle w:val="BodyText"/>
      </w:pPr>
      <w:hyperlink r:id="rId32">
        <w:r>
          <w:rPr>
            <w:rStyle w:val="Hyperlink"/>
          </w:rPr>
          <w:t xml:space="preserve">https://www.bain.com/insights/building-the-foundation-for-agentic-ai-technology-report-2025/</w:t>
        </w:r>
      </w:hyperlink>
    </w:p>
    <w:p>
      <w:pPr>
        <w:pStyle w:val="BodyText"/>
      </w:pPr>
      <w:hyperlink r:id="rId33">
        <w:r>
          <w:rPr>
            <w:rStyle w:val="Hyperlink"/>
          </w:rPr>
          <w:t xml:space="preserve">[17]</w:t>
        </w:r>
      </w:hyperlink>
      <w:r>
        <w:t xml:space="preserve"> </w:t>
      </w:r>
      <w:r>
        <w:t xml:space="preserve">https://www.marketsandmarkets.com/Market-Reports/agentic-ai-market-208190735.html</w:t>
      </w:r>
    </w:p>
    <w:p>
      <w:pPr>
        <w:pStyle w:val="BodyText"/>
      </w:pPr>
      <w:hyperlink r:id="rId33">
        <w:r>
          <w:rPr>
            <w:rStyle w:val="Hyperlink"/>
          </w:rPr>
          <w:t xml:space="preserve">https://www.marketsandmarkets.com/Market-Reports/agentic-ai-market-208190735.html</w:t>
        </w:r>
      </w:hyperlink>
    </w:p>
    <w:p>
      <w:pPr>
        <w:pStyle w:val="BodyText"/>
      </w:pPr>
      <w:hyperlink r:id="rId35">
        <w:r>
          <w:rPr>
            <w:rStyle w:val="Hyperlink"/>
          </w:rPr>
          <w:t xml:space="preserve">[20]</w:t>
        </w:r>
      </w:hyperlink>
      <w:r>
        <w:t xml:space="preserve"> </w:t>
      </w:r>
      <w:hyperlink r:id="rId35">
        <w:r>
          <w:rPr>
            <w:rStyle w:val="Hyperlink"/>
          </w:rPr>
          <w:t xml:space="preserve">[22]</w:t>
        </w:r>
      </w:hyperlink>
      <w:r>
        <w:t xml:space="preserve"> </w:t>
      </w:r>
      <w:hyperlink r:id="rId35">
        <w:r>
          <w:rPr>
            <w:rStyle w:val="Hyperlink"/>
          </w:rPr>
          <w:t xml:space="preserve">[42]</w:t>
        </w:r>
      </w:hyperlink>
      <w:r>
        <w:t xml:space="preserve"> </w:t>
      </w:r>
      <w:hyperlink r:id="rId35">
        <w:r>
          <w:rPr>
            <w:rStyle w:val="Hyperlink"/>
          </w:rPr>
          <w:t xml:space="preserve">[59]</w:t>
        </w:r>
      </w:hyperlink>
      <w:r>
        <w:t xml:space="preserve"> </w:t>
      </w:r>
      <w:hyperlink r:id="rId35">
        <w:r>
          <w:rPr>
            <w:rStyle w:val="Hyperlink"/>
          </w:rPr>
          <w:t xml:space="preserve">[60]</w:t>
        </w:r>
      </w:hyperlink>
      <w:r>
        <w:t xml:space="preserve"> </w:t>
      </w:r>
      <w:hyperlink r:id="rId35">
        <w:r>
          <w:rPr>
            <w:rStyle w:val="Hyperlink"/>
          </w:rPr>
          <w:t xml:space="preserve">[74]</w:t>
        </w:r>
      </w:hyperlink>
      <w:r>
        <w:t xml:space="preserve"> </w:t>
      </w:r>
      <w:r>
        <w:t xml:space="preserve">https://storage.ghost.io/c/44/95/449506ca-034e-480f-9725-fcde08ef1cc1/content/files/2025/04/Agentic-AI---Threats-and-Mitigations.pdf</w:t>
      </w:r>
    </w:p>
    <w:p>
      <w:pPr>
        <w:pStyle w:val="BodyText"/>
      </w:pPr>
      <w:hyperlink r:id="rId35">
        <w:r>
          <w:rPr>
            <w:rStyle w:val="Hyperlink"/>
          </w:rPr>
          <w:t xml:space="preserve">https://storage.ghost.io/c/44/95/449506ca-034e-480f-9725-fcde08ef1cc1/content/files/2025/04/Agentic-AI---Threats-and-Mitigations.pdf</w:t>
        </w:r>
      </w:hyperlink>
    </w:p>
    <w:p>
      <w:pPr>
        <w:pStyle w:val="BodyText"/>
      </w:pPr>
      <w:hyperlink r:id="rId36">
        <w:r>
          <w:rPr>
            <w:rStyle w:val="Hyperlink"/>
          </w:rPr>
          <w:t xml:space="preserve">[24]</w:t>
        </w:r>
      </w:hyperlink>
      <w:r>
        <w:t xml:space="preserve"> </w:t>
      </w:r>
      <w:hyperlink r:id="rId36">
        <w:r>
          <w:rPr>
            <w:rStyle w:val="Hyperlink"/>
          </w:rPr>
          <w:t xml:space="preserve">[69]</w:t>
        </w:r>
      </w:hyperlink>
      <w:r>
        <w:t xml:space="preserve"> </w:t>
      </w:r>
      <w:r>
        <w:t xml:space="preserve">https://opentelemetry.io/docs/concepts/context-propagation/</w:t>
      </w:r>
    </w:p>
    <w:p>
      <w:pPr>
        <w:pStyle w:val="BodyText"/>
      </w:pPr>
      <w:hyperlink r:id="rId36">
        <w:r>
          <w:rPr>
            <w:rStyle w:val="Hyperlink"/>
          </w:rPr>
          <w:t xml:space="preserve">https://opentelemetry.io/docs/concepts/context-propagation/</w:t>
        </w:r>
      </w:hyperlink>
    </w:p>
    <w:p>
      <w:pPr>
        <w:pStyle w:val="BodyText"/>
      </w:pPr>
      <w:hyperlink r:id="rId37">
        <w:r>
          <w:rPr>
            <w:rStyle w:val="Hyperlink"/>
          </w:rPr>
          <w:t xml:space="preserve">[25]</w:t>
        </w:r>
      </w:hyperlink>
      <w:r>
        <w:t xml:space="preserve"> </w:t>
      </w:r>
      <w:r>
        <w:t xml:space="preserve">https://www.coalitionforsecureai.org/announcing-the-cosai-principles-for-secure-by-design-agentic-systems/</w:t>
      </w:r>
    </w:p>
    <w:p>
      <w:pPr>
        <w:pStyle w:val="BodyText"/>
      </w:pPr>
      <w:hyperlink r:id="rId37">
        <w:r>
          <w:rPr>
            <w:rStyle w:val="Hyperlink"/>
          </w:rPr>
          <w:t xml:space="preserve">https://www.coalitionforsecureai.org/announcing-the-cosai-principles-for-secure-by-design-agentic-systems/</w:t>
        </w:r>
      </w:hyperlink>
    </w:p>
    <w:p>
      <w:pPr>
        <w:pStyle w:val="BodyText"/>
      </w:pPr>
      <w:hyperlink r:id="rId39">
        <w:r>
          <w:rPr>
            <w:rStyle w:val="Hyperlink"/>
          </w:rPr>
          <w:t xml:space="preserve">[27]</w:t>
        </w:r>
      </w:hyperlink>
      <w:r>
        <w:t xml:space="preserve"> </w:t>
      </w:r>
      <w:r>
        <w:t xml:space="preserve">https://www.prnewswire.com/news-releases/ramp-introduces-ai-agents-to-automate-finance-operations-302502154.html</w:t>
      </w:r>
    </w:p>
    <w:p>
      <w:pPr>
        <w:pStyle w:val="BodyText"/>
      </w:pPr>
      <w:hyperlink r:id="rId39">
        <w:r>
          <w:rPr>
            <w:rStyle w:val="Hyperlink"/>
          </w:rPr>
          <w:t xml:space="preserve">https://www.prnewswire.com/news-releases/ramp-introduces-ai-agents-to-automate-finance-operations-302502154.html</w:t>
        </w:r>
      </w:hyperlink>
    </w:p>
    <w:p>
      <w:pPr>
        <w:pStyle w:val="BodyText"/>
      </w:pPr>
      <w:hyperlink r:id="rId40">
        <w:r>
          <w:rPr>
            <w:rStyle w:val="Hyperlink"/>
          </w:rPr>
          <w:t xml:space="preserve">[28]</w:t>
        </w:r>
      </w:hyperlink>
      <w:r>
        <w:t xml:space="preserve"> </w:t>
      </w:r>
      <w:hyperlink r:id="rId40">
        <w:r>
          <w:rPr>
            <w:rStyle w:val="Hyperlink"/>
          </w:rPr>
          <w:t xml:space="preserve">[78]</w:t>
        </w:r>
      </w:hyperlink>
      <w:r>
        <w:t xml:space="preserve"> </w:t>
      </w:r>
      <w:r>
        <w:t xml:space="preserve">https://support.ramp.com/hc/en-us/articles/44072387128979-Policy-Agent-Overview</w:t>
      </w:r>
    </w:p>
    <w:p>
      <w:pPr>
        <w:pStyle w:val="BodyText"/>
      </w:pPr>
      <w:hyperlink r:id="rId40">
        <w:r>
          <w:rPr>
            <w:rStyle w:val="Hyperlink"/>
          </w:rPr>
          <w:t xml:space="preserve">https://support.ramp.com/hc/en-us/articles/44072387128979-Policy-Agent-Overview</w:t>
        </w:r>
      </w:hyperlink>
    </w:p>
    <w:p>
      <w:pPr>
        <w:pStyle w:val="BodyText"/>
      </w:pPr>
      <w:hyperlink r:id="rId41">
        <w:r>
          <w:rPr>
            <w:rStyle w:val="Hyperlink"/>
          </w:rPr>
          <w:t xml:space="preserve">[30]</w:t>
        </w:r>
      </w:hyperlink>
      <w:r>
        <w:t xml:space="preserve"> </w:t>
      </w:r>
      <w:hyperlink r:id="rId41">
        <w:r>
          <w:rPr>
            <w:rStyle w:val="Hyperlink"/>
          </w:rPr>
          <w:t xml:space="preserve">[50]</w:t>
        </w:r>
      </w:hyperlink>
      <w:r>
        <w:t xml:space="preserve"> </w:t>
      </w:r>
      <w:hyperlink r:id="rId41">
        <w:r>
          <w:rPr>
            <w:rStyle w:val="Hyperlink"/>
          </w:rPr>
          <w:t xml:space="preserve">[51]</w:t>
        </w:r>
      </w:hyperlink>
      <w:r>
        <w:t xml:space="preserve"> </w:t>
      </w:r>
      <w:r>
        <w:t xml:space="preserve">https://www.iso.org/standard/42001</w:t>
      </w:r>
    </w:p>
    <w:p>
      <w:pPr>
        <w:pStyle w:val="BodyText"/>
      </w:pPr>
      <w:hyperlink r:id="rId41">
        <w:r>
          <w:rPr>
            <w:rStyle w:val="Hyperlink"/>
          </w:rPr>
          <w:t xml:space="preserve">https://www.iso.org/standard/42001</w:t>
        </w:r>
      </w:hyperlink>
    </w:p>
    <w:p>
      <w:pPr>
        <w:pStyle w:val="BodyText"/>
      </w:pPr>
      <w:hyperlink r:id="rId42">
        <w:r>
          <w:rPr>
            <w:rStyle w:val="Hyperlink"/>
          </w:rPr>
          <w:t xml:space="preserve">[31]</w:t>
        </w:r>
      </w:hyperlink>
      <w:r>
        <w:t xml:space="preserve"> </w:t>
      </w:r>
      <w:hyperlink r:id="rId42">
        <w:r>
          <w:rPr>
            <w:rStyle w:val="Hyperlink"/>
          </w:rPr>
          <w:t xml:space="preserve">[46]</w:t>
        </w:r>
      </w:hyperlink>
      <w:r>
        <w:t xml:space="preserve"> </w:t>
      </w:r>
      <w:r>
        <w:t xml:space="preserve">https://docs.cloud.google.com/vertex-ai/docs/ai-agent-ecosystem-partners</w:t>
      </w:r>
    </w:p>
    <w:p>
      <w:pPr>
        <w:pStyle w:val="BodyText"/>
      </w:pPr>
      <w:hyperlink r:id="rId42">
        <w:r>
          <w:rPr>
            <w:rStyle w:val="Hyperlink"/>
          </w:rPr>
          <w:t xml:space="preserve">https://docs.cloud.google.com/vertex-ai/docs/ai-agent-ecosystem-partners</w:t>
        </w:r>
      </w:hyperlink>
    </w:p>
    <w:p>
      <w:pPr>
        <w:pStyle w:val="BodyText"/>
      </w:pPr>
      <w:hyperlink r:id="rId43">
        <w:r>
          <w:rPr>
            <w:rStyle w:val="Hyperlink"/>
          </w:rPr>
          <w:t xml:space="preserve">[33]</w:t>
        </w:r>
      </w:hyperlink>
      <w:r>
        <w:t xml:space="preserve"> </w:t>
      </w:r>
      <w:r>
        <w:t xml:space="preserve">https://cloud.google.com/transform/101-real-world-generative-ai-use-cases-from-industry-leaders</w:t>
      </w:r>
    </w:p>
    <w:p>
      <w:pPr>
        <w:pStyle w:val="BodyText"/>
      </w:pPr>
      <w:hyperlink r:id="rId43">
        <w:r>
          <w:rPr>
            <w:rStyle w:val="Hyperlink"/>
          </w:rPr>
          <w:t xml:space="preserve">https://cloud.google.com/transform/101-real-world-generative-ai-use-cases-from-industry-leaders</w:t>
        </w:r>
      </w:hyperlink>
    </w:p>
    <w:p>
      <w:pPr>
        <w:pStyle w:val="BodyText"/>
      </w:pPr>
      <w:hyperlink r:id="rId44">
        <w:r>
          <w:rPr>
            <w:rStyle w:val="Hyperlink"/>
          </w:rPr>
          <w:t xml:space="preserve">[34]</w:t>
        </w:r>
      </w:hyperlink>
      <w:r>
        <w:t xml:space="preserve"> </w:t>
      </w:r>
      <w:hyperlink r:id="rId44">
        <w:r>
          <w:rPr>
            <w:rStyle w:val="Hyperlink"/>
          </w:rPr>
          <w:t xml:space="preserve">[44]</w:t>
        </w:r>
      </w:hyperlink>
      <w:r>
        <w:t xml:space="preserve"> </w:t>
      </w:r>
      <w:r>
        <w:t xml:space="preserve">https://marketplace.athenahealth.com/product/thoughtful-rcm-ai-agents</w:t>
      </w:r>
    </w:p>
    <w:p>
      <w:pPr>
        <w:pStyle w:val="BodyText"/>
      </w:pPr>
      <w:hyperlink r:id="rId44">
        <w:r>
          <w:rPr>
            <w:rStyle w:val="Hyperlink"/>
          </w:rPr>
          <w:t xml:space="preserve">https://marketplace.athenahealth.com/product/thoughtful-rcm-ai-agents</w:t>
        </w:r>
      </w:hyperlink>
    </w:p>
    <w:p>
      <w:pPr>
        <w:pStyle w:val="BodyText"/>
      </w:pPr>
      <w:hyperlink r:id="rId45">
        <w:r>
          <w:rPr>
            <w:rStyle w:val="Hyperlink"/>
          </w:rPr>
          <w:t xml:space="preserve">[36]</w:t>
        </w:r>
      </w:hyperlink>
      <w:r>
        <w:t xml:space="preserve"> </w:t>
      </w:r>
      <w:r>
        <w:t xml:space="preserve">https://vellum.ai/blog/how-gravitystack-cut-credit-agreement-review-time-by-200-with-agentic-ai</w:t>
      </w:r>
    </w:p>
    <w:p>
      <w:pPr>
        <w:pStyle w:val="BodyText"/>
      </w:pPr>
      <w:hyperlink r:id="rId45">
        <w:r>
          <w:rPr>
            <w:rStyle w:val="Hyperlink"/>
          </w:rPr>
          <w:t xml:space="preserve">https://vellum.ai/blog/how-gravitystack-cut-credit-agreement-review-time-by-200-with-agentic-ai</w:t>
        </w:r>
      </w:hyperlink>
    </w:p>
    <w:p>
      <w:pPr>
        <w:pStyle w:val="BodyText"/>
      </w:pPr>
      <w:hyperlink r:id="rId46">
        <w:r>
          <w:rPr>
            <w:rStyle w:val="Hyperlink"/>
          </w:rPr>
          <w:t xml:space="preserve">[37]</w:t>
        </w:r>
      </w:hyperlink>
      <w:r>
        <w:t xml:space="preserve"> </w:t>
      </w:r>
      <w:hyperlink r:id="rId46">
        <w:r>
          <w:rPr>
            <w:rStyle w:val="Hyperlink"/>
          </w:rPr>
          <w:t xml:space="preserve">[40]</w:t>
        </w:r>
      </w:hyperlink>
      <w:r>
        <w:t xml:space="preserve"> </w:t>
      </w:r>
      <w:hyperlink r:id="rId46">
        <w:r>
          <w:rPr>
            <w:rStyle w:val="Hyperlink"/>
          </w:rPr>
          <w:t xml:space="preserve">[68]</w:t>
        </w:r>
      </w:hyperlink>
      <w:r>
        <w:t xml:space="preserve"> </w:t>
      </w:r>
      <w:r>
        <w:t xml:space="preserve">https://www.darktrace.com/customers/state-of-oklahoma</w:t>
      </w:r>
    </w:p>
    <w:p>
      <w:pPr>
        <w:pStyle w:val="BodyText"/>
      </w:pPr>
      <w:hyperlink r:id="rId46">
        <w:r>
          <w:rPr>
            <w:rStyle w:val="Hyperlink"/>
          </w:rPr>
          <w:t xml:space="preserve">https://www.darktrace.com/customers/state-of-oklahoma</w:t>
        </w:r>
      </w:hyperlink>
    </w:p>
    <w:p>
      <w:pPr>
        <w:pStyle w:val="BodyText"/>
      </w:pPr>
      <w:hyperlink r:id="rId47">
        <w:r>
          <w:rPr>
            <w:rStyle w:val="Hyperlink"/>
          </w:rPr>
          <w:t xml:space="preserve">[38]</w:t>
        </w:r>
      </w:hyperlink>
      <w:r>
        <w:t xml:space="preserve"> </w:t>
      </w:r>
      <w:r>
        <w:t xml:space="preserve">https://www.darktrace.com/cyber-ai-analyst</w:t>
      </w:r>
    </w:p>
    <w:p>
      <w:pPr>
        <w:pStyle w:val="BodyText"/>
      </w:pPr>
      <w:hyperlink r:id="rId47">
        <w:r>
          <w:rPr>
            <w:rStyle w:val="Hyperlink"/>
          </w:rPr>
          <w:t xml:space="preserve">https://www.darktrace.com/cyber-ai-analyst</w:t>
        </w:r>
      </w:hyperlink>
    </w:p>
    <w:p>
      <w:pPr>
        <w:pStyle w:val="BodyText"/>
      </w:pPr>
      <w:hyperlink r:id="rId48">
        <w:r>
          <w:rPr>
            <w:rStyle w:val="Hyperlink"/>
          </w:rPr>
          <w:t xml:space="preserve">[41]</w:t>
        </w:r>
      </w:hyperlink>
      <w:r>
        <w:t xml:space="preserve"> </w:t>
      </w:r>
      <w:r>
        <w:t xml:space="preserve">https://statescoop.com/agentic-ai-cybersecurity-state-government-darktrace/</w:t>
      </w:r>
    </w:p>
    <w:p>
      <w:pPr>
        <w:pStyle w:val="BodyText"/>
      </w:pPr>
      <w:hyperlink r:id="rId48">
        <w:r>
          <w:rPr>
            <w:rStyle w:val="Hyperlink"/>
          </w:rPr>
          <w:t xml:space="preserve">https://statescoop.com/agentic-ai-cybersecurity-state-government-darktrace/</w:t>
        </w:r>
      </w:hyperlink>
    </w:p>
    <w:p>
      <w:pPr>
        <w:pStyle w:val="BodyText"/>
      </w:pPr>
      <w:hyperlink r:id="rId49">
        <w:r>
          <w:rPr>
            <w:rStyle w:val="Hyperlink"/>
          </w:rPr>
          <w:t xml:space="preserve">[43]</w:t>
        </w:r>
      </w:hyperlink>
      <w:r>
        <w:t xml:space="preserve"> </w:t>
      </w:r>
      <w:r>
        <w:t xml:space="preserve">https://www.businesswire.com/news/home/20241119829963/en/Thoughtful-AI-Transforms-Healthcare-RCM-With-Comprehensive-Team-of-Specialized-AI-Agents</w:t>
      </w:r>
    </w:p>
    <w:p>
      <w:pPr>
        <w:pStyle w:val="BodyText"/>
      </w:pPr>
      <w:hyperlink r:id="rId49">
        <w:r>
          <w:rPr>
            <w:rStyle w:val="Hyperlink"/>
          </w:rPr>
          <w:t xml:space="preserve">https://www.businesswire.com/news/home/20241119829963/en/Thoughtful-AI-Transforms-Healthcare-RCM-With-Comprehensive-Team-of-Specialized-AI-Agents</w:t>
        </w:r>
      </w:hyperlink>
    </w:p>
    <w:p>
      <w:pPr>
        <w:pStyle w:val="BodyText"/>
      </w:pPr>
      <w:hyperlink r:id="rId51">
        <w:r>
          <w:rPr>
            <w:rStyle w:val="Hyperlink"/>
          </w:rPr>
          <w:t xml:space="preserve">[53]</w:t>
        </w:r>
      </w:hyperlink>
      <w:r>
        <w:t xml:space="preserve"> </w:t>
      </w:r>
      <w:r>
        <w:t xml:space="preserve">https://commission.europa.eu/news-and-media/news/ai-act-enters-force-2024-08-01_en</w:t>
      </w:r>
    </w:p>
    <w:p>
      <w:pPr>
        <w:pStyle w:val="BodyText"/>
      </w:pPr>
      <w:hyperlink r:id="rId51">
        <w:r>
          <w:rPr>
            <w:rStyle w:val="Hyperlink"/>
          </w:rPr>
          <w:t xml:space="preserve">https://commission.europa.eu/news-and-media/news/ai-act-enters-force-2024-08-01_en</w:t>
        </w:r>
      </w:hyperlink>
    </w:p>
    <w:p>
      <w:pPr>
        <w:pStyle w:val="BodyText"/>
      </w:pPr>
      <w:hyperlink r:id="rId52">
        <w:r>
          <w:rPr>
            <w:rStyle w:val="Hyperlink"/>
          </w:rPr>
          <w:t xml:space="preserve">[54]</w:t>
        </w:r>
      </w:hyperlink>
      <w:r>
        <w:t xml:space="preserve"> </w:t>
      </w:r>
      <w:r>
        <w:t xml:space="preserve">https://digital-strategy.ec.europa.eu/en/policies/regulatory-framework-ai</w:t>
      </w:r>
    </w:p>
    <w:p>
      <w:pPr>
        <w:pStyle w:val="BodyText"/>
      </w:pPr>
      <w:hyperlink r:id="rId52">
        <w:r>
          <w:rPr>
            <w:rStyle w:val="Hyperlink"/>
          </w:rPr>
          <w:t xml:space="preserve">https://digital-strategy.ec.europa.eu/en/policies/regulatory-framework-ai</w:t>
        </w:r>
      </w:hyperlink>
    </w:p>
    <w:p>
      <w:pPr>
        <w:pStyle w:val="BodyText"/>
      </w:pPr>
      <w:hyperlink r:id="rId53">
        <w:r>
          <w:rPr>
            <w:rStyle w:val="Hyperlink"/>
          </w:rPr>
          <w:t xml:space="preserve">[56]</w:t>
        </w:r>
      </w:hyperlink>
      <w:r>
        <w:t xml:space="preserve"> </w:t>
      </w:r>
      <w:r>
        <w:t xml:space="preserve">https://docs.aws.amazon.com/sagemaker/latest/dg/shadow-tests.html</w:t>
      </w:r>
    </w:p>
    <w:p>
      <w:pPr>
        <w:pStyle w:val="BodyText"/>
      </w:pPr>
      <w:hyperlink r:id="rId53">
        <w:r>
          <w:rPr>
            <w:rStyle w:val="Hyperlink"/>
          </w:rPr>
          <w:t xml:space="preserve">https://docs.aws.amazon.com/sagemaker/latest/dg/shadow-tests.html</w:t>
        </w:r>
      </w:hyperlink>
    </w:p>
    <w:p>
      <w:pPr>
        <w:pStyle w:val="BodyText"/>
      </w:pPr>
      <w:hyperlink r:id="rId56">
        <w:r>
          <w:rPr>
            <w:rStyle w:val="Hyperlink"/>
          </w:rPr>
          <w:t xml:space="preserve">[67]</w:t>
        </w:r>
      </w:hyperlink>
      <w:r>
        <w:t xml:space="preserve"> </w:t>
      </w:r>
      <w:r>
        <w:t xml:space="preserve">https://opentelemetry.io/docs/</w:t>
      </w:r>
    </w:p>
    <w:p>
      <w:pPr>
        <w:pStyle w:val="BodyText"/>
      </w:pPr>
      <w:hyperlink r:id="rId56">
        <w:r>
          <w:rPr>
            <w:rStyle w:val="Hyperlink"/>
          </w:rPr>
          <w:t xml:space="preserve">https://opentelemetry.io/docs/</w:t>
        </w:r>
      </w:hyperlink>
    </w:p>
    <w:p>
      <w:pPr>
        <w:pStyle w:val="BodyText"/>
      </w:pPr>
      <w:hyperlink r:id="rId57">
        <w:r>
          <w:rPr>
            <w:rStyle w:val="Hyperlink"/>
          </w:rPr>
          <w:t xml:space="preserve">[71]</w:t>
        </w:r>
      </w:hyperlink>
      <w:r>
        <w:t xml:space="preserve"> </w:t>
      </w:r>
      <w:r>
        <w:t xml:space="preserve">https://docs.langchain.com/oss/python/langgraph/workflows-agents</w:t>
      </w:r>
    </w:p>
    <w:p>
      <w:pPr>
        <w:pStyle w:val="BodyText"/>
      </w:pPr>
      <w:hyperlink r:id="rId57">
        <w:r>
          <w:rPr>
            <w:rStyle w:val="Hyperlink"/>
          </w:rPr>
          <w:t xml:space="preserve">https://docs.langchain.com/oss/python/langgraph/workflows-agents</w:t>
        </w:r>
      </w:hyperlink>
    </w:p>
    <w:p>
      <w:pPr>
        <w:pStyle w:val="BodyText"/>
      </w:pPr>
      <w:hyperlink r:id="rId58">
        <w:r>
          <w:rPr>
            <w:rStyle w:val="Hyperlink"/>
          </w:rPr>
          <w:t xml:space="preserve">[72]</w:t>
        </w:r>
      </w:hyperlink>
      <w:r>
        <w:t xml:space="preserve"> </w:t>
      </w:r>
      <w:r>
        <w:t xml:space="preserve">https://github.com/microsoft/autogen</w:t>
      </w:r>
    </w:p>
    <w:p>
      <w:pPr>
        <w:pStyle w:val="BodyText"/>
      </w:pPr>
      <w:hyperlink r:id="rId58">
        <w:r>
          <w:rPr>
            <w:rStyle w:val="Hyperlink"/>
          </w:rPr>
          <w:t xml:space="preserve">https://github.com/microsoft/autogen</w:t>
        </w:r>
      </w:hyperlink>
    </w:p>
    <w:p>
      <w:pPr>
        <w:pStyle w:val="BodyText"/>
      </w:pPr>
      <w:hyperlink r:id="rId59">
        <w:r>
          <w:rPr>
            <w:rStyle w:val="Hyperlink"/>
          </w:rPr>
          <w:t xml:space="preserve">[73]</w:t>
        </w:r>
      </w:hyperlink>
      <w:r>
        <w:t xml:space="preserve"> </w:t>
      </w:r>
      <w:r>
        <w:t xml:space="preserve">https://github.com/crewaiinc/crewai</w:t>
      </w:r>
    </w:p>
    <w:p>
      <w:pPr>
        <w:pStyle w:val="BodyText"/>
      </w:pPr>
      <w:hyperlink r:id="rId59">
        <w:r>
          <w:rPr>
            <w:rStyle w:val="Hyperlink"/>
          </w:rPr>
          <w:t xml:space="preserve">https://github.com/crewaiinc/crewai</w:t>
        </w:r>
      </w:hyperlink>
    </w:p>
    <w:p>
      <w:pPr>
        <w:pStyle w:val="BodyText"/>
      </w:pPr>
      <w:hyperlink r:id="rId60">
        <w:r>
          <w:rPr>
            <w:rStyle w:val="Hyperlink"/>
          </w:rPr>
          <w:t xml:space="preserve">[75]</w:t>
        </w:r>
      </w:hyperlink>
      <w:r>
        <w:t xml:space="preserve"> </w:t>
      </w:r>
      <w:r>
        <w:t xml:space="preserve">https://www.ibm.com/products/watsonx-orchestrate</w:t>
      </w:r>
    </w:p>
    <w:p>
      <w:pPr>
        <w:pStyle w:val="BodyText"/>
      </w:pPr>
      <w:hyperlink r:id="rId60">
        <w:r>
          <w:rPr>
            <w:rStyle w:val="Hyperlink"/>
          </w:rPr>
          <w:t xml:space="preserve">https://www.ibm.com/products/watsonx-orchestrate</w:t>
        </w:r>
      </w:hyperlink>
    </w:p>
    <w:p>
      <w:pPr>
        <w:pStyle w:val="BodyText"/>
      </w:pPr>
      <w:hyperlink r:id="rId61">
        <w:r>
          <w:rPr>
            <w:rStyle w:val="Hyperlink"/>
          </w:rPr>
          <w:t xml:space="preserve">[77]</w:t>
        </w:r>
      </w:hyperlink>
      <w:r>
        <w:t xml:space="preserve"> </w:t>
      </w:r>
      <w:r>
        <w:t xml:space="preserve">https://www.uipath.com/product/agent-builder</w:t>
      </w:r>
    </w:p>
    <w:p>
      <w:pPr>
        <w:pStyle w:val="BodyText"/>
      </w:pPr>
      <w:hyperlink r:id="rId61">
        <w:r>
          <w:rPr>
            <w:rStyle w:val="Hyperlink"/>
          </w:rPr>
          <w:t xml:space="preserve">https://www.uipath.com/product/agent-builder</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cloud.google.com/transform/101-real-world-generative-ai-use-cases-from-industry-leaders" TargetMode="External" /><Relationship Type="http://schemas.openxmlformats.org/officeDocument/2006/relationships/hyperlink" Id="rId51" Target="https://commission.europa.eu/news-and-media/news/ai-act-enters-force-2024-08-01_en" TargetMode="External" /><Relationship Type="http://schemas.openxmlformats.org/officeDocument/2006/relationships/hyperlink" Id="rId52" Target="https://digital-strategy.ec.europa.eu/en/policies/regulatory-framework-ai" TargetMode="External" /><Relationship Type="http://schemas.openxmlformats.org/officeDocument/2006/relationships/hyperlink" Id="rId53" Target="https://docs.aws.amazon.com/sagemaker/latest/dg/shadow-tests.html" TargetMode="External" /><Relationship Type="http://schemas.openxmlformats.org/officeDocument/2006/relationships/hyperlink" Id="rId42" Target="https://docs.cloud.google.com/vertex-ai/docs/ai-agent-ecosystem-partners" TargetMode="External" /><Relationship Type="http://schemas.openxmlformats.org/officeDocument/2006/relationships/hyperlink" Id="rId57" Target="https://docs.langchain.com/oss/python/langgraph/workflows-agents" TargetMode="External" /><Relationship Type="http://schemas.openxmlformats.org/officeDocument/2006/relationships/hyperlink" Id="rId26" Target="https://genai.owasp.org/download/52117/?tmstv=1765059207" TargetMode="External" /><Relationship Type="http://schemas.openxmlformats.org/officeDocument/2006/relationships/hyperlink" Id="rId59" Target="https://github.com/crewaiinc/crewai" TargetMode="External" /><Relationship Type="http://schemas.openxmlformats.org/officeDocument/2006/relationships/hyperlink" Id="rId58" Target="https://github.com/microsoft/autogen" TargetMode="External" /><Relationship Type="http://schemas.openxmlformats.org/officeDocument/2006/relationships/hyperlink" Id="rId44" Target="https://marketplace.athenahealth.com/product/thoughtful-rcm-ai-agents" TargetMode="External" /><Relationship Type="http://schemas.openxmlformats.org/officeDocument/2006/relationships/hyperlink" Id="rId23" Target="https://nvlpubs.nist.gov/nistpubs/ai/nist.ai.100-1.pdf" TargetMode="External" /><Relationship Type="http://schemas.openxmlformats.org/officeDocument/2006/relationships/hyperlink" Id="rId56" Target="https://opentelemetry.io/docs/" TargetMode="External" /><Relationship Type="http://schemas.openxmlformats.org/officeDocument/2006/relationships/hyperlink" Id="rId36" Target="https://opentelemetry.io/docs/concepts/context-propagation/" TargetMode="External" /><Relationship Type="http://schemas.openxmlformats.org/officeDocument/2006/relationships/hyperlink" Id="rId48" Target="https://statescoop.com/agentic-ai-cybersecurity-state-government-darktrace/" TargetMode="External" /><Relationship Type="http://schemas.openxmlformats.org/officeDocument/2006/relationships/hyperlink" Id="rId35" Target="https://storage.ghost.io/c/44/95/449506ca-034e-480f-9725-fcde08ef1cc1/content/files/2025/04/Agentic-AI---Threats-and-Mitigations.pdf" TargetMode="External" /><Relationship Type="http://schemas.openxmlformats.org/officeDocument/2006/relationships/hyperlink" Id="rId40" Target="https://support.ramp.com/hc/en-us/articles/44072387128979-Policy-Agent-Overview" TargetMode="External" /><Relationship Type="http://schemas.openxmlformats.org/officeDocument/2006/relationships/hyperlink" Id="rId45" Target="https://vellum.ai/blog/how-gravitystack-cut-credit-agreement-review-time-by-200-with-agentic-ai" TargetMode="External" /><Relationship Type="http://schemas.openxmlformats.org/officeDocument/2006/relationships/hyperlink" Id="rId32" Target="https://www.bain.com/insights/building-the-foundation-for-agentic-ai-technology-report-2025/" TargetMode="External" /><Relationship Type="http://schemas.openxmlformats.org/officeDocument/2006/relationships/hyperlink" Id="rId31" Target="https://www.bcg.com/publications/2025/machines-that-manage-themselves" TargetMode="External" /><Relationship Type="http://schemas.openxmlformats.org/officeDocument/2006/relationships/hyperlink" Id="rId49" Target="https://www.businesswire.com/news/home/20241119829963/en/Thoughtful-AI-Transforms-Healthcare-RCM-With-Comprehensive-Team-of-Specialized-AI-Agents" TargetMode="External" /><Relationship Type="http://schemas.openxmlformats.org/officeDocument/2006/relationships/hyperlink" Id="rId37" Target="https://www.coalitionforsecureai.org/announcing-the-cosai-principles-for-secure-by-design-agentic-systems/" TargetMode="External" /><Relationship Type="http://schemas.openxmlformats.org/officeDocument/2006/relationships/hyperlink" Id="rId46" Target="https://www.darktrace.com/customers/state-of-oklahoma" TargetMode="External" /><Relationship Type="http://schemas.openxmlformats.org/officeDocument/2006/relationships/hyperlink" Id="rId47" Target="https://www.darktrace.com/cyber-ai-analyst" TargetMode="External" /><Relationship Type="http://schemas.openxmlformats.org/officeDocument/2006/relationships/hyperlink" Id="rId25" Target="https://www.gartner.com/en/newsroom/press-releases/2025-03-05-gartner-predicts-agentic-ai-will-autonomously-resolve-80-percent-of-common-customer-service-issues-without-human-intervention-by-20290" TargetMode="External" /><Relationship Type="http://schemas.openxmlformats.org/officeDocument/2006/relationships/hyperlink" Id="rId21" Target="https://www.gartner.com/en/newsroom/press-releases/2025-06-25-gartner-predicts-over-40-percent-of-agentic-ai-projects-will-be-canceled-by-end-of-2027" TargetMode="External" /><Relationship Type="http://schemas.openxmlformats.org/officeDocument/2006/relationships/hyperlink" Id="rId22" Target="https://www.gartner.com/en/newsroom/press-releases/2025-08-26-gartner-predicts-40-percent-of-enterprise-apps-will-feature-task-specific-ai-agents-by-2026-up-from-less-than-5-percent-in-2025" TargetMode="External" /><Relationship Type="http://schemas.openxmlformats.org/officeDocument/2006/relationships/hyperlink" Id="rId60" Target="https://www.ibm.com/products/watsonx-orchestrate" TargetMode="External" /><Relationship Type="http://schemas.openxmlformats.org/officeDocument/2006/relationships/hyperlink" Id="rId24" Target="https://www.isaca.org/resources/news-and-trends/industry-news/2025/the-growing-challenge-of-auditing-agentic-ai" TargetMode="External" /><Relationship Type="http://schemas.openxmlformats.org/officeDocument/2006/relationships/hyperlink" Id="rId41" Target="https://www.iso.org/standard/42001" TargetMode="External" /><Relationship Type="http://schemas.openxmlformats.org/officeDocument/2006/relationships/hyperlink" Id="rId33" Target="https://www.marketsandmarkets.com/Market-Reports/agentic-ai-market-208190735.html" TargetMode="External" /><Relationship Type="http://schemas.openxmlformats.org/officeDocument/2006/relationships/hyperlink" Id="rId27" Target="https://www.pagerduty.com/resources/ai/learn/companies-expecting-agentic-ai-roi-2025/" TargetMode="External" /><Relationship Type="http://schemas.openxmlformats.org/officeDocument/2006/relationships/hyperlink" Id="rId39" Target="https://www.prnewswire.com/news-releases/ramp-introduces-ai-agents-to-automate-finance-operations-302502154.html" TargetMode="External" /><Relationship Type="http://schemas.openxmlformats.org/officeDocument/2006/relationships/hyperlink" Id="rId28" Target="https://www.salesforce.com/eu/blog/how-agentic-ai-redefines-the-human-edge-in-marketing/" TargetMode="External" /><Relationship Type="http://schemas.openxmlformats.org/officeDocument/2006/relationships/hyperlink" Id="rId61" Target="https://www.uipath.com/product/agent-builder" TargetMode="External" /></Relationships>
</file>

<file path=word/_rels/footnotes.xml.rels><?xml version="1.0" encoding="UTF-8"?><Relationships xmlns="http://schemas.openxmlformats.org/package/2006/relationships"><Relationship Type="http://schemas.openxmlformats.org/officeDocument/2006/relationships/hyperlink" Id="rId43" Target="https://cloud.google.com/transform/101-real-world-generative-ai-use-cases-from-industry-leaders" TargetMode="External" /><Relationship Type="http://schemas.openxmlformats.org/officeDocument/2006/relationships/hyperlink" Id="rId51" Target="https://commission.europa.eu/news-and-media/news/ai-act-enters-force-2024-08-01_en" TargetMode="External" /><Relationship Type="http://schemas.openxmlformats.org/officeDocument/2006/relationships/hyperlink" Id="rId52" Target="https://digital-strategy.ec.europa.eu/en/policies/regulatory-framework-ai" TargetMode="External" /><Relationship Type="http://schemas.openxmlformats.org/officeDocument/2006/relationships/hyperlink" Id="rId53" Target="https://docs.aws.amazon.com/sagemaker/latest/dg/shadow-tests.html" TargetMode="External" /><Relationship Type="http://schemas.openxmlformats.org/officeDocument/2006/relationships/hyperlink" Id="rId42" Target="https://docs.cloud.google.com/vertex-ai/docs/ai-agent-ecosystem-partners" TargetMode="External" /><Relationship Type="http://schemas.openxmlformats.org/officeDocument/2006/relationships/hyperlink" Id="rId57" Target="https://docs.langchain.com/oss/python/langgraph/workflows-agents" TargetMode="External" /><Relationship Type="http://schemas.openxmlformats.org/officeDocument/2006/relationships/hyperlink" Id="rId26" Target="https://genai.owasp.org/download/52117/?tmstv=1765059207" TargetMode="External" /><Relationship Type="http://schemas.openxmlformats.org/officeDocument/2006/relationships/hyperlink" Id="rId59" Target="https://github.com/crewaiinc/crewai" TargetMode="External" /><Relationship Type="http://schemas.openxmlformats.org/officeDocument/2006/relationships/hyperlink" Id="rId58" Target="https://github.com/microsoft/autogen" TargetMode="External" /><Relationship Type="http://schemas.openxmlformats.org/officeDocument/2006/relationships/hyperlink" Id="rId44" Target="https://marketplace.athenahealth.com/product/thoughtful-rcm-ai-agents" TargetMode="External" /><Relationship Type="http://schemas.openxmlformats.org/officeDocument/2006/relationships/hyperlink" Id="rId23" Target="https://nvlpubs.nist.gov/nistpubs/ai/nist.ai.100-1.pdf" TargetMode="External" /><Relationship Type="http://schemas.openxmlformats.org/officeDocument/2006/relationships/hyperlink" Id="rId56" Target="https://opentelemetry.io/docs/" TargetMode="External" /><Relationship Type="http://schemas.openxmlformats.org/officeDocument/2006/relationships/hyperlink" Id="rId36" Target="https://opentelemetry.io/docs/concepts/context-propagation/" TargetMode="External" /><Relationship Type="http://schemas.openxmlformats.org/officeDocument/2006/relationships/hyperlink" Id="rId48" Target="https://statescoop.com/agentic-ai-cybersecurity-state-government-darktrace/" TargetMode="External" /><Relationship Type="http://schemas.openxmlformats.org/officeDocument/2006/relationships/hyperlink" Id="rId35" Target="https://storage.ghost.io/c/44/95/449506ca-034e-480f-9725-fcde08ef1cc1/content/files/2025/04/Agentic-AI---Threats-and-Mitigations.pdf" TargetMode="External" /><Relationship Type="http://schemas.openxmlformats.org/officeDocument/2006/relationships/hyperlink" Id="rId40" Target="https://support.ramp.com/hc/en-us/articles/44072387128979-Policy-Agent-Overview" TargetMode="External" /><Relationship Type="http://schemas.openxmlformats.org/officeDocument/2006/relationships/hyperlink" Id="rId45" Target="https://vellum.ai/blog/how-gravitystack-cut-credit-agreement-review-time-by-200-with-agentic-ai" TargetMode="External" /><Relationship Type="http://schemas.openxmlformats.org/officeDocument/2006/relationships/hyperlink" Id="rId32" Target="https://www.bain.com/insights/building-the-foundation-for-agentic-ai-technology-report-2025/" TargetMode="External" /><Relationship Type="http://schemas.openxmlformats.org/officeDocument/2006/relationships/hyperlink" Id="rId31" Target="https://www.bcg.com/publications/2025/machines-that-manage-themselves" TargetMode="External" /><Relationship Type="http://schemas.openxmlformats.org/officeDocument/2006/relationships/hyperlink" Id="rId49" Target="https://www.businesswire.com/news/home/20241119829963/en/Thoughtful-AI-Transforms-Healthcare-RCM-With-Comprehensive-Team-of-Specialized-AI-Agents" TargetMode="External" /><Relationship Type="http://schemas.openxmlformats.org/officeDocument/2006/relationships/hyperlink" Id="rId37" Target="https://www.coalitionforsecureai.org/announcing-the-cosai-principles-for-secure-by-design-agentic-systems/" TargetMode="External" /><Relationship Type="http://schemas.openxmlformats.org/officeDocument/2006/relationships/hyperlink" Id="rId46" Target="https://www.darktrace.com/customers/state-of-oklahoma" TargetMode="External" /><Relationship Type="http://schemas.openxmlformats.org/officeDocument/2006/relationships/hyperlink" Id="rId47" Target="https://www.darktrace.com/cyber-ai-analyst" TargetMode="External" /><Relationship Type="http://schemas.openxmlformats.org/officeDocument/2006/relationships/hyperlink" Id="rId25" Target="https://www.gartner.com/en/newsroom/press-releases/2025-03-05-gartner-predicts-agentic-ai-will-autonomously-resolve-80-percent-of-common-customer-service-issues-without-human-intervention-by-20290" TargetMode="External" /><Relationship Type="http://schemas.openxmlformats.org/officeDocument/2006/relationships/hyperlink" Id="rId21" Target="https://www.gartner.com/en/newsroom/press-releases/2025-06-25-gartner-predicts-over-40-percent-of-agentic-ai-projects-will-be-canceled-by-end-of-2027" TargetMode="External" /><Relationship Type="http://schemas.openxmlformats.org/officeDocument/2006/relationships/hyperlink" Id="rId22" Target="https://www.gartner.com/en/newsroom/press-releases/2025-08-26-gartner-predicts-40-percent-of-enterprise-apps-will-feature-task-specific-ai-agents-by-2026-up-from-less-than-5-percent-in-2025" TargetMode="External" /><Relationship Type="http://schemas.openxmlformats.org/officeDocument/2006/relationships/hyperlink" Id="rId60" Target="https://www.ibm.com/products/watsonx-orchestrate" TargetMode="External" /><Relationship Type="http://schemas.openxmlformats.org/officeDocument/2006/relationships/hyperlink" Id="rId24" Target="https://www.isaca.org/resources/news-and-trends/industry-news/2025/the-growing-challenge-of-auditing-agentic-ai" TargetMode="External" /><Relationship Type="http://schemas.openxmlformats.org/officeDocument/2006/relationships/hyperlink" Id="rId41" Target="https://www.iso.org/standard/42001" TargetMode="External" /><Relationship Type="http://schemas.openxmlformats.org/officeDocument/2006/relationships/hyperlink" Id="rId33" Target="https://www.marketsandmarkets.com/Market-Reports/agentic-ai-market-208190735.html" TargetMode="External" /><Relationship Type="http://schemas.openxmlformats.org/officeDocument/2006/relationships/hyperlink" Id="rId27" Target="https://www.pagerduty.com/resources/ai/learn/companies-expecting-agentic-ai-roi-2025/" TargetMode="External" /><Relationship Type="http://schemas.openxmlformats.org/officeDocument/2006/relationships/hyperlink" Id="rId39" Target="https://www.prnewswire.com/news-releases/ramp-introduces-ai-agents-to-automate-finance-operations-302502154.html" TargetMode="External" /><Relationship Type="http://schemas.openxmlformats.org/officeDocument/2006/relationships/hyperlink" Id="rId28" Target="https://www.salesforce.com/eu/blog/how-agentic-ai-redefines-the-human-edge-in-marketing/" TargetMode="External" /><Relationship Type="http://schemas.openxmlformats.org/officeDocument/2006/relationships/hyperlink" Id="rId61" Target="https://www.uipath.com/product/agent-buil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2026-03-16T23:12:26Z</dcterms:created>
  <dcterms:modified xsi:type="dcterms:W3CDTF">2026-03-16T23:12:26Z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