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da74a8959c7a333acc2763fee64a43a0b96ed45"/>
    <w:p>
      <w:pPr>
        <w:pStyle w:val="Heading1"/>
      </w:pPr>
      <w:r>
        <w:t xml:space="preserve">Third-Party Risk in the Age of AI: What Every Organization Needs to Know</w:t>
      </w:r>
    </w:p>
    <w:bookmarkStart w:id="27" w:name="executive-summary"/>
    <w:p>
      <w:pPr>
        <w:pStyle w:val="Heading2"/>
      </w:pPr>
      <w:r>
        <w:t xml:space="preserve">Executive summary</w:t>
      </w:r>
    </w:p>
    <w:p>
      <w:pPr>
        <w:pStyle w:val="FirstParagraph"/>
      </w:pPr>
      <w:r>
        <w:t xml:space="preserve">Third-party risk is shifting from “vendors might get breached” to “vendors’ AI systems can</w:t>
      </w:r>
      <w:r>
        <w:t xml:space="preserve"> </w:t>
      </w:r>
      <w:r>
        <w:rPr>
          <w:i/>
          <w:iCs/>
        </w:rPr>
        <w:t xml:space="preserve">act inside your workflows</w:t>
      </w:r>
      <w:r>
        <w:t xml:space="preserve">.” As organizations integrate AI copilots, agents, and model APIs into email, collaboration, customer operations, and security tooling, third parties increasingly become operational control planes—not just service providers. That raises the consequence of compromise because AI-enabled systems can influence decisions, trigger actions, and accelerate propagation through automation.</w:t>
      </w:r>
      <w:r>
        <w:t xml:space="preserve"> </w:t>
      </w:r>
      <w:hyperlink r:id="rId21">
        <w:r>
          <w:rPr>
            <w:rStyle w:val="Hyperlink"/>
          </w:rPr>
          <w:t xml:space="preserve">[1]</w:t>
        </w:r>
      </w:hyperlink>
    </w:p>
    <w:p>
      <w:pPr>
        <w:pStyle w:val="BodyText"/>
      </w:pPr>
      <w:r>
        <w:t xml:space="preserve">The most consequential change is speed and scale. European Union Agency for Cybersecurity</w:t>
      </w:r>
      <w:hyperlink r:id="rId22">
        <w:r>
          <w:rPr>
            <w:rStyle w:val="Hyperlink"/>
          </w:rPr>
          <w:t xml:space="preserve">[2]</w:t>
        </w:r>
      </w:hyperlink>
      <w:r>
        <w:t xml:space="preserve"> </w:t>
      </w:r>
      <w:r>
        <w:t xml:space="preserve">reports that phishing is still the dominant intrusion vector (60%) and that AI-supported phishing “reportedly” represented more than 80% of observed social engineering activity worldwide by early 2025—illustrating that AI is not merely “a future risk,” but already reshaping adversary throughput and realism.</w:t>
      </w:r>
      <w:r>
        <w:t xml:space="preserve"> </w:t>
      </w:r>
      <w:hyperlink r:id="rId23">
        <w:r>
          <w:rPr>
            <w:rStyle w:val="Hyperlink"/>
          </w:rPr>
          <w:t xml:space="preserve">[3]</w:t>
        </w:r>
      </w:hyperlink>
    </w:p>
    <w:p>
      <w:pPr>
        <w:pStyle w:val="BodyText"/>
      </w:pPr>
      <w:r>
        <w:t xml:space="preserve">Model and AI supply chains now matter as much as software supply chains. Public model hubs and AI tool ecosystems introduce additional compromise paths (malicious artifacts, poisoned models, unsafe serialization, compromised repositories, and “indirect prompt injection” through documents/emails). For example, Bitdefender</w:t>
      </w:r>
      <w:hyperlink r:id="rId24">
        <w:r>
          <w:rPr>
            <w:rStyle w:val="Hyperlink"/>
          </w:rPr>
          <w:t xml:space="preserve">[4]</w:t>
        </w:r>
      </w:hyperlink>
      <w:r>
        <w:t xml:space="preserve"> </w:t>
      </w:r>
      <w:r>
        <w:t xml:space="preserve">documented a 2026 Android malware campaign that abused Hugging Face</w:t>
      </w:r>
      <w:hyperlink r:id="rId25">
        <w:r>
          <w:rPr>
            <w:rStyle w:val="Hyperlink"/>
          </w:rPr>
          <w:t xml:space="preserve">[5]</w:t>
        </w:r>
      </w:hyperlink>
      <w:r>
        <w:t xml:space="preserve"> </w:t>
      </w:r>
      <w:r>
        <w:t xml:space="preserve">infrastructure to host and distribute malicious files—an example of how “trusted AI infrastructure” can become a third-party delivery channel even without compromising the target organization directly.</w:t>
      </w:r>
      <w:r>
        <w:t xml:space="preserve"> </w:t>
      </w:r>
      <w:hyperlink r:id="rId26">
        <w:r>
          <w:rPr>
            <w:rStyle w:val="Hyperlink"/>
          </w:rPr>
          <w:t xml:space="preserve">[6]</w:t>
        </w:r>
      </w:hyperlink>
    </w:p>
    <w:p>
      <w:pPr>
        <w:pStyle w:val="BodyText"/>
      </w:pPr>
      <w:r>
        <w:t xml:space="preserve">Prompt injection has moved from academic to operational risk. Microsoft</w:t>
      </w:r>
      <w:hyperlink r:id="rId22">
        <w:r>
          <w:rPr>
            <w:rStyle w:val="Hyperlink"/>
          </w:rPr>
          <w:t xml:space="preserve">[7]</w:t>
        </w:r>
      </w:hyperlink>
      <w:r>
        <w:t xml:space="preserve">’s own security response content describes indirect prompt injection as a widely used technique reported to Microsoft, explains how attacker-controlled text in emails or shared documents can manipulate LLM outputs, and explicitly connects it to concrete impacts like data exfiltration and unintended actions—especially when the LLM can call tools.</w:t>
      </w:r>
      <w:r>
        <w:t xml:space="preserve"> </w:t>
      </w:r>
      <w:hyperlink r:id="rId22">
        <w:r>
          <w:rPr>
            <w:rStyle w:val="Hyperlink"/>
          </w:rPr>
          <w:t xml:space="preserve">[8]</w:t>
        </w:r>
      </w:hyperlink>
    </w:p>
    <w:p>
      <w:pPr>
        <w:pStyle w:val="BodyText"/>
      </w:pPr>
      <w:r>
        <w:t xml:space="preserve">Regulation and standards increasingly expect traceability, logging, and governance. The European Union</w:t>
      </w:r>
      <w:hyperlink r:id="rId21">
        <w:r>
          <w:rPr>
            <w:rStyle w:val="Hyperlink"/>
          </w:rPr>
          <w:t xml:space="preserve">[9]</w:t>
        </w:r>
      </w:hyperlink>
      <w:r>
        <w:t xml:space="preserve"> </w:t>
      </w:r>
      <w:r>
        <w:t xml:space="preserve">AI Act requires high-risk AI systems to support automatic event logging over the system lifetime, requires providers to retain logs for at least six months (where under provider control), and enables competent authorities to request access to logs. This pushes organizations to contractually and technically ensure that key AI vendors can provide logs, evidence, and incident disclosure.</w:t>
      </w:r>
      <w:r>
        <w:t xml:space="preserve"> </w:t>
      </w:r>
      <w:hyperlink r:id="rId24">
        <w:r>
          <w:rPr>
            <w:rStyle w:val="Hyperlink"/>
          </w:rPr>
          <w:t xml:space="preserve">[10]</w:t>
        </w:r>
      </w:hyperlink>
    </w:p>
    <w:bookmarkEnd w:id="27"/>
    <w:bookmarkStart w:id="30" w:name="scope-and-methodology"/>
    <w:p>
      <w:pPr>
        <w:pStyle w:val="Heading2"/>
      </w:pPr>
      <w:r>
        <w:t xml:space="preserve">Scope and methodology</w:t>
      </w:r>
    </w:p>
    <w:p>
      <w:pPr>
        <w:pStyle w:val="FirstParagraph"/>
      </w:pPr>
      <w:r>
        <w:t xml:space="preserve">This report prioritizes incidents and official guidance in the 2024–2026 timeframe (based on your requirement), while treating older landmark supply-chain events (SolarWinds, Kaseya, MOVEit) as foundational case studies whose lessons are still directly relevant to AI-era vendor dependencies. Where an incident’s</w:t>
      </w:r>
      <w:r>
        <w:t xml:space="preserve"> </w:t>
      </w:r>
      <w:r>
        <w:rPr>
          <w:i/>
          <w:iCs/>
        </w:rPr>
        <w:t xml:space="preserve">original</w:t>
      </w:r>
      <w:r>
        <w:t xml:space="preserve"> </w:t>
      </w:r>
      <w:r>
        <w:t xml:space="preserve">date predates 2024, the report emphasizes recent advisories, “routinely exploited” listings, or current control guidance that keeps the case operationally relevant.</w:t>
      </w:r>
      <w:r>
        <w:t xml:space="preserve"> </w:t>
      </w:r>
      <w:hyperlink r:id="rId28">
        <w:r>
          <w:rPr>
            <w:rStyle w:val="Hyperlink"/>
          </w:rPr>
          <w:t xml:space="preserve">[11]</w:t>
        </w:r>
      </w:hyperlink>
    </w:p>
    <w:p>
      <w:pPr>
        <w:pStyle w:val="BodyText"/>
      </w:pPr>
      <w:r>
        <w:t xml:space="preserve">Assumption: no specific organization size or industry is specified, so recommendations target a generic enterprise pattern (mix of SaaS, cloud identity, third-party integrations, and vendor procurement), with notes on how to scale up/down depending on criticality and regulatory exposure. This is not legal advice; contract templates are practical starting points to be reviewed by counsel and procurement.</w:t>
      </w:r>
      <w:r>
        <w:t xml:space="preserve"> </w:t>
      </w:r>
      <w:hyperlink r:id="rId29">
        <w:r>
          <w:rPr>
            <w:rStyle w:val="Hyperlink"/>
          </w:rPr>
          <w:t xml:space="preserve">[12]</w:t>
        </w:r>
      </w:hyperlink>
    </w:p>
    <w:p>
      <w:pPr>
        <w:pStyle w:val="BodyText"/>
      </w:pPr>
      <w:r>
        <w:t xml:space="preserve">Methodology: (a) synthesize primary/official sources (NIST, CISA, ENISA, FBI, EU AI Act, ISO) into an AI-aware third‑party risk model; (b) map recent incidents to concrete threat scenarios; (c) translate findings into actionable vendor assessment questions, tiering, workflow, controls, and contractual requirements.</w:t>
      </w:r>
      <w:r>
        <w:t xml:space="preserve"> </w:t>
      </w:r>
      <w:hyperlink r:id="rId29">
        <w:r>
          <w:rPr>
            <w:rStyle w:val="Hyperlink"/>
          </w:rPr>
          <w:t xml:space="preserve">[13]</w:t>
        </w:r>
      </w:hyperlink>
    </w:p>
    <w:bookmarkEnd w:id="30"/>
    <w:bookmarkStart w:id="33" w:name="how-ai-changes-third-party-risk"/>
    <w:p>
      <w:pPr>
        <w:pStyle w:val="Heading2"/>
      </w:pPr>
      <w:r>
        <w:t xml:space="preserve">How AI changes third-party risk</w:t>
      </w:r>
    </w:p>
    <w:p>
      <w:pPr>
        <w:pStyle w:val="FirstParagraph"/>
      </w:pPr>
      <w:r>
        <w:t xml:space="preserve">AI vendors increasingly function as core infrastructure because AI is embedded into workflows that previously relied on deterministic tooling. NIST’s Generative AI Profile (AI 600-1) emphasizes risk management actions clustered around governance, content provenance, pre-deployment testing, and incident disclosure—implicitly acknowledging that generative AI risks require lifecycle controls rather than “set-and-forget” procurement.</w:t>
      </w:r>
      <w:r>
        <w:t xml:space="preserve"> </w:t>
      </w:r>
      <w:hyperlink r:id="rId21">
        <w:r>
          <w:rPr>
            <w:rStyle w:val="Hyperlink"/>
          </w:rPr>
          <w:t xml:space="preserve">[14]</w:t>
        </w:r>
      </w:hyperlink>
    </w:p>
    <w:p>
      <w:pPr>
        <w:pStyle w:val="BodyText"/>
      </w:pPr>
      <w:r>
        <w:t xml:space="preserve">“Shadow AI” expands third-party exposure by bypassing procurement and security review. Even when the organization has strong vendor onboarding, individuals can connect consumer AI tools, browser extensions, or embedded AI features to corporate email and documents, creating undocumented data flows and unvetted subprocessor chains. While Shadow AI is an extension of “shadow IT,” AI makes it riskier because prompts and outputs often contain sensitive content in unstructured form and because model providers may retain or process data in ways that are hard to validate without contracts and logs.</w:t>
      </w:r>
      <w:r>
        <w:t xml:space="preserve"> </w:t>
      </w:r>
      <w:hyperlink r:id="rId22">
        <w:r>
          <w:rPr>
            <w:rStyle w:val="Hyperlink"/>
          </w:rPr>
          <w:t xml:space="preserve">[15]</w:t>
        </w:r>
      </w:hyperlink>
    </w:p>
    <w:p>
      <w:pPr>
        <w:pStyle w:val="BodyText"/>
      </w:pPr>
      <w:r>
        <w:t xml:space="preserve">AI-assisted social engineering compounds third-party trust failures. The Federal Bureau of Investigation</w:t>
      </w:r>
      <w:hyperlink r:id="rId31">
        <w:r>
          <w:rPr>
            <w:rStyle w:val="Hyperlink"/>
          </w:rPr>
          <w:t xml:space="preserve">[16]</w:t>
        </w:r>
      </w:hyperlink>
      <w:r>
        <w:t xml:space="preserve"> </w:t>
      </w:r>
      <w:r>
        <w:t xml:space="preserve">warned in May 2024 that criminals are using AI to conduct sophisticated phishing/social engineering and voice/video cloning scams, and the FBI’s IC3 later emphasized that AI-generated text can appear believable and support spear phishing and financial fraud schemes. In third-party contexts, compromise of a vendor mail account, ticketing system, or portal enables context-rich impersonation at scale.</w:t>
      </w:r>
      <w:r>
        <w:t xml:space="preserve"> </w:t>
      </w:r>
      <w:hyperlink r:id="rId32">
        <w:r>
          <w:rPr>
            <w:rStyle w:val="Hyperlink"/>
          </w:rPr>
          <w:t xml:space="preserve">[17]</w:t>
        </w:r>
      </w:hyperlink>
    </w:p>
    <w:p>
      <w:pPr>
        <w:pStyle w:val="BodyText"/>
      </w:pPr>
      <w:r>
        <w:t xml:space="preserve">Model supply chain attacks broaden what “third party” means. AI systems depend on model artifacts, training/fine-tuning pipelines, evaluation harnesses, prompt templates, and external tool connectors. NIST’s Adversarial Machine Learning taxonomy explicitly distinguishes data poisoning (tampering with training samples) and model poisoning (compromising model parameters/updates), and ties model poisoning to supply-chain-like contexts where malicious code can be added by suppliers of model technology.</w:t>
      </w:r>
      <w:r>
        <w:t xml:space="preserve"> </w:t>
      </w:r>
      <w:hyperlink r:id="rId25">
        <w:r>
          <w:rPr>
            <w:rStyle w:val="Hyperlink"/>
          </w:rPr>
          <w:t xml:space="preserve">[18]</w:t>
        </w:r>
      </w:hyperlink>
    </w:p>
    <w:bookmarkEnd w:id="33"/>
    <w:bookmarkStart w:id="42" w:name="recent-threat-scenarios-and-case-studies"/>
    <w:p>
      <w:pPr>
        <w:pStyle w:val="Heading2"/>
      </w:pPr>
      <w:r>
        <w:t xml:space="preserve">Recent threat scenarios and case studies</w:t>
      </w:r>
    </w:p>
    <w:bookmarkStart w:id="35" w:name="X38261eed369b7e62b34d3b4493a0dfd757d76ef"/>
    <w:p>
      <w:pPr>
        <w:pStyle w:val="Heading3"/>
      </w:pPr>
      <w:r>
        <w:t xml:space="preserve">Case studies that define third-party blast radius</w:t>
      </w:r>
    </w:p>
    <w:p>
      <w:pPr>
        <w:pStyle w:val="FirstParagraph"/>
      </w:pPr>
      <w:r>
        <w:t xml:space="preserve">The SolarWinds</w:t>
      </w:r>
      <w:hyperlink r:id="rId21">
        <w:r>
          <w:rPr>
            <w:rStyle w:val="Hyperlink"/>
          </w:rPr>
          <w:t xml:space="preserve">[19]</w:t>
        </w:r>
      </w:hyperlink>
      <w:r>
        <w:t xml:space="preserve"> </w:t>
      </w:r>
      <w:r>
        <w:t xml:space="preserve">incident remains the archetype of “trusted supplier, trusted update channel.” While the compromise itself predates 2024, it is still the main reference case for why vendor trust must be continuously verified and why software update integrity is a systemic risk. Primary U.S. government alerts describe active exploitation as a supply-chain intrusion vector.</w:t>
      </w:r>
      <w:r>
        <w:t xml:space="preserve"> </w:t>
      </w:r>
      <w:hyperlink r:id="rId29">
        <w:r>
          <w:rPr>
            <w:rStyle w:val="Hyperlink"/>
          </w:rPr>
          <w:t xml:space="preserve">[20]</w:t>
        </w:r>
      </w:hyperlink>
    </w:p>
    <w:p>
      <w:pPr>
        <w:pStyle w:val="BodyText"/>
      </w:pPr>
      <w:r>
        <w:t xml:space="preserve">The Kaseya</w:t>
      </w:r>
      <w:hyperlink r:id="rId28">
        <w:r>
          <w:rPr>
            <w:rStyle w:val="Hyperlink"/>
          </w:rPr>
          <w:t xml:space="preserve">[21]</w:t>
        </w:r>
      </w:hyperlink>
      <w:r>
        <w:t xml:space="preserve"> </w:t>
      </w:r>
      <w:r>
        <w:t xml:space="preserve">VSA ransomware event illustrates a different third-party pattern: an IT management vendor’s tooling can act as a propagation mechanism into managed service providers and downstream customers. Even though the event predates 2024, it remains a high-fidelity scenario for what happens when a third party with privileged integration points gets abused for mass distribution.</w:t>
      </w:r>
      <w:r>
        <w:t xml:space="preserve"> </w:t>
      </w:r>
      <w:hyperlink r:id="rId34">
        <w:r>
          <w:rPr>
            <w:rStyle w:val="Hyperlink"/>
          </w:rPr>
          <w:t xml:space="preserve">[22]</w:t>
        </w:r>
      </w:hyperlink>
    </w:p>
    <w:p>
      <w:pPr>
        <w:pStyle w:val="BodyText"/>
      </w:pPr>
      <w:r>
        <w:t xml:space="preserve">MOVEit’s impact continues to be operationally relevant in the 2024–2026 window because it appears in governmental reporting as a routinely exploited vulnerability. Progress Software</w:t>
      </w:r>
      <w:hyperlink r:id="rId34">
        <w:r>
          <w:rPr>
            <w:rStyle w:val="Hyperlink"/>
          </w:rPr>
          <w:t xml:space="preserve">[23]</w:t>
        </w:r>
      </w:hyperlink>
      <w:r>
        <w:t xml:space="preserve"> </w:t>
      </w:r>
      <w:r>
        <w:t xml:space="preserve">MOVEit Transfer’s SQL injection flaw (CVE-2023-34362) was exploited by the CL0P ransomware group, and CISA/partner advisories continued to highlight it as part of the “top routinely exploited vulnerabilities” landscape (published Nov 2024). This matters for third-party risk because managed file transfer products often sit at data exchange junctions across organizational boundaries.</w:t>
      </w:r>
      <w:r>
        <w:t xml:space="preserve"> </w:t>
      </w:r>
      <w:hyperlink r:id="rId31">
        <w:r>
          <w:rPr>
            <w:rStyle w:val="Hyperlink"/>
          </w:rPr>
          <w:t xml:space="preserve">[24]</w:t>
        </w:r>
      </w:hyperlink>
    </w:p>
    <w:bookmarkEnd w:id="35"/>
    <w:bookmarkStart w:id="38" w:name="X7f3332eb8ac55c2fde4702404755b13f49b9973"/>
    <w:p>
      <w:pPr>
        <w:pStyle w:val="Heading3"/>
      </w:pPr>
      <w:r>
        <w:t xml:space="preserve">Prompt injection incidents and exploit signals</w:t>
      </w:r>
    </w:p>
    <w:p>
      <w:pPr>
        <w:pStyle w:val="FirstParagraph"/>
      </w:pPr>
      <w:r>
        <w:t xml:space="preserve">Official vulnerability reporting has started to capture prompt injection as a vulnerability class. NIST’s National Vulnerability Database entry for CVE‑2024‑5184 describes a prompt injection vulnerability in EmailGPT that could allow a malicious user to inject prompts and take over service logic, including leaking system prompts or executing unwanted prompts. This is a concrete signal that “prompt injection” is now treated as a trackable security weakness, not only a theoretical model behavior issue.</w:t>
      </w:r>
      <w:r>
        <w:t xml:space="preserve"> </w:t>
      </w:r>
      <w:hyperlink r:id="rId36">
        <w:r>
          <w:rPr>
            <w:rStyle w:val="Hyperlink"/>
          </w:rPr>
          <w:t xml:space="preserve">[25]</w:t>
        </w:r>
      </w:hyperlink>
    </w:p>
    <w:p>
      <w:pPr>
        <w:pStyle w:val="BodyText"/>
      </w:pPr>
      <w:r>
        <w:t xml:space="preserve">A widely cited 2024 “indirect prompt injection” chain against Microsoft 365 Copilot (publicly described by the researcher who disclosed it) demonstrated how attacker-controlled content delivered via email/documents can induce the AI system to retrieve and repackage sensitive data for exfiltration. While the original disclosure is a researcher source (not a regulator bulletin), Microsoft’s own MSRC write‑up in 2025 explicitly describes the same class of attack: attacker-controlled text in emails/shared documents, hidden instructions via Unicode/formatting, and impacts like data exfiltration via clickable links or tool calls.</w:t>
      </w:r>
      <w:r>
        <w:t xml:space="preserve"> </w:t>
      </w:r>
      <w:hyperlink r:id="rId37">
        <w:r>
          <w:rPr>
            <w:rStyle w:val="Hyperlink"/>
          </w:rPr>
          <w:t xml:space="preserve">[26]</w:t>
        </w:r>
      </w:hyperlink>
    </w:p>
    <w:p>
      <w:pPr>
        <w:pStyle w:val="BodyText"/>
      </w:pPr>
      <w:r>
        <w:t xml:space="preserve">By 2025, Microsoft MSRC characterized indirect prompt injection as among the most widely used techniques in AI security vulnerabilities reported to Microsoft, and provided a defense‑in‑depth framing (prevention, detection, impact mitigation), acknowledging that deterministic detection is still challenging and that some defenses may be probabilistic. This is important for vendor risk: if your third party deploys LLM-based agents over your data, you have to assume prompt injection attempts will occur through normal business content channels.</w:t>
      </w:r>
      <w:r>
        <w:t xml:space="preserve"> </w:t>
      </w:r>
      <w:hyperlink r:id="rId22">
        <w:r>
          <w:rPr>
            <w:rStyle w:val="Hyperlink"/>
          </w:rPr>
          <w:t xml:space="preserve">[8]</w:t>
        </w:r>
      </w:hyperlink>
    </w:p>
    <w:bookmarkEnd w:id="38"/>
    <w:bookmarkStart w:id="40" w:name="X1085cde7013960ef69e4bf5969d40ed1cf39a30"/>
    <w:p>
      <w:pPr>
        <w:pStyle w:val="Heading3"/>
      </w:pPr>
      <w:r>
        <w:t xml:space="preserve">Model-hosted malware and “trusted AI infrastructure” abuse</w:t>
      </w:r>
    </w:p>
    <w:p>
      <w:pPr>
        <w:pStyle w:val="FirstParagraph"/>
      </w:pPr>
      <w:r>
        <w:t xml:space="preserve">In early 2026, Bitdefender documented an Android malware campaign that abused Hugging Face’s public infrastructure to host and distribute malicious APKs (and used frequent payload changes to evade detection). This is not a “poisoned model weights” case; it is arguably more direct: an attacker used an AI ecosystem’s trusted hosting/channel as a malware distribution layer, demonstrating a third-party trust abuse pattern similar in structure to classic supply-chain abuse.</w:t>
      </w:r>
      <w:r>
        <w:t xml:space="preserve"> </w:t>
      </w:r>
      <w:hyperlink r:id="rId26">
        <w:r>
          <w:rPr>
            <w:rStyle w:val="Hyperlink"/>
          </w:rPr>
          <w:t xml:space="preserve">[6]</w:t>
        </w:r>
      </w:hyperlink>
    </w:p>
    <w:p>
      <w:pPr>
        <w:pStyle w:val="BodyText"/>
      </w:pPr>
      <w:r>
        <w:t xml:space="preserve">Separately, industry threat research in 2024–2025 documented malicious ML artifacts hosted on model hubs, underscoring that “model supply chain” includes both model behavior manipulation and classic malware-in-the-artifact risk (e.g., deserialization-based code execution, trojanized packages). These are mainly vendor/research sources rather than government bulletins; where official sources are unavailable, the best available evidence is primary security research plus vendor platform mitigations (takedowns, safer formats, scanning).</w:t>
      </w:r>
      <w:r>
        <w:t xml:space="preserve"> </w:t>
      </w:r>
      <w:hyperlink r:id="rId39">
        <w:r>
          <w:rPr>
            <w:rStyle w:val="Hyperlink"/>
          </w:rPr>
          <w:t xml:space="preserve">[27]</w:t>
        </w:r>
      </w:hyperlink>
    </w:p>
    <w:bookmarkEnd w:id="40"/>
    <w:bookmarkStart w:id="41" w:name="X61083a7881763248c4c65731e1ef3aa300d31d4"/>
    <w:p>
      <w:pPr>
        <w:pStyle w:val="Heading3"/>
      </w:pPr>
      <w:r>
        <w:t xml:space="preserve">Visual summaries for leadership and security teams</w:t>
      </w:r>
    </w:p>
    <w:p>
      <w:pPr>
        <w:pStyle w:val="FirstParagraph"/>
      </w:pPr>
      <w:r>
        <w:t xml:space="preserve">The timeline below highlights</w:t>
      </w:r>
      <w:r>
        <w:t xml:space="preserve"> </w:t>
      </w:r>
      <w:r>
        <w:rPr>
          <w:i/>
          <w:iCs/>
        </w:rPr>
        <w:t xml:space="preserve">signal events</w:t>
      </w:r>
      <w:r>
        <w:t xml:space="preserve"> </w:t>
      </w:r>
      <w:r>
        <w:t xml:space="preserve">and guidance relevant to third‑party AI risk in the 2024–2026 period, spanning official standards, advisories, and documented exploitation patterns.</w:t>
      </w:r>
      <w:r>
        <w:t xml:space="preserve"> </w:t>
      </w:r>
      <w:hyperlink r:id="rId24">
        <w:r>
          <w:rPr>
            <w:rStyle w:val="Hyperlink"/>
          </w:rPr>
          <w:t xml:space="preserve">[28]</w:t>
        </w:r>
      </w:hyperlink>
    </w:p>
    <w:p>
      <w:pPr>
        <w:pStyle w:val="SourceCode"/>
      </w:pPr>
      <w:r>
        <w:rPr>
          <w:rStyle w:val="VerbatimChar"/>
        </w:rPr>
        <w:t xml:space="preserve">timeline</w:t>
      </w:r>
      <w:r>
        <w:br/>
      </w:r>
      <w:r>
        <w:rPr>
          <w:rStyle w:val="VerbatimChar"/>
        </w:rPr>
        <w:t xml:space="preserve">  title Third-party AI risk signals across recent years</w:t>
      </w:r>
      <w:r>
        <w:br/>
      </w:r>
      <w:r>
        <w:rPr>
          <w:rStyle w:val="VerbatimChar"/>
        </w:rPr>
        <w:t xml:space="preserve">  2024-05 : FBI warns of AI-enabled phishing and voice/video cloning scams</w:t>
      </w:r>
      <w:r>
        <w:br/>
      </w:r>
      <w:r>
        <w:rPr>
          <w:rStyle w:val="VerbatimChar"/>
        </w:rPr>
        <w:t xml:space="preserve">  2024-06 : NVD records a prompt injection vulnerability (EmailGPT, CVE-2024-5184)</w:t>
      </w:r>
      <w:r>
        <w:br/>
      </w:r>
      <w:r>
        <w:rPr>
          <w:rStyle w:val="VerbatimChar"/>
        </w:rPr>
        <w:t xml:space="preserve">  2024-10 : NIST releases SP 1326 (due diligence quick-start) for public comment</w:t>
      </w:r>
      <w:r>
        <w:br/>
      </w:r>
      <w:r>
        <w:rPr>
          <w:rStyle w:val="VerbatimChar"/>
        </w:rPr>
        <w:t xml:space="preserve">  2024-11 : Joint advisory publishes top routinely exploited vulnerabilities and highlights supply chain exposure</w:t>
      </w:r>
      <w:r>
        <w:br/>
      </w:r>
      <w:r>
        <w:rPr>
          <w:rStyle w:val="VerbatimChar"/>
        </w:rPr>
        <w:t xml:space="preserve">  2025-03 : NIST publishes Adversarial ML taxonomy (AI 100-2)</w:t>
      </w:r>
      <w:r>
        <w:br/>
      </w:r>
      <w:r>
        <w:rPr>
          <w:rStyle w:val="VerbatimChar"/>
        </w:rPr>
        <w:t xml:space="preserve">  2025-07 : Microsoft MSRC publishes defenses against indirect prompt injection</w:t>
      </w:r>
      <w:r>
        <w:br/>
      </w:r>
      <w:r>
        <w:rPr>
          <w:rStyle w:val="VerbatimChar"/>
        </w:rPr>
        <w:t xml:space="preserve">  2025-10 : ENISA Threat Landscape stresses AI-supported phishing scale and phishing dominance</w:t>
      </w:r>
      <w:r>
        <w:br/>
      </w:r>
      <w:r>
        <w:rPr>
          <w:rStyle w:val="VerbatimChar"/>
        </w:rPr>
        <w:t xml:space="preserve">  2026-01 : Bitdefender reports malware distributed via Hugging Face hosting infrastructure</w:t>
      </w:r>
      <w:r>
        <w:br/>
      </w:r>
      <w:r>
        <w:rPr>
          <w:rStyle w:val="VerbatimChar"/>
        </w:rPr>
        <w:t xml:space="preserve">  2026-02 : Microsoft documents evolving mitigations against prompt-injection-style issues</w:t>
      </w:r>
    </w:p>
    <w:p>
      <w:pPr>
        <w:pStyle w:val="FirstParagraph"/>
      </w:pPr>
      <w:r>
        <w:t xml:space="preserve">ENISA provides a useful quantitative lens for security leadership: phishing remains the dominant intrusion vector (60%), followed by vulnerability exploitation (21.3%), then botnets (9.9%), malicious applications (8%), and insider threats (0.8%). The pie chart below preserves those relative proportions using scaled values (×10) for readability.</w:t>
      </w:r>
      <w:r>
        <w:t xml:space="preserve"> </w:t>
      </w:r>
      <w:hyperlink r:id="rId23">
        <w:r>
          <w:rPr>
            <w:rStyle w:val="Hyperlink"/>
          </w:rPr>
          <w:t xml:space="preserve">[3]</w:t>
        </w:r>
      </w:hyperlink>
    </w:p>
    <w:p>
      <w:pPr>
        <w:pStyle w:val="SourceCode"/>
      </w:pPr>
      <w:r>
        <w:rPr>
          <w:rStyle w:val="VerbatimChar"/>
        </w:rPr>
        <w:t xml:space="preserve">pie title Approximate initial intrusion vectors (scaled from ENISA)</w:t>
      </w:r>
      <w:r>
        <w:br/>
      </w:r>
      <w:r>
        <w:rPr>
          <w:rStyle w:val="VerbatimChar"/>
        </w:rPr>
        <w:t xml:space="preserve">  "Phishing" : 600</w:t>
      </w:r>
      <w:r>
        <w:br/>
      </w:r>
      <w:r>
        <w:rPr>
          <w:rStyle w:val="VerbatimChar"/>
        </w:rPr>
        <w:t xml:space="preserve">  "Vulnerability exploitation" : 213</w:t>
      </w:r>
      <w:r>
        <w:br/>
      </w:r>
      <w:r>
        <w:rPr>
          <w:rStyle w:val="VerbatimChar"/>
        </w:rPr>
        <w:t xml:space="preserve">  "Botnets" : 99</w:t>
      </w:r>
      <w:r>
        <w:br/>
      </w:r>
      <w:r>
        <w:rPr>
          <w:rStyle w:val="VerbatimChar"/>
        </w:rPr>
        <w:t xml:space="preserve">  "Malicious applications" : 80</w:t>
      </w:r>
      <w:r>
        <w:br/>
      </w:r>
      <w:r>
        <w:rPr>
          <w:rStyle w:val="VerbatimChar"/>
        </w:rPr>
        <w:t xml:space="preserve">  "Insider threats" : 8</w:t>
      </w:r>
    </w:p>
    <w:bookmarkEnd w:id="41"/>
    <w:bookmarkEnd w:id="42"/>
    <w:bookmarkStart w:id="49" w:name="X52a816e8a2cf59f09495bd5a48013992d89cddf"/>
    <w:p>
      <w:pPr>
        <w:pStyle w:val="Heading2"/>
      </w:pPr>
      <w:r>
        <w:t xml:space="preserve">Vendor risk assessment and due-diligence operating model</w:t>
      </w:r>
    </w:p>
    <w:p>
      <w:pPr>
        <w:pStyle w:val="FirstParagraph"/>
      </w:pPr>
      <w:r>
        <w:t xml:space="preserve">Modern third-party AI risk management should be built as an extension of cybersecurity supply chain risk management (C‑SCRM), not a separate boutique program. NIST’s CSF 2.0 C‑SCRM quick-start guide describes the supply chain ecosystem as complex and interconnected, and frames C‑SCRM as systematic management of exposure throughout supply chains. NIST SP 800‑161 Rev.1 (upd1) further positions C‑SCRM as integrated into enterprise risk management, including risk assessments and supplier management.</w:t>
      </w:r>
      <w:r>
        <w:t xml:space="preserve"> </w:t>
      </w:r>
      <w:hyperlink r:id="rId43">
        <w:r>
          <w:rPr>
            <w:rStyle w:val="Hyperlink"/>
          </w:rPr>
          <w:t xml:space="preserve">[29]</w:t>
        </w:r>
      </w:hyperlink>
    </w:p>
    <w:p>
      <w:pPr>
        <w:pStyle w:val="BodyText"/>
      </w:pPr>
      <w:r>
        <w:t xml:space="preserve">The key adaptation for AI is that the “thing you are buying” is often not just software—it is a probabilistic decision component that can be influenced by inputs (including attacker-controlled content) and may call tools. That means vendor assessment must explicitly cover: data use and retention, model provenance and update control, integration permissions, prompt injection defenses, logging/traceability, and incident disclosure.</w:t>
      </w:r>
      <w:r>
        <w:t xml:space="preserve"> </w:t>
      </w:r>
      <w:hyperlink r:id="rId22">
        <w:r>
          <w:rPr>
            <w:rStyle w:val="Hyperlink"/>
          </w:rPr>
          <w:t xml:space="preserve">[30]</w:t>
        </w:r>
      </w:hyperlink>
    </w:p>
    <w:bookmarkStart w:id="44" w:name="vendor-risk-assessment-table"/>
    <w:p>
      <w:pPr>
        <w:pStyle w:val="Heading3"/>
      </w:pPr>
      <w:r>
        <w:t xml:space="preserve">Vendor risk assessment table</w:t>
      </w:r>
    </w:p>
    <w:p>
      <w:pPr>
        <w:pStyle w:val="FirstParagraph"/>
      </w:pPr>
      <w:r>
        <w:t xml:space="preserve">Table design goal: map each AI‑relevant risk area to</w:t>
      </w:r>
      <w:r>
        <w:t xml:space="preserve"> </w:t>
      </w:r>
      <w:r>
        <w:rPr>
          <w:b/>
          <w:bCs/>
        </w:rPr>
        <w:t xml:space="preserve">specific questions</w:t>
      </w:r>
      <w:r>
        <w:t xml:space="preserve"> </w:t>
      </w:r>
      <w:r>
        <w:t xml:space="preserve">and</w:t>
      </w:r>
      <w:r>
        <w:t xml:space="preserve"> </w:t>
      </w:r>
      <w:r>
        <w:rPr>
          <w:b/>
          <w:bCs/>
        </w:rPr>
        <w:t xml:space="preserve">objective evidence</w:t>
      </w:r>
      <w:r>
        <w:t xml:space="preserve"> </w:t>
      </w:r>
      <w:r>
        <w:t xml:space="preserve">(documents, exports, technical demos) rather than narrative assurances.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area</w:t>
            </w:r>
          </w:p>
        </w:tc>
        <w:tc>
          <w:tcPr/>
          <w:p>
            <w:pPr>
              <w:pStyle w:val="Compact"/>
            </w:pPr>
            <w:r>
              <w:t xml:space="preserve">Specific questions to ask</w:t>
            </w:r>
          </w:p>
        </w:tc>
        <w:tc>
          <w:tcPr/>
          <w:p>
            <w:pPr>
              <w:pStyle w:val="Compact"/>
            </w:pPr>
            <w:r>
              <w:t xml:space="preserve">Evidence to request (objective)</w:t>
            </w:r>
          </w:p>
        </w:tc>
      </w:tr>
      <w:tr>
        <w:tc>
          <w:tcPr/>
          <w:p>
            <w:pPr>
              <w:pStyle w:val="Compact"/>
            </w:pPr>
            <w:r>
              <w:t xml:space="preserve">Data use for training</w:t>
            </w:r>
          </w:p>
        </w:tc>
        <w:tc>
          <w:tcPr/>
          <w:p>
            <w:pPr>
              <w:pStyle w:val="Compact"/>
            </w:pPr>
            <w:r>
              <w:t xml:space="preserve">Is customer data used for model training, fine-tuning, evaluation, or safety/abuse monitoring? Default behavior? Opt-in/out?</w:t>
            </w:r>
          </w:p>
        </w:tc>
        <w:tc>
          <w:tcPr/>
          <w:p>
            <w:pPr>
              <w:pStyle w:val="Compact"/>
            </w:pPr>
            <w:r>
              <w:t xml:space="preserve">Data use policy; contract language; technical controls/tenant isolation description; retention configuration options</w:t>
            </w:r>
          </w:p>
        </w:tc>
      </w:tr>
      <w:tr>
        <w:tc>
          <w:tcPr/>
          <w:p>
            <w:pPr>
              <w:pStyle w:val="Compact"/>
            </w:pPr>
            <w:r>
              <w:t xml:space="preserve">Data retention and deletion</w:t>
            </w:r>
          </w:p>
        </w:tc>
        <w:tc>
          <w:tcPr/>
          <w:p>
            <w:pPr>
              <w:pStyle w:val="Compact"/>
            </w:pPr>
            <w:r>
              <w:t xml:space="preserve">What is retained (prompts, files, embeddings, logs)? For how long? What does deletion mean (including derivatives)?</w:t>
            </w:r>
          </w:p>
        </w:tc>
        <w:tc>
          <w:tcPr/>
          <w:p>
            <w:pPr>
              <w:pStyle w:val="Compact"/>
            </w:pPr>
            <w:r>
              <w:t xml:space="preserve">Retention schedule; deletion workflow; audit log demonstrating deletion; data flow diagram</w:t>
            </w:r>
          </w:p>
        </w:tc>
      </w:tr>
      <w:tr>
        <w:tc>
          <w:tcPr/>
          <w:p>
            <w:pPr>
              <w:pStyle w:val="Compact"/>
            </w:pPr>
            <w:r>
              <w:t xml:space="preserve">Content provenance and integrity</w:t>
            </w:r>
          </w:p>
        </w:tc>
        <w:tc>
          <w:tcPr/>
          <w:p>
            <w:pPr>
              <w:pStyle w:val="Compact"/>
            </w:pPr>
            <w:r>
              <w:t xml:space="preserve">How do you protect against tampered inputs (emails/docs/web content)? Do you support provenance signals or content labeling?</w:t>
            </w:r>
          </w:p>
        </w:tc>
        <w:tc>
          <w:tcPr/>
          <w:p>
            <w:pPr>
              <w:pStyle w:val="Compact"/>
            </w:pPr>
            <w:r>
              <w:t xml:space="preserve">Input handling spec; sanitization approach; validation checks; optional provenance tooling plan</w:t>
            </w:r>
          </w:p>
        </w:tc>
      </w:tr>
      <w:tr>
        <w:tc>
          <w:tcPr/>
          <w:p>
            <w:pPr>
              <w:pStyle w:val="Compact"/>
            </w:pPr>
            <w:r>
              <w:t xml:space="preserve">Model provenance and supply chain</w:t>
            </w:r>
          </w:p>
        </w:tc>
        <w:tc>
          <w:tcPr/>
          <w:p>
            <w:pPr>
              <w:pStyle w:val="Compact"/>
            </w:pPr>
            <w:r>
              <w:t xml:space="preserve">Where do base models/weights come from? Are model artifacts signed? How are upstream components vetted?</w:t>
            </w:r>
          </w:p>
        </w:tc>
        <w:tc>
          <w:tcPr/>
          <w:p>
            <w:pPr>
              <w:pStyle w:val="Compact"/>
            </w:pPr>
            <w:r>
              <w:t xml:space="preserve">Model inventory (by version); provenance attestations; model cards; hash/signature verification process</w:t>
            </w:r>
          </w:p>
        </w:tc>
      </w:tr>
      <w:tr>
        <w:tc>
          <w:tcPr/>
          <w:p>
            <w:pPr>
              <w:pStyle w:val="Compact"/>
            </w:pPr>
            <w:r>
              <w:t xml:space="preserve">Secure deployment and testing</w:t>
            </w:r>
          </w:p>
        </w:tc>
        <w:tc>
          <w:tcPr/>
          <w:p>
            <w:pPr>
              <w:pStyle w:val="Compact"/>
            </w:pPr>
            <w:r>
              <w:t xml:space="preserve">What pre-deployment test/eval/validation is performed (security + safety)? How often is it rerun for model updates?</w:t>
            </w:r>
          </w:p>
        </w:tc>
        <w:tc>
          <w:tcPr/>
          <w:p>
            <w:pPr>
              <w:pStyle w:val="Compact"/>
            </w:pPr>
            <w:r>
              <w:t xml:space="preserve">TEVV plan; red-team summary; change-control records; evaluation results for key failure modes</w:t>
            </w:r>
          </w:p>
        </w:tc>
      </w:tr>
      <w:tr>
        <w:tc>
          <w:tcPr/>
          <w:p>
            <w:pPr>
              <w:pStyle w:val="Compact"/>
            </w:pPr>
            <w:r>
              <w:t xml:space="preserve">Prompt injection resilience</w:t>
            </w:r>
          </w:p>
        </w:tc>
        <w:tc>
          <w:tcPr/>
          <w:p>
            <w:pPr>
              <w:pStyle w:val="Compact"/>
            </w:pPr>
            <w:r>
              <w:t xml:space="preserve">How do you prevent/limit indirect prompt injection? What happens when attacker text is in email/docs?</w:t>
            </w:r>
          </w:p>
        </w:tc>
        <w:tc>
          <w:tcPr/>
          <w:p>
            <w:pPr>
              <w:pStyle w:val="Compact"/>
            </w:pPr>
            <w:r>
              <w:t xml:space="preserve">Design patterns/guardrails overview; demo of tool‑call restrictions; known limitations; monitoring rules</w:t>
            </w:r>
          </w:p>
        </w:tc>
      </w:tr>
      <w:tr>
        <w:tc>
          <w:tcPr/>
          <w:p>
            <w:pPr>
              <w:pStyle w:val="Compact"/>
            </w:pPr>
            <w:r>
              <w:t xml:space="preserve">Connectors and tool permissions</w:t>
            </w:r>
          </w:p>
        </w:tc>
        <w:tc>
          <w:tcPr/>
          <w:p>
            <w:pPr>
              <w:pStyle w:val="Compact"/>
            </w:pPr>
            <w:r>
              <w:t xml:space="preserve">What connectors are supported? Are permissions least-privilege? Can the customer scope access to read-only or subsets?</w:t>
            </w:r>
          </w:p>
        </w:tc>
        <w:tc>
          <w:tcPr/>
          <w:p>
            <w:pPr>
              <w:pStyle w:val="Compact"/>
            </w:pPr>
            <w:r>
              <w:t xml:space="preserve">Permissions matrix per connector; OAuth scopes; service account patterns; evidence of JIT access/rotation</w:t>
            </w:r>
          </w:p>
        </w:tc>
      </w:tr>
      <w:tr>
        <w:tc>
          <w:tcPr/>
          <w:p>
            <w:pPr>
              <w:pStyle w:val="Compact"/>
            </w:pPr>
            <w:r>
              <w:t xml:space="preserve">Logging and traceability</w:t>
            </w:r>
          </w:p>
        </w:tc>
        <w:tc>
          <w:tcPr/>
          <w:p>
            <w:pPr>
              <w:pStyle w:val="Compact"/>
            </w:pPr>
            <w:r>
              <w:t xml:space="preserve">What is logged about AI actions and tool calls? Can logs be exported to SIEM? How long retained?</w:t>
            </w:r>
          </w:p>
        </w:tc>
        <w:tc>
          <w:tcPr/>
          <w:p>
            <w:pPr>
              <w:pStyle w:val="Compact"/>
            </w:pPr>
            <w:r>
              <w:t xml:space="preserve">Sample logs; schema; export endpoints; retention controls; tamper‑evidence design</w:t>
            </w:r>
          </w:p>
        </w:tc>
      </w:tr>
      <w:tr>
        <w:tc>
          <w:tcPr/>
          <w:p>
            <w:pPr>
              <w:pStyle w:val="Compact"/>
            </w:pPr>
            <w:r>
              <w:t xml:space="preserve">Incident response and disclosure</w:t>
            </w:r>
          </w:p>
        </w:tc>
        <w:tc>
          <w:tcPr/>
          <w:p>
            <w:pPr>
              <w:pStyle w:val="Compact"/>
            </w:pPr>
            <w:r>
              <w:t xml:space="preserve">What constitutes a reportable AI incident (data leak, prompt injection exploit, model compromise)? Notification timelines?</w:t>
            </w:r>
          </w:p>
        </w:tc>
        <w:tc>
          <w:tcPr/>
          <w:p>
            <w:pPr>
              <w:pStyle w:val="Compact"/>
            </w:pPr>
            <w:r>
              <w:t xml:space="preserve">IR playbook; notification SLA; customer-facing post-incident report template; escalation contacts</w:t>
            </w:r>
          </w:p>
        </w:tc>
      </w:tr>
      <w:tr>
        <w:tc>
          <w:tcPr/>
          <w:p>
            <w:pPr>
              <w:pStyle w:val="Compact"/>
            </w:pPr>
            <w:r>
              <w:t xml:space="preserve">Subprocessors and fourth parties</w:t>
            </w:r>
          </w:p>
        </w:tc>
        <w:tc>
          <w:tcPr/>
          <w:p>
            <w:pPr>
              <w:pStyle w:val="Compact"/>
            </w:pPr>
            <w:r>
              <w:t xml:space="preserve">Which subprocessors (cloud, model providers, data providers) are used? How do you flow down requirements?</w:t>
            </w:r>
          </w:p>
        </w:tc>
        <w:tc>
          <w:tcPr/>
          <w:p>
            <w:pPr>
              <w:pStyle w:val="Compact"/>
            </w:pPr>
            <w:r>
              <w:t xml:space="preserve">Subprocessor list; change notification commitment; flow-down clauses; audit rights extension</w:t>
            </w:r>
          </w:p>
        </w:tc>
      </w:tr>
      <w:tr>
        <w:tc>
          <w:tcPr/>
          <w:p>
            <w:pPr>
              <w:pStyle w:val="Compact"/>
            </w:pPr>
            <w:r>
              <w:t xml:space="preserve">Compliance and audit alignment</w:t>
            </w:r>
          </w:p>
        </w:tc>
        <w:tc>
          <w:tcPr/>
          <w:p>
            <w:pPr>
              <w:pStyle w:val="Compact"/>
            </w:pPr>
            <w:r>
              <w:t xml:space="preserve">Can you support ISO/IEC 42001-aligned governance? EU AI Act high-risk logging/traceability where applicable?</w:t>
            </w:r>
          </w:p>
        </w:tc>
        <w:tc>
          <w:tcPr/>
          <w:p>
            <w:pPr>
              <w:pStyle w:val="Compact"/>
            </w:pPr>
            <w:r>
              <w:t xml:space="preserve">Governance policy; compliance mapping; audit reports (SOC 2/ISO 27001/ISO 42001 roadmap)</w:t>
            </w:r>
          </w:p>
        </w:tc>
      </w:tr>
    </w:tbl>
    <w:p>
      <w:pPr>
        <w:pStyle w:val="BodyText"/>
      </w:pPr>
      <w:r>
        <w:t xml:space="preserve">The “evidence-first” structure above aligns with NIST’s emphasis on governance, provenance, pre-deployment testing, and incident disclosure for generative AI, and with EU AI Act expectations for logging/traceability for high-risk systems.</w:t>
      </w:r>
      <w:r>
        <w:t xml:space="preserve"> </w:t>
      </w:r>
      <w:hyperlink r:id="rId21">
        <w:r>
          <w:rPr>
            <w:rStyle w:val="Hyperlink"/>
          </w:rPr>
          <w:t xml:space="preserve">[31]</w:t>
        </w:r>
      </w:hyperlink>
    </w:p>
    <w:bookmarkEnd w:id="44"/>
    <w:bookmarkStart w:id="46" w:name="vendor-tiering-and-due-diligence-depth"/>
    <w:p>
      <w:pPr>
        <w:pStyle w:val="Heading3"/>
      </w:pPr>
      <w:r>
        <w:t xml:space="preserve">Vendor tiering and due-diligence depth</w:t>
      </w:r>
    </w:p>
    <w:p>
      <w:pPr>
        <w:pStyle w:val="FirstParagraph"/>
      </w:pPr>
      <w:r>
        <w:t xml:space="preserve">NIST’s 2024 SP 1326 framing describes due diligence as an investigative process to research and verify information about a supplier/product prior to entering an agreement, and emphasizes that due diligence is a baseline for most suppliers (with enhanced diligence for higher concern). That logic maps cleanly to an AI vendor tiering system: use</w:t>
      </w:r>
      <w:r>
        <w:t xml:space="preserve"> </w:t>
      </w:r>
      <w:r>
        <w:rPr>
          <w:b/>
          <w:bCs/>
        </w:rPr>
        <w:t xml:space="preserve">tiering to choose diligence depth</w:t>
      </w:r>
      <w:r>
        <w:t xml:space="preserve">, not to decide whether diligence happens.</w:t>
      </w:r>
      <w:r>
        <w:t xml:space="preserve"> </w:t>
      </w:r>
      <w:hyperlink r:id="rId45">
        <w:r>
          <w:rPr>
            <w:rStyle w:val="Hyperlink"/>
          </w:rPr>
          <w:t xml:space="preserve">[32]</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Vendor tier</w:t>
            </w:r>
          </w:p>
        </w:tc>
        <w:tc>
          <w:tcPr/>
          <w:p>
            <w:pPr>
              <w:pStyle w:val="Compact"/>
            </w:pPr>
            <w:r>
              <w:t xml:space="preserve">Definition and examples</w:t>
            </w:r>
          </w:p>
        </w:tc>
        <w:tc>
          <w:tcPr/>
          <w:p>
            <w:pPr>
              <w:pStyle w:val="Compact"/>
            </w:pPr>
            <w:r>
              <w:t xml:space="preserve">Minimum due diligence</w:t>
            </w:r>
          </w:p>
        </w:tc>
        <w:tc>
          <w:tcPr/>
          <w:p>
            <w:pPr>
              <w:pStyle w:val="Compact"/>
            </w:pPr>
            <w:r>
              <w:t xml:space="preserve">Enhanced due diligence triggers</w:t>
            </w:r>
          </w:p>
        </w:tc>
        <w:tc>
          <w:tcPr/>
          <w:p>
            <w:pPr>
              <w:pStyle w:val="Compact"/>
            </w:pPr>
            <w:r>
              <w:t xml:space="preserve">Monitoring cadence</w:t>
            </w:r>
          </w:p>
        </w:tc>
      </w:tr>
      <w:tr>
        <w:tc>
          <w:tcPr/>
          <w:p>
            <w:pPr>
              <w:pStyle w:val="Compact"/>
            </w:pPr>
            <w:r>
              <w:t xml:space="preserve">Tier A: AI control-plane</w:t>
            </w:r>
          </w:p>
        </w:tc>
        <w:tc>
          <w:tcPr/>
          <w:p>
            <w:pPr>
              <w:pStyle w:val="Compact"/>
            </w:pPr>
            <w:r>
              <w:t xml:space="preserve">AI can call tools / take actions; deep connectors to email, docs, identity, ticketing, code; influences access/financial actions</w:t>
            </w:r>
          </w:p>
        </w:tc>
        <w:tc>
          <w:tcPr/>
          <w:p>
            <w:pPr>
              <w:pStyle w:val="Compact"/>
            </w:pPr>
            <w:r>
              <w:t xml:space="preserve">Full security review + AI addendum; architecture review; connector permission validation; logging export requirement</w:t>
            </w:r>
          </w:p>
        </w:tc>
        <w:tc>
          <w:tcPr/>
          <w:p>
            <w:pPr>
              <w:pStyle w:val="Compact"/>
            </w:pPr>
            <w:r>
              <w:t xml:space="preserve">Sensitive data + privileged connectors + autonomous actions; external content ingestion (email/web)</w:t>
            </w:r>
          </w:p>
        </w:tc>
        <w:tc>
          <w:tcPr/>
          <w:p>
            <w:pPr>
              <w:pStyle w:val="Compact"/>
            </w:pPr>
            <w:r>
              <w:t xml:space="preserve">Continuous telemetry + quarterly reassessment</w:t>
            </w:r>
          </w:p>
        </w:tc>
      </w:tr>
      <w:tr>
        <w:tc>
          <w:tcPr/>
          <w:p>
            <w:pPr>
              <w:pStyle w:val="Compact"/>
            </w:pPr>
            <w:r>
              <w:t xml:space="preserve">Tier B: AI data processor</w:t>
            </w:r>
          </w:p>
        </w:tc>
        <w:tc>
          <w:tcPr/>
          <w:p>
            <w:pPr>
              <w:pStyle w:val="Compact"/>
            </w:pPr>
            <w:r>
              <w:t xml:space="preserve">Processes sensitive data but does not take automated actions; outputs go to humans/systems with gates</w:t>
            </w:r>
          </w:p>
        </w:tc>
        <w:tc>
          <w:tcPr/>
          <w:p>
            <w:pPr>
              <w:pStyle w:val="Compact"/>
            </w:pPr>
            <w:r>
              <w:t xml:space="preserve">Security review + AI risk questionnaire; retention/training-use contract terms; evidence package</w:t>
            </w:r>
          </w:p>
        </w:tc>
        <w:tc>
          <w:tcPr/>
          <w:p>
            <w:pPr>
              <w:pStyle w:val="Compact"/>
            </w:pPr>
            <w:r>
              <w:t xml:space="preserve">Regulated data; model updates without notice; limited logging</w:t>
            </w:r>
          </w:p>
        </w:tc>
        <w:tc>
          <w:tcPr/>
          <w:p>
            <w:pPr>
              <w:pStyle w:val="Compact"/>
            </w:pPr>
            <w:r>
              <w:t xml:space="preserve">Monthly monitoring + annual reassessment</w:t>
            </w:r>
          </w:p>
        </w:tc>
      </w:tr>
      <w:tr>
        <w:tc>
          <w:tcPr/>
          <w:p>
            <w:pPr>
              <w:pStyle w:val="Compact"/>
            </w:pPr>
            <w:r>
              <w:t xml:space="preserve">Tier C: AI productivity tooling</w:t>
            </w:r>
          </w:p>
        </w:tc>
        <w:tc>
          <w:tcPr/>
          <w:p>
            <w:pPr>
              <w:pStyle w:val="Compact"/>
            </w:pPr>
            <w:r>
              <w:t xml:space="preserve">Used by staff; limited/no direct connectors; mostly user-copy/paste flows</w:t>
            </w:r>
          </w:p>
        </w:tc>
        <w:tc>
          <w:tcPr/>
          <w:p>
            <w:pPr>
              <w:pStyle w:val="Compact"/>
            </w:pPr>
            <w:r>
              <w:t xml:space="preserve">Approved use policy; vendor baseline checks; DLP guardrails; SSO if possible</w:t>
            </w:r>
          </w:p>
        </w:tc>
        <w:tc>
          <w:tcPr/>
          <w:p>
            <w:pPr>
              <w:pStyle w:val="Compact"/>
            </w:pPr>
            <w:r>
              <w:t xml:space="preserve">Shadow AI prevalence; repeated data leakage events; weak admin controls</w:t>
            </w:r>
          </w:p>
        </w:tc>
        <w:tc>
          <w:tcPr/>
          <w:p>
            <w:pPr>
              <w:pStyle w:val="Compact"/>
            </w:pPr>
            <w:r>
              <w:t xml:space="preserve">Usage monitoring + semiannual review</w:t>
            </w:r>
          </w:p>
        </w:tc>
      </w:tr>
      <w:tr>
        <w:tc>
          <w:tcPr/>
          <w:p>
            <w:pPr>
              <w:pStyle w:val="Compact"/>
            </w:pPr>
            <w:r>
              <w:t xml:space="preserve">Tier D: Low-risk AI</w:t>
            </w:r>
          </w:p>
        </w:tc>
        <w:tc>
          <w:tcPr/>
          <w:p>
            <w:pPr>
              <w:pStyle w:val="Compact"/>
            </w:pPr>
            <w:r>
              <w:t xml:space="preserve">Public data only; no internal integrations; sandboxed experimentation</w:t>
            </w:r>
          </w:p>
        </w:tc>
        <w:tc>
          <w:tcPr/>
          <w:p>
            <w:pPr>
              <w:pStyle w:val="Compact"/>
            </w:pPr>
            <w:r>
              <w:t xml:space="preserve">Lightweight check; documented acceptable use</w:t>
            </w:r>
          </w:p>
        </w:tc>
        <w:tc>
          <w:tcPr/>
          <w:p>
            <w:pPr>
              <w:pStyle w:val="Compact"/>
            </w:pPr>
            <w:r>
              <w:t xml:space="preserve">Any move toward internal data or connectors</w:t>
            </w:r>
          </w:p>
        </w:tc>
        <w:tc>
          <w:tcPr/>
          <w:p>
            <w:pPr>
              <w:pStyle w:val="Compact"/>
            </w:pPr>
            <w:r>
              <w:t xml:space="preserve">Periodic inventory audit</w:t>
            </w:r>
          </w:p>
        </w:tc>
      </w:tr>
    </w:tbl>
    <w:p>
      <w:pPr>
        <w:pStyle w:val="BodyText"/>
      </w:pPr>
      <w:r>
        <w:t xml:space="preserve">This tiering model reflects two realities from official guidance: supply chains are interconnected and require systematic management (NIST CSF 2.0 C‑SCRM), and AI risk controls depend on integration context and lifecycle governance (NIST GenAI profile).</w:t>
      </w:r>
      <w:r>
        <w:t xml:space="preserve"> </w:t>
      </w:r>
      <w:hyperlink r:id="rId43">
        <w:r>
          <w:rPr>
            <w:rStyle w:val="Hyperlink"/>
          </w:rPr>
          <w:t xml:space="preserve">[33]</w:t>
        </w:r>
      </w:hyperlink>
    </w:p>
    <w:bookmarkEnd w:id="46"/>
    <w:bookmarkStart w:id="48" w:name="due-diligence-workflow-diagram"/>
    <w:p>
      <w:pPr>
        <w:pStyle w:val="Heading3"/>
      </w:pPr>
      <w:r>
        <w:t xml:space="preserve">Due-diligence workflow diagram</w:t>
      </w:r>
    </w:p>
    <w:p>
      <w:pPr>
        <w:pStyle w:val="FirstParagraph"/>
      </w:pPr>
      <w:r>
        <w:t xml:space="preserve">The workflow below is designed to be implementable by security + procurement + legal without assuming a specific tool stack. It is consistent with NIST’s “due diligence before agreement” posture, and it explicitly includes a technical validation step for connectors/tools where prompt injection and exfil are realistic.</w:t>
      </w:r>
      <w:r>
        <w:t xml:space="preserve"> </w:t>
      </w:r>
      <w:hyperlink r:id="rId47">
        <w:r>
          <w:rPr>
            <w:rStyle w:val="Hyperlink"/>
          </w:rPr>
          <w:t xml:space="preserve">[34]</w:t>
        </w:r>
      </w:hyperlink>
    </w:p>
    <w:p>
      <w:pPr>
        <w:pStyle w:val="SourceCode"/>
      </w:pPr>
      <w:r>
        <w:rPr>
          <w:rStyle w:val="VerbatimChar"/>
        </w:rPr>
        <w:t xml:space="preserve">flowchart TD</w:t>
      </w:r>
      <w:r>
        <w:br/>
      </w:r>
      <w:r>
        <w:rPr>
          <w:rStyle w:val="VerbatimChar"/>
        </w:rPr>
        <w:t xml:space="preserve">  A[Intake: new vendor or new AI feature] --&gt; B[AI discovery: data types, connectors, autonomy, external content ingestion]</w:t>
      </w:r>
      <w:r>
        <w:br/>
      </w:r>
      <w:r>
        <w:rPr>
          <w:rStyle w:val="VerbatimChar"/>
        </w:rPr>
        <w:t xml:space="preserve">  B --&gt; C{Tier vendor}</w:t>
      </w:r>
      <w:r>
        <w:br/>
      </w:r>
      <w:r>
        <w:rPr>
          <w:rStyle w:val="VerbatimChar"/>
        </w:rPr>
        <w:t xml:space="preserve">  C --&gt;|Tier A| D[Enhanced due diligence: evidence pack + architecture review + red-team/TEVV artifacts]</w:t>
      </w:r>
      <w:r>
        <w:br/>
      </w:r>
      <w:r>
        <w:rPr>
          <w:rStyle w:val="VerbatimChar"/>
        </w:rPr>
        <w:t xml:space="preserve">  C --&gt;|Tier B| E[Standard review + AI addendum: retention/training-use + logging + subprocessor mapping]</w:t>
      </w:r>
      <w:r>
        <w:br/>
      </w:r>
      <w:r>
        <w:rPr>
          <w:rStyle w:val="VerbatimChar"/>
        </w:rPr>
        <w:t xml:space="preserve">  C --&gt;|Tier C| F[Lightweight review: approved use + identity controls + DLP guardrails]</w:t>
      </w:r>
      <w:r>
        <w:br/>
      </w:r>
      <w:r>
        <w:rPr>
          <w:rStyle w:val="VerbatimChar"/>
        </w:rPr>
        <w:t xml:space="preserve">  D --&gt; G[Technical validation: least-privilege scopes, tool-call constraints, exfil tests]</w:t>
      </w:r>
      <w:r>
        <w:br/>
      </w:r>
      <w:r>
        <w:rPr>
          <w:rStyle w:val="VerbatimChar"/>
        </w:rPr>
        <w:t xml:space="preserve">  E --&gt; G</w:t>
      </w:r>
      <w:r>
        <w:br/>
      </w:r>
      <w:r>
        <w:rPr>
          <w:rStyle w:val="VerbatimChar"/>
        </w:rPr>
        <w:t xml:space="preserve">  F --&gt; G</w:t>
      </w:r>
      <w:r>
        <w:br/>
      </w:r>
      <w:r>
        <w:rPr>
          <w:rStyle w:val="VerbatimChar"/>
        </w:rPr>
        <w:t xml:space="preserve">  G --&gt; H[Contracting: AI clauses, audit/logs, incident SLAs, subprocessor flow-down]</w:t>
      </w:r>
      <w:r>
        <w:br/>
      </w:r>
      <w:r>
        <w:rPr>
          <w:rStyle w:val="VerbatimChar"/>
        </w:rPr>
        <w:t xml:space="preserve">  H --&gt; I[Go-live gate: monitoring hooks + kill switch + owner assigned]</w:t>
      </w:r>
      <w:r>
        <w:br/>
      </w:r>
      <w:r>
        <w:rPr>
          <w:rStyle w:val="VerbatimChar"/>
        </w:rPr>
        <w:t xml:space="preserve">  I --&gt; J[Continuous monitoring + periodic reassessment + change notifications]</w:t>
      </w:r>
    </w:p>
    <w:bookmarkEnd w:id="48"/>
    <w:bookmarkEnd w:id="49"/>
    <w:bookmarkStart w:id="55" w:name="X7c7dcb0cf2e99e468e20585bad71442bac2a2a2"/>
    <w:p>
      <w:pPr>
        <w:pStyle w:val="Heading2"/>
      </w:pPr>
      <w:r>
        <w:t xml:space="preserve">Technical and operational controls with implementation notes</w:t>
      </w:r>
    </w:p>
    <w:p>
      <w:pPr>
        <w:pStyle w:val="FirstParagraph"/>
      </w:pPr>
      <w:r>
        <w:t xml:space="preserve">This section focuses on controls that</w:t>
      </w:r>
      <w:r>
        <w:t xml:space="preserve"> </w:t>
      </w:r>
      <w:r>
        <w:rPr>
          <w:i/>
          <w:iCs/>
        </w:rPr>
        <w:t xml:space="preserve">reduce blast radius</w:t>
      </w:r>
      <w:r>
        <w:t xml:space="preserve"> </w:t>
      </w:r>
      <w:r>
        <w:t xml:space="preserve">and</w:t>
      </w:r>
      <w:r>
        <w:t xml:space="preserve"> </w:t>
      </w:r>
      <w:r>
        <w:rPr>
          <w:i/>
          <w:iCs/>
        </w:rPr>
        <w:t xml:space="preserve">raise detection probability</w:t>
      </w:r>
      <w:r>
        <w:t xml:space="preserve"> </w:t>
      </w:r>
      <w:r>
        <w:t xml:space="preserve">when a third-party AI system is compromised or manipulated.</w:t>
      </w:r>
    </w:p>
    <w:bookmarkStart w:id="50" w:name="data-minimization-at-integration-points"/>
    <w:p>
      <w:pPr>
        <w:pStyle w:val="Heading3"/>
      </w:pPr>
      <w:r>
        <w:t xml:space="preserve">Data minimization at integration points</w:t>
      </w:r>
    </w:p>
    <w:p>
      <w:pPr>
        <w:pStyle w:val="FirstParagraph"/>
      </w:pPr>
      <w:r>
        <w:t xml:space="preserve">Treat AI integrations like privileged service accounts, not like “another SaaS app.” If the AI tool does not need a data element, it should not be able to access it. This is especially important because indirect prompt injection scenarios can cause an AI system to search/summarize sensitive material the user can access and then exfiltrate it via links or tool calls.</w:t>
      </w:r>
      <w:r>
        <w:t xml:space="preserve"> </w:t>
      </w:r>
      <w:hyperlink r:id="rId22">
        <w:r>
          <w:rPr>
            <w:rStyle w:val="Hyperlink"/>
          </w:rPr>
          <w:t xml:space="preserve">[30]</w:t>
        </w:r>
      </w:hyperlink>
    </w:p>
    <w:p>
      <w:pPr>
        <w:pStyle w:val="BodyText"/>
      </w:pPr>
      <w:r>
        <w:t xml:space="preserve">Implementation notes:</w:t>
      </w:r>
      <w:r>
        <w:t xml:space="preserve"> </w:t>
      </w:r>
      <w:r>
        <w:t xml:space="preserve">-</w:t>
      </w:r>
      <w:r>
        <w:t xml:space="preserve"> </w:t>
      </w:r>
      <w:r>
        <w:rPr>
          <w:b/>
          <w:bCs/>
        </w:rPr>
        <w:t xml:space="preserve">Start with a connector permissions matrix</w:t>
      </w:r>
      <w:r>
        <w:t xml:space="preserve"> </w:t>
      </w:r>
      <w:r>
        <w:t xml:space="preserve">per vendor: endpoints, scopes, read/write, and which internal repositories are reachable.</w:t>
      </w:r>
      <w:r>
        <w:t xml:space="preserve"> </w:t>
      </w:r>
      <w:r>
        <w:t xml:space="preserve">-</w:t>
      </w:r>
      <w:r>
        <w:t xml:space="preserve"> </w:t>
      </w:r>
      <w:r>
        <w:rPr>
          <w:b/>
          <w:bCs/>
        </w:rPr>
        <w:t xml:space="preserve">Use “read-only by default”</w:t>
      </w:r>
      <w:r>
        <w:t xml:space="preserve"> </w:t>
      </w:r>
      <w:r>
        <w:t xml:space="preserve">for connectors; require explicit justification for write permissions.</w:t>
      </w:r>
      <w:r>
        <w:t xml:space="preserve"> </w:t>
      </w:r>
      <w:r>
        <w:t xml:space="preserve">-</w:t>
      </w:r>
      <w:r>
        <w:t xml:space="preserve"> </w:t>
      </w:r>
      <w:r>
        <w:rPr>
          <w:b/>
          <w:bCs/>
        </w:rPr>
        <w:t xml:space="preserve">Split identities</w:t>
      </w:r>
      <w:r>
        <w:t xml:space="preserve">: one service identity per workflow (e.g., “AI_Summarizer_ReadOnly_Documents”), not a single global AI service account.</w:t>
      </w:r>
      <w:r>
        <w:t xml:space="preserve"> </w:t>
      </w:r>
      <w:r>
        <w:t xml:space="preserve">-</w:t>
      </w:r>
      <w:r>
        <w:t xml:space="preserve"> </w:t>
      </w:r>
      <w:r>
        <w:rPr>
          <w:b/>
          <w:bCs/>
        </w:rPr>
        <w:t xml:space="preserve">Enforce field-level filtering</w:t>
      </w:r>
      <w:r>
        <w:t xml:space="preserve"> </w:t>
      </w:r>
      <w:r>
        <w:t xml:space="preserve">where available (e.g., allow metadata but not full body; allow only a specific Share/Drive folder).</w:t>
      </w:r>
      <w:r>
        <w:t xml:space="preserve"> </w:t>
      </w:r>
      <w:r>
        <w:t xml:space="preserve">These practices track NIST’s general C‑SCRM framing that supply chain security is about reducing exposure and managing risk across interconnected dependencies.</w:t>
      </w:r>
      <w:r>
        <w:t xml:space="preserve"> </w:t>
      </w:r>
      <w:hyperlink r:id="rId29">
        <w:r>
          <w:rPr>
            <w:rStyle w:val="Hyperlink"/>
          </w:rPr>
          <w:t xml:space="preserve">[35]</w:t>
        </w:r>
      </w:hyperlink>
    </w:p>
    <w:bookmarkEnd w:id="50"/>
    <w:bookmarkStart w:id="51" w:name="X023d943c96ec226773d4fb1dc7bffe20296ddb4"/>
    <w:p>
      <w:pPr>
        <w:pStyle w:val="Heading3"/>
      </w:pPr>
      <w:r>
        <w:t xml:space="preserve">Least privilege for connectors and tool invocation</w:t>
      </w:r>
    </w:p>
    <w:p>
      <w:pPr>
        <w:pStyle w:val="FirstParagraph"/>
      </w:pPr>
      <w:r>
        <w:t xml:space="preserve">Microsoft’s MSRC guidance makes the risk boundary explicit: indirect prompt injection becomes far more damaging when the LLM-based application can call tools or take actions on behalf of the user. Therefore, third-party AI risk must include a</w:t>
      </w:r>
      <w:r>
        <w:t xml:space="preserve"> </w:t>
      </w:r>
      <w:r>
        <w:rPr>
          <w:b/>
          <w:bCs/>
        </w:rPr>
        <w:t xml:space="preserve">tool-invocation privilege model</w:t>
      </w:r>
      <w:r>
        <w:t xml:space="preserve">—not only data access controls.</w:t>
      </w:r>
      <w:r>
        <w:t xml:space="preserve"> </w:t>
      </w:r>
      <w:hyperlink r:id="rId22">
        <w:r>
          <w:rPr>
            <w:rStyle w:val="Hyperlink"/>
          </w:rPr>
          <w:t xml:space="preserve">[8]</w:t>
        </w:r>
      </w:hyperlink>
    </w:p>
    <w:p>
      <w:pPr>
        <w:pStyle w:val="BodyText"/>
      </w:pPr>
      <w:r>
        <w:t xml:space="preserve">Implementation notes:</w:t>
      </w:r>
      <w:r>
        <w:t xml:space="preserve"> </w:t>
      </w:r>
      <w:r>
        <w:t xml:space="preserve">- Require vendors to document</w:t>
      </w:r>
      <w:r>
        <w:t xml:space="preserve"> </w:t>
      </w:r>
      <w:r>
        <w:rPr>
          <w:b/>
          <w:bCs/>
        </w:rPr>
        <w:t xml:space="preserve">tool-call allowlists</w:t>
      </w:r>
      <w:r>
        <w:t xml:space="preserve"> </w:t>
      </w:r>
      <w:r>
        <w:t xml:space="preserve">(what tools exist, what they can do, and how invocation is constrained).</w:t>
      </w:r>
      <w:r>
        <w:t xml:space="preserve"> </w:t>
      </w:r>
      <w:r>
        <w:t xml:space="preserve">- Prefer architectures with</w:t>
      </w:r>
      <w:r>
        <w:t xml:space="preserve"> </w:t>
      </w:r>
      <w:r>
        <w:rPr>
          <w:b/>
          <w:bCs/>
        </w:rPr>
        <w:t xml:space="preserve">“human-in-the-loop” gating</w:t>
      </w:r>
      <w:r>
        <w:t xml:space="preserve"> </w:t>
      </w:r>
      <w:r>
        <w:t xml:space="preserve">for high-impact actions (payments, identity changes, bulk export).</w:t>
      </w:r>
      <w:r>
        <w:t xml:space="preserve"> </w:t>
      </w:r>
      <w:r>
        <w:t xml:space="preserve">- Require</w:t>
      </w:r>
      <w:r>
        <w:t xml:space="preserve"> </w:t>
      </w:r>
      <w:r>
        <w:rPr>
          <w:b/>
          <w:bCs/>
        </w:rPr>
        <w:t xml:space="preserve">tamper-evident logs</w:t>
      </w:r>
      <w:r>
        <w:t xml:space="preserve"> </w:t>
      </w:r>
      <w:r>
        <w:t xml:space="preserve">of tool calls and actions (exportable to SIEM), aligned with EU AI Act high-risk logging expectations where relevant.</w:t>
      </w:r>
      <w:r>
        <w:t xml:space="preserve"> </w:t>
      </w:r>
      <w:hyperlink r:id="rId24">
        <w:r>
          <w:rPr>
            <w:rStyle w:val="Hyperlink"/>
          </w:rPr>
          <w:t xml:space="preserve">[36]</w:t>
        </w:r>
      </w:hyperlink>
    </w:p>
    <w:bookmarkEnd w:id="51"/>
    <w:bookmarkStart w:id="52" w:name="safe-serialization-and-artifact-handling"/>
    <w:p>
      <w:pPr>
        <w:pStyle w:val="Heading3"/>
      </w:pPr>
      <w:r>
        <w:t xml:space="preserve">Safe serialization and artifact handling</w:t>
      </w:r>
    </w:p>
    <w:p>
      <w:pPr>
        <w:pStyle w:val="FirstParagraph"/>
      </w:pPr>
      <w:r>
        <w:t xml:space="preserve">Model supply chain isn’t just “poisoned weights”; it can be “malicious artifacts.” This includes insecure model serialization formats and loader behavior that can execute code during deserialization. Third-party risk programs should treat model artifacts like executables: isolate, scan, provenance-check, and only then promote to production.</w:t>
      </w:r>
      <w:r>
        <w:t xml:space="preserve"> </w:t>
      </w:r>
      <w:hyperlink r:id="rId25">
        <w:r>
          <w:rPr>
            <w:rStyle w:val="Hyperlink"/>
          </w:rPr>
          <w:t xml:space="preserve">[37]</w:t>
        </w:r>
      </w:hyperlink>
    </w:p>
    <w:p>
      <w:pPr>
        <w:pStyle w:val="BodyText"/>
      </w:pPr>
      <w:r>
        <w:t xml:space="preserve">Implementation notes:</w:t>
      </w:r>
      <w:r>
        <w:t xml:space="preserve"> </w:t>
      </w:r>
      <w:r>
        <w:t xml:space="preserve">- Ban or strictly control</w:t>
      </w:r>
      <w:r>
        <w:t xml:space="preserve"> </w:t>
      </w:r>
      <w:r>
        <w:rPr>
          <w:b/>
          <w:bCs/>
        </w:rPr>
        <w:t xml:space="preserve">pickle-based model formats</w:t>
      </w:r>
      <w:r>
        <w:t xml:space="preserve"> </w:t>
      </w:r>
      <w:r>
        <w:t xml:space="preserve">in production pipelines; prefer safer tensor-only formats where feasible.</w:t>
      </w:r>
      <w:r>
        <w:t xml:space="preserve"> </w:t>
      </w:r>
      <w:r>
        <w:t xml:space="preserve">- Run model downloads and conversions in</w:t>
      </w:r>
      <w:r>
        <w:t xml:space="preserve"> </w:t>
      </w:r>
      <w:r>
        <w:rPr>
          <w:b/>
          <w:bCs/>
        </w:rPr>
        <w:t xml:space="preserve">isolated build environments</w:t>
      </w:r>
      <w:r>
        <w:t xml:space="preserve"> </w:t>
      </w:r>
      <w:r>
        <w:t xml:space="preserve">with no production credentials.</w:t>
      </w:r>
      <w:r>
        <w:t xml:space="preserve"> </w:t>
      </w:r>
      <w:r>
        <w:t xml:space="preserve">- Require</w:t>
      </w:r>
      <w:r>
        <w:t xml:space="preserve"> </w:t>
      </w:r>
      <w:r>
        <w:rPr>
          <w:b/>
          <w:bCs/>
        </w:rPr>
        <w:t xml:space="preserve">hash verification and signing</w:t>
      </w:r>
      <w:r>
        <w:t xml:space="preserve"> </w:t>
      </w:r>
      <w:r>
        <w:t xml:space="preserve">for vendor-delivered model artifacts and prompt templates.</w:t>
      </w:r>
      <w:r>
        <w:t xml:space="preserve"> </w:t>
      </w:r>
      <w:r>
        <w:t xml:space="preserve">- Inventory “non-obvious” AI artifacts too: prompt templates, system prompts, embedding/vector indexes, retrieval corpora, evaluation datasets.</w:t>
      </w:r>
      <w:r>
        <w:t xml:space="preserve"> </w:t>
      </w:r>
      <w:hyperlink r:id="rId21">
        <w:r>
          <w:rPr>
            <w:rStyle w:val="Hyperlink"/>
          </w:rPr>
          <w:t xml:space="preserve">[38]</w:t>
        </w:r>
      </w:hyperlink>
    </w:p>
    <w:bookmarkEnd w:id="52"/>
    <w:bookmarkStart w:id="53" w:name="model-provenance-and-change-control"/>
    <w:p>
      <w:pPr>
        <w:pStyle w:val="Heading3"/>
      </w:pPr>
      <w:r>
        <w:t xml:space="preserve">Model provenance and change control</w:t>
      </w:r>
    </w:p>
    <w:p>
      <w:pPr>
        <w:pStyle w:val="FirstParagraph"/>
      </w:pPr>
      <w:r>
        <w:t xml:space="preserve">NIST’s adversarial ML taxonomy explicitly ties model poisoning to supply-chain contexts, which implies that provenance and supplier controls are needed even when “you didn’t train the model.” In practice, the most actionable control is</w:t>
      </w:r>
      <w:r>
        <w:t xml:space="preserve"> </w:t>
      </w:r>
      <w:r>
        <w:rPr>
          <w:i/>
          <w:iCs/>
        </w:rPr>
        <w:t xml:space="preserve">change control</w:t>
      </w:r>
      <w:r>
        <w:t xml:space="preserve">: you must know when a model (or prompts/tools) changed, and you must have an operational way to validate that change.</w:t>
      </w:r>
      <w:r>
        <w:t xml:space="preserve"> </w:t>
      </w:r>
      <w:hyperlink r:id="rId25">
        <w:r>
          <w:rPr>
            <w:rStyle w:val="Hyperlink"/>
          </w:rPr>
          <w:t xml:space="preserve">[18]</w:t>
        </w:r>
      </w:hyperlink>
    </w:p>
    <w:p>
      <w:pPr>
        <w:pStyle w:val="BodyText"/>
      </w:pPr>
      <w:r>
        <w:t xml:space="preserve">Implementation notes:</w:t>
      </w:r>
      <w:r>
        <w:t xml:space="preserve"> </w:t>
      </w:r>
      <w:r>
        <w:t xml:space="preserve">- Require vendors to provide:</w:t>
      </w:r>
      <w:r>
        <w:t xml:space="preserve"> </w:t>
      </w:r>
      <w:r>
        <w:t xml:space="preserve">-</w:t>
      </w:r>
      <w:r>
        <w:t xml:space="preserve"> </w:t>
      </w:r>
      <w:r>
        <w:rPr>
          <w:b/>
          <w:bCs/>
        </w:rPr>
        <w:t xml:space="preserve">Model inventory</w:t>
      </w:r>
      <w:r>
        <w:t xml:space="preserve"> </w:t>
      </w:r>
      <w:r>
        <w:t xml:space="preserve">(model name/version, base model provenance, fine-tuning procedure, update frequency).</w:t>
      </w:r>
      <w:r>
        <w:t xml:space="preserve"> </w:t>
      </w:r>
      <w:r>
        <w:t xml:space="preserve">-</w:t>
      </w:r>
      <w:r>
        <w:t xml:space="preserve"> </w:t>
      </w:r>
      <w:r>
        <w:rPr>
          <w:b/>
          <w:bCs/>
        </w:rPr>
        <w:t xml:space="preserve">Release notes</w:t>
      </w:r>
      <w:r>
        <w:t xml:space="preserve"> </w:t>
      </w:r>
      <w:r>
        <w:t xml:space="preserve">for model updates that affect behavior (not just uptime).</w:t>
      </w:r>
      <w:r>
        <w:t xml:space="preserve"> </w:t>
      </w:r>
      <w:r>
        <w:t xml:space="preserve">-</w:t>
      </w:r>
      <w:r>
        <w:t xml:space="preserve"> </w:t>
      </w:r>
      <w:r>
        <w:rPr>
          <w:b/>
          <w:bCs/>
        </w:rPr>
        <w:t xml:space="preserve">Regression test packs</w:t>
      </w:r>
      <w:r>
        <w:t xml:space="preserve"> </w:t>
      </w:r>
      <w:r>
        <w:t xml:space="preserve">(including prompt injection and data exfil scenarios) that can be rerun on updates.</w:t>
      </w:r>
      <w:r>
        <w:t xml:space="preserve"> </w:t>
      </w:r>
      <w:r>
        <w:t xml:space="preserve">- Implement “holdback” deployments where feasible:</w:t>
      </w:r>
      <w:r>
        <w:t xml:space="preserve"> </w:t>
      </w:r>
      <w:r>
        <w:rPr>
          <w:b/>
          <w:bCs/>
        </w:rPr>
        <w:t xml:space="preserve">staged rollout</w:t>
      </w:r>
      <w:r>
        <w:t xml:space="preserve"> </w:t>
      </w:r>
      <w:r>
        <w:t xml:space="preserve">+ monitoring gates before full production.</w:t>
      </w:r>
      <w:r>
        <w:t xml:space="preserve"> </w:t>
      </w:r>
      <w:hyperlink r:id="rId21">
        <w:r>
          <w:rPr>
            <w:rStyle w:val="Hyperlink"/>
          </w:rPr>
          <w:t xml:space="preserve">[39]</w:t>
        </w:r>
      </w:hyperlink>
    </w:p>
    <w:bookmarkEnd w:id="53"/>
    <w:bookmarkStart w:id="54" w:name="monitoring-and-anomaly-detection"/>
    <w:p>
      <w:pPr>
        <w:pStyle w:val="Heading3"/>
      </w:pPr>
      <w:r>
        <w:t xml:space="preserve">Monitoring and anomaly detection</w:t>
      </w:r>
    </w:p>
    <w:p>
      <w:pPr>
        <w:pStyle w:val="FirstParagraph"/>
      </w:pPr>
      <w:r>
        <w:t xml:space="preserve">If AI-enabled phishing and third-party abuse is scaling, then “point-in-time vendor assessment” is not enough. ENISA’s reporting highlights rapid weaponization of vulnerabilities and the evolving phishing landscape, and it explicitly characterizes AI as a defining element in current threats—so you need continuous monitoring for AI connectors and data egress patterns.</w:t>
      </w:r>
      <w:r>
        <w:t xml:space="preserve"> </w:t>
      </w:r>
      <w:hyperlink r:id="rId23">
        <w:r>
          <w:rPr>
            <w:rStyle w:val="Hyperlink"/>
          </w:rPr>
          <w:t xml:space="preserve">[40]</w:t>
        </w:r>
      </w:hyperlink>
    </w:p>
    <w:p>
      <w:pPr>
        <w:pStyle w:val="BodyText"/>
      </w:pPr>
      <w:r>
        <w:t xml:space="preserve">Implementation notes:</w:t>
      </w:r>
      <w:r>
        <w:t xml:space="preserve"> </w:t>
      </w:r>
      <w:r>
        <w:t xml:space="preserve">- Collect and baseline:</w:t>
      </w:r>
      <w:r>
        <w:t xml:space="preserve"> </w:t>
      </w:r>
      <w:r>
        <w:t xml:space="preserve">-</w:t>
      </w:r>
      <w:r>
        <w:t xml:space="preserve"> </w:t>
      </w:r>
      <w:r>
        <w:rPr>
          <w:b/>
          <w:bCs/>
        </w:rPr>
        <w:t xml:space="preserve">Connector call rates</w:t>
      </w:r>
      <w:r>
        <w:t xml:space="preserve"> </w:t>
      </w:r>
      <w:r>
        <w:t xml:space="preserve">(per endpoint/scope), typical volumes, normal hours.</w:t>
      </w:r>
      <w:r>
        <w:t xml:space="preserve"> </w:t>
      </w:r>
      <w:r>
        <w:t xml:space="preserve">-</w:t>
      </w:r>
      <w:r>
        <w:t xml:space="preserve"> </w:t>
      </w:r>
      <w:r>
        <w:rPr>
          <w:b/>
          <w:bCs/>
        </w:rPr>
        <w:t xml:space="preserve">Data egress markers</w:t>
      </w:r>
      <w:r>
        <w:t xml:space="preserve"> </w:t>
      </w:r>
      <w:r>
        <w:t xml:space="preserve">(bulk exports, repeated retrieval of sensitive patterns, new external endpoints).</w:t>
      </w:r>
      <w:r>
        <w:t xml:space="preserve"> </w:t>
      </w:r>
      <w:r>
        <w:t xml:space="preserve">-</w:t>
      </w:r>
      <w:r>
        <w:t xml:space="preserve"> </w:t>
      </w:r>
      <w:r>
        <w:rPr>
          <w:b/>
          <w:bCs/>
        </w:rPr>
        <w:t xml:space="preserve">AI output anomalies</w:t>
      </w:r>
      <w:r>
        <w:t xml:space="preserve"> </w:t>
      </w:r>
      <w:r>
        <w:t xml:space="preserve">(sudden shifts in output structure, repeated external link generation, new tool-call sequences).</w:t>
      </w:r>
      <w:r>
        <w:t xml:space="preserve"> </w:t>
      </w:r>
      <w:r>
        <w:t xml:space="preserve">- Set explicit alerts for:</w:t>
      </w:r>
      <w:r>
        <w:t xml:space="preserve"> </w:t>
      </w:r>
      <w:r>
        <w:t xml:space="preserve">- Unexpected permission expansions.</w:t>
      </w:r>
      <w:r>
        <w:t xml:space="preserve"> </w:t>
      </w:r>
      <w:r>
        <w:t xml:space="preserve">- New or unusual tool-call activity.</w:t>
      </w:r>
      <w:r>
        <w:t xml:space="preserve"> </w:t>
      </w:r>
      <w:r>
        <w:t xml:space="preserve">- Output patterns consistent with exfil techniques (e.g., encoded links).</w:t>
      </w:r>
      <w:r>
        <w:t xml:space="preserve"> </w:t>
      </w:r>
      <w:hyperlink r:id="rId22">
        <w:r>
          <w:rPr>
            <w:rStyle w:val="Hyperlink"/>
          </w:rPr>
          <w:t xml:space="preserve">[41]</w:t>
        </w:r>
      </w:hyperlink>
    </w:p>
    <w:bookmarkEnd w:id="54"/>
    <w:bookmarkEnd w:id="55"/>
    <w:bookmarkStart w:id="58" w:name="contracting-and-culture-controls"/>
    <w:p>
      <w:pPr>
        <w:pStyle w:val="Heading2"/>
      </w:pPr>
      <w:r>
        <w:t xml:space="preserve">Contracting and culture controls</w:t>
      </w:r>
    </w:p>
    <w:bookmarkStart w:id="56" w:name="contract-clause-templates"/>
    <w:p>
      <w:pPr>
        <w:pStyle w:val="Heading3"/>
      </w:pPr>
      <w:r>
        <w:t xml:space="preserve">Contract clause templates</w:t>
      </w:r>
    </w:p>
    <w:p>
      <w:pPr>
        <w:pStyle w:val="FirstParagraph"/>
      </w:pPr>
      <w:r>
        <w:t xml:space="preserve">These templates are intentionally short and operational; they should be adapted to your organization’s legal posture and risk tolerance. The intent is to translate governance, provenance, testing, and incident disclosure into enforceable supplier requirements aligned with NIST AI 600‑1 and EU AI Act logging/traceability expectations (where applicable).</w:t>
      </w:r>
      <w:r>
        <w:t xml:space="preserve"> </w:t>
      </w:r>
      <w:hyperlink r:id="rId21">
        <w:r>
          <w:rPr>
            <w:rStyle w:val="Hyperlink"/>
          </w:rPr>
          <w:t xml:space="preserve">[31]</w:t>
        </w:r>
      </w:hyperlink>
    </w:p>
    <w:p>
      <w:pPr>
        <w:pStyle w:val="BodyText"/>
      </w:pPr>
      <w:r>
        <w:rPr>
          <w:b/>
          <w:bCs/>
        </w:rPr>
        <w:t xml:space="preserve">Customer data use for training</w:t>
      </w:r>
      <w:r>
        <w:t xml:space="preserve"> </w:t>
      </w:r>
      <w:r>
        <w:t xml:space="preserve">-</w:t>
      </w:r>
      <w:r>
        <w:t xml:space="preserve"> </w:t>
      </w:r>
      <w:r>
        <w:rPr>
          <w:i/>
          <w:iCs/>
        </w:rPr>
        <w:t xml:space="preserve">Template:</w:t>
      </w:r>
      <w:r>
        <w:t xml:space="preserve"> </w:t>
      </w:r>
      <w:r>
        <w:t xml:space="preserve">“Supplier will not use Customer Data (including prompts, files, outputs, embeddings, logs) to train, fine-tune, or improve any model except where Customer provides explicit written opt-in for a defined dataset, defined purpose, and defined time window. Supplier will maintain technical controls to enforce this commitment and will provide reasonable evidence of enforcement upon request.”</w:t>
      </w:r>
    </w:p>
    <w:p>
      <w:pPr>
        <w:pStyle w:val="BodyText"/>
      </w:pPr>
      <w:r>
        <w:rPr>
          <w:b/>
          <w:bCs/>
        </w:rPr>
        <w:t xml:space="preserve">Retention and deletion</w:t>
      </w:r>
      <w:r>
        <w:t xml:space="preserve"> </w:t>
      </w:r>
      <w:r>
        <w:t xml:space="preserve">-</w:t>
      </w:r>
      <w:r>
        <w:t xml:space="preserve"> </w:t>
      </w:r>
      <w:r>
        <w:rPr>
          <w:i/>
          <w:iCs/>
        </w:rPr>
        <w:t xml:space="preserve">Template:</w:t>
      </w:r>
      <w:r>
        <w:t xml:space="preserve"> </w:t>
      </w:r>
      <w:r>
        <w:t xml:space="preserve">“Supplier will disclose retention periods for each data category (inputs, outputs, logs, model artifacts, embeddings) and will delete Customer Data within [X] days of request or termination, except where retention is required by law. Supplier will provide deletion confirmation and maintain audit logs supporting deletion actions.”</w:t>
      </w:r>
    </w:p>
    <w:p>
      <w:pPr>
        <w:pStyle w:val="BodyText"/>
      </w:pPr>
      <w:r>
        <w:rPr>
          <w:b/>
          <w:bCs/>
        </w:rPr>
        <w:t xml:space="preserve">Subprocessor flow-down and notification</w:t>
      </w:r>
      <w:r>
        <w:t xml:space="preserve"> </w:t>
      </w:r>
      <w:r>
        <w:t xml:space="preserve">-</w:t>
      </w:r>
      <w:r>
        <w:t xml:space="preserve"> </w:t>
      </w:r>
      <w:r>
        <w:rPr>
          <w:i/>
          <w:iCs/>
        </w:rPr>
        <w:t xml:space="preserve">Template:</w:t>
      </w:r>
      <w:r>
        <w:t xml:space="preserve"> </w:t>
      </w:r>
      <w:r>
        <w:t xml:space="preserve">“Supplier will maintain an up-to-date list of subprocessors involved in providing the AI capability (including model providers, cloud hosting, annotation/fine-tuning services). Supplier will flow down obligations equivalent to this Agreement to subprocessors and will provide [30] days’ notice of new subprocessors and material changes.”</w:t>
      </w:r>
    </w:p>
    <w:p>
      <w:pPr>
        <w:pStyle w:val="BodyText"/>
      </w:pPr>
      <w:r>
        <w:rPr>
          <w:b/>
          <w:bCs/>
        </w:rPr>
        <w:t xml:space="preserve">Logging and customer access</w:t>
      </w:r>
      <w:r>
        <w:t xml:space="preserve"> </w:t>
      </w:r>
      <w:r>
        <w:t xml:space="preserve">-</w:t>
      </w:r>
      <w:r>
        <w:t xml:space="preserve"> </w:t>
      </w:r>
      <w:r>
        <w:rPr>
          <w:i/>
          <w:iCs/>
        </w:rPr>
        <w:t xml:space="preserve">Template:</w:t>
      </w:r>
      <w:r>
        <w:t xml:space="preserve"> </w:t>
      </w:r>
      <w:r>
        <w:t xml:space="preserve">“Supplier will maintain logs sufficient to support investigation of data access, tool calls, and AI-driven actions taken on Customer’s behalf. Supplier will retain such logs for at least [6] months and provide Customer reasonable access/exports for security monitoring and incident response.” (Consider aligning retention to EU AI Act minimums when high-risk AI obligations apply.)</w:t>
      </w:r>
      <w:r>
        <w:t xml:space="preserve"> </w:t>
      </w:r>
      <w:hyperlink r:id="rId24">
        <w:r>
          <w:rPr>
            <w:rStyle w:val="Hyperlink"/>
          </w:rPr>
          <w:t xml:space="preserve">[10]</w:t>
        </w:r>
      </w:hyperlink>
    </w:p>
    <w:p>
      <w:pPr>
        <w:pStyle w:val="BodyText"/>
      </w:pPr>
      <w:r>
        <w:rPr>
          <w:b/>
          <w:bCs/>
        </w:rPr>
        <w:t xml:space="preserve">Incident notification SLAs</w:t>
      </w:r>
      <w:r>
        <w:t xml:space="preserve"> </w:t>
      </w:r>
      <w:r>
        <w:t xml:space="preserve">-</w:t>
      </w:r>
      <w:r>
        <w:t xml:space="preserve"> </w:t>
      </w:r>
      <w:r>
        <w:rPr>
          <w:i/>
          <w:iCs/>
        </w:rPr>
        <w:t xml:space="preserve">Template:</w:t>
      </w:r>
      <w:r>
        <w:t xml:space="preserve"> </w:t>
      </w:r>
      <w:r>
        <w:t xml:space="preserve">“Supplier will notify Customer within [24 hours] of confirmed security incidents impacting Customer Data or Customer environments, including incidents involving AI prompt injection leading to unauthorized access/exfiltration, model compromise, or unauthorized tool invocation. Notification will include scope, indicators, affected systems, and recommended mitigations. Supplier will provide a written post-incident report within [10 business days].”</w:t>
      </w:r>
    </w:p>
    <w:p>
      <w:pPr>
        <w:pStyle w:val="BodyText"/>
      </w:pPr>
      <w:r>
        <w:rPr>
          <w:b/>
          <w:bCs/>
        </w:rPr>
        <w:t xml:space="preserve">Audit and assurance</w:t>
      </w:r>
      <w:r>
        <w:t xml:space="preserve"> </w:t>
      </w:r>
      <w:r>
        <w:t xml:space="preserve">-</w:t>
      </w:r>
      <w:r>
        <w:t xml:space="preserve"> </w:t>
      </w:r>
      <w:r>
        <w:rPr>
          <w:i/>
          <w:iCs/>
        </w:rPr>
        <w:t xml:space="preserve">Template:</w:t>
      </w:r>
      <w:r>
        <w:t xml:space="preserve"> </w:t>
      </w:r>
      <w:r>
        <w:t xml:space="preserve">“Customer may audit Supplier’s controls relevant to data handling, connector security, logging, and AI governance [annually] or upon material incident. Supplier will provide reasonable cooperation, including relevant evidence artifacts (policies, test summaries, architecture descriptions) under confidentiality.”</w:t>
      </w:r>
    </w:p>
    <w:bookmarkEnd w:id="56"/>
    <w:bookmarkStart w:id="57" w:name="employee-and-culture-controls"/>
    <w:p>
      <w:pPr>
        <w:pStyle w:val="Heading3"/>
      </w:pPr>
      <w:r>
        <w:t xml:space="preserve">Employee and culture controls</w:t>
      </w:r>
    </w:p>
    <w:p>
      <w:pPr>
        <w:pStyle w:val="FirstParagraph"/>
      </w:pPr>
      <w:r>
        <w:t xml:space="preserve">Phishing and impersonation are increasingly AI-enhanced, and multiple official sources advise that AI makes social engineering more convincing and scalable. The FBI’s May 2024 warning highlights sophisticated AI-enabled phishing and voice/video cloning, and ENISA’s threat landscape emphasizes phishing’s continued dominance and AI’s role in scaling social engineering.</w:t>
      </w:r>
      <w:r>
        <w:t xml:space="preserve"> </w:t>
      </w:r>
      <w:hyperlink r:id="rId32">
        <w:r>
          <w:rPr>
            <w:rStyle w:val="Hyperlink"/>
          </w:rPr>
          <w:t xml:space="preserve">[42]</w:t>
        </w:r>
      </w:hyperlink>
    </w:p>
    <w:p>
      <w:pPr>
        <w:pStyle w:val="BodyText"/>
      </w:pPr>
      <w:r>
        <w:t xml:space="preserve">Actionable culture controls:</w:t>
      </w:r>
      <w:r>
        <w:t xml:space="preserve"> </w:t>
      </w:r>
      <w:r>
        <w:t xml:space="preserve">-</w:t>
      </w:r>
      <w:r>
        <w:t xml:space="preserve"> </w:t>
      </w:r>
      <w:r>
        <w:rPr>
          <w:b/>
          <w:bCs/>
        </w:rPr>
        <w:t xml:space="preserve">Approved tool list + “safe use” rules</w:t>
      </w:r>
      <w:r>
        <w:t xml:space="preserve">: publish which AI tools are approved, what data is prohibited (credentials, regulated data, unreleased financials, source code unless explicitly approved), and where to ask for exceptions.</w:t>
      </w:r>
      <w:r>
        <w:t xml:space="preserve"> </w:t>
      </w:r>
      <w:r>
        <w:t xml:space="preserve">-</w:t>
      </w:r>
      <w:r>
        <w:t xml:space="preserve"> </w:t>
      </w:r>
      <w:r>
        <w:rPr>
          <w:b/>
          <w:bCs/>
        </w:rPr>
        <w:t xml:space="preserve">Verification-first training</w:t>
      </w:r>
      <w:r>
        <w:t xml:space="preserve">: replace “spot the typo” with “verify the request,” especially for vendor payment changes, credential resets, MFA prompts, and new connector authorizations.</w:t>
      </w:r>
      <w:r>
        <w:t xml:space="preserve"> </w:t>
      </w:r>
      <w:r>
        <w:t xml:space="preserve">-</w:t>
      </w:r>
      <w:r>
        <w:t xml:space="preserve"> </w:t>
      </w:r>
      <w:r>
        <w:rPr>
          <w:b/>
          <w:bCs/>
        </w:rPr>
        <w:t xml:space="preserve">Low-friction reporting</w:t>
      </w:r>
      <w:r>
        <w:t xml:space="preserve">: a one-click mechanism to report suspicious vendor communications or AI outputs, reinforced by leadership messaging that reporting is rewarded, not punished.</w:t>
      </w:r>
      <w:r>
        <w:t xml:space="preserve"> </w:t>
      </w:r>
      <w:r>
        <w:t xml:space="preserve">-</w:t>
      </w:r>
      <w:r>
        <w:t xml:space="preserve"> </w:t>
      </w:r>
      <w:r>
        <w:rPr>
          <w:b/>
          <w:bCs/>
        </w:rPr>
        <w:t xml:space="preserve">Shadow AI discovery</w:t>
      </w:r>
      <w:r>
        <w:t xml:space="preserve">: periodic audits of browser extensions, OAuth grants, and API keys to identify unsanctioned AI integrations.</w:t>
      </w:r>
      <w:r>
        <w:t xml:space="preserve"> </w:t>
      </w:r>
      <w:hyperlink r:id="rId43">
        <w:r>
          <w:rPr>
            <w:rStyle w:val="Hyperlink"/>
          </w:rPr>
          <w:t xml:space="preserve">[43]</w:t>
        </w:r>
      </w:hyperlink>
    </w:p>
    <w:bookmarkEnd w:id="57"/>
    <w:bookmarkEnd w:id="58"/>
    <w:bookmarkStart w:id="59" w:name="conclusion"/>
    <w:p>
      <w:pPr>
        <w:pStyle w:val="Heading2"/>
      </w:pPr>
      <w:r>
        <w:t xml:space="preserve">Conclusion</w:t>
      </w:r>
    </w:p>
    <w:p>
      <w:pPr>
        <w:pStyle w:val="FirstParagraph"/>
      </w:pPr>
      <w:r>
        <w:t xml:space="preserve">In the 2024–2026 landscape, third-party AI risk is defined by</w:t>
      </w:r>
      <w:r>
        <w:t xml:space="preserve"> </w:t>
      </w:r>
      <w:r>
        <w:rPr>
          <w:b/>
          <w:bCs/>
        </w:rPr>
        <w:t xml:space="preserve">(a) integration depth</w:t>
      </w:r>
      <w:r>
        <w:t xml:space="preserve">,</w:t>
      </w:r>
      <w:r>
        <w:t xml:space="preserve"> </w:t>
      </w:r>
      <w:r>
        <w:rPr>
          <w:b/>
          <w:bCs/>
        </w:rPr>
        <w:t xml:space="preserve">(b) autonomy/tool invocation</w:t>
      </w:r>
      <w:r>
        <w:t xml:space="preserve">, and</w:t>
      </w:r>
      <w:r>
        <w:t xml:space="preserve"> </w:t>
      </w:r>
      <w:r>
        <w:rPr>
          <w:b/>
          <w:bCs/>
        </w:rPr>
        <w:t xml:space="preserve">(c) supply-chain opacity</w:t>
      </w:r>
      <w:r>
        <w:t xml:space="preserve">—all amplified by AI-enabled attacker speed and realism. Official guidance now converges around practical imperatives: systematic supply chain risk management (NIST C‑SCRM), AI governance and incident disclosure (NIST AI 600‑1), explicit handling of adversarial ML and poisoning risks (NIST AI 100‑2), and traceability/logging expectations for high-risk AI (EU AI Act).</w:t>
      </w:r>
      <w:r>
        <w:t xml:space="preserve"> </w:t>
      </w:r>
      <w:hyperlink r:id="rId43">
        <w:r>
          <w:rPr>
            <w:rStyle w:val="Hyperlink"/>
          </w:rPr>
          <w:t xml:space="preserve">[44]</w:t>
        </w:r>
      </w:hyperlink>
    </w:p>
    <w:p>
      <w:pPr>
        <w:pStyle w:val="BodyText"/>
      </w:pPr>
      <w:r>
        <w:t xml:space="preserve">Organizations that operationalize vendor tiering, evidence-based due diligence, least-privilege connectors, safe artifact handling, continuous monitoring, and enforceable contract terms will reduce both the likelihood and blast radius of third-party AI incidents—while still enabling adoption.</w:t>
      </w:r>
      <w:r>
        <w:t xml:space="preserve"> </w:t>
      </w:r>
      <w:hyperlink r:id="rId47">
        <w:r>
          <w:rPr>
            <w:rStyle w:val="Hyperlink"/>
          </w:rPr>
          <w:t xml:space="preserve">[45]</w:t>
        </w:r>
      </w:hyperlink>
    </w:p>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hyperlink r:id="rId21">
        <w:r>
          <w:rPr>
            <w:rStyle w:val="Hyperlink"/>
          </w:rPr>
          <w:t xml:space="preserve">[14]</w:t>
        </w:r>
      </w:hyperlink>
      <w:r>
        <w:t xml:space="preserve"> </w:t>
      </w:r>
      <w:hyperlink r:id="rId21">
        <w:r>
          <w:rPr>
            <w:rStyle w:val="Hyperlink"/>
          </w:rPr>
          <w:t xml:space="preserve">[19]</w:t>
        </w:r>
      </w:hyperlink>
      <w:r>
        <w:t xml:space="preserve"> </w:t>
      </w:r>
      <w:hyperlink r:id="rId21">
        <w:r>
          <w:rPr>
            <w:rStyle w:val="Hyperlink"/>
          </w:rPr>
          <w:t xml:space="preserve">[31]</w:t>
        </w:r>
      </w:hyperlink>
      <w:r>
        <w:t xml:space="preserve"> </w:t>
      </w:r>
      <w:hyperlink r:id="rId21">
        <w:r>
          <w:rPr>
            <w:rStyle w:val="Hyperlink"/>
          </w:rPr>
          <w:t xml:space="preserve">[38]</w:t>
        </w:r>
      </w:hyperlink>
      <w:r>
        <w:t xml:space="preserve"> </w:t>
      </w:r>
      <w:hyperlink r:id="rId21">
        <w:r>
          <w:rPr>
            <w:rStyle w:val="Hyperlink"/>
          </w:rPr>
          <w:t xml:space="preserve">[39]</w:t>
        </w:r>
      </w:hyperlink>
      <w:r>
        <w:t xml:space="preserve"> </w:t>
      </w:r>
      <w:r>
        <w:t xml:space="preserve">nvlpubs.nist.gov</w:t>
      </w:r>
    </w:p>
    <w:p>
      <w:pPr>
        <w:pStyle w:val="BodyText"/>
      </w:pPr>
      <w:hyperlink r:id="rId21">
        <w:r>
          <w:rPr>
            <w:rStyle w:val="Hyperlink"/>
          </w:rPr>
          <w:t xml:space="preserve">https://nvlpubs.nist.gov/nistpubs/ai/NIST.AI.600-1.pdf</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[15]</w:t>
        </w:r>
      </w:hyperlink>
      <w:r>
        <w:t xml:space="preserve"> </w:t>
      </w:r>
      <w:hyperlink r:id="rId22">
        <w:r>
          <w:rPr>
            <w:rStyle w:val="Hyperlink"/>
          </w:rPr>
          <w:t xml:space="preserve">[30]</w:t>
        </w:r>
      </w:hyperlink>
      <w:r>
        <w:t xml:space="preserve"> </w:t>
      </w:r>
      <w:hyperlink r:id="rId22">
        <w:r>
          <w:rPr>
            <w:rStyle w:val="Hyperlink"/>
          </w:rPr>
          <w:t xml:space="preserve">[41]</w:t>
        </w:r>
      </w:hyperlink>
      <w:r>
        <w:t xml:space="preserve"> </w:t>
      </w:r>
      <w:r>
        <w:t xml:space="preserve">how-microsoft-defends-against-indirect-prompt-injection-attacks</w:t>
      </w:r>
    </w:p>
    <w:p>
      <w:pPr>
        <w:pStyle w:val="BodyText"/>
      </w:pPr>
      <w:hyperlink r:id="rId22">
        <w:r>
          <w:rPr>
            <w:rStyle w:val="Hyperlink"/>
          </w:rPr>
          <w:t xml:space="preserve">https://www.microsoft.com/en-us/msrc/blog/2025/07/how-microsoft-defends-against-indirect-prompt-injection-attacks</w:t>
        </w:r>
      </w:hyperlink>
    </w:p>
    <w:p>
      <w:pPr>
        <w:pStyle w:val="BodyText"/>
      </w:pPr>
      <w:hyperlink r:id="rId23">
        <w:r>
          <w:rPr>
            <w:rStyle w:val="Hyperlink"/>
          </w:rPr>
          <w:t xml:space="preserve">[3]</w:t>
        </w:r>
      </w:hyperlink>
      <w:r>
        <w:t xml:space="preserve"> </w:t>
      </w:r>
      <w:hyperlink r:id="rId23">
        <w:r>
          <w:rPr>
            <w:rStyle w:val="Hyperlink"/>
          </w:rPr>
          <w:t xml:space="preserve">[40]</w:t>
        </w:r>
      </w:hyperlink>
      <w:r>
        <w:t xml:space="preserve"> </w:t>
      </w:r>
      <w:r>
        <w:t xml:space="preserve">enisa.europa.eu</w:t>
      </w:r>
    </w:p>
    <w:p>
      <w:pPr>
        <w:pStyle w:val="BodyText"/>
      </w:pPr>
      <w:hyperlink r:id="rId23">
        <w:r>
          <w:rPr>
            <w:rStyle w:val="Hyperlink"/>
          </w:rPr>
          <w:t xml:space="preserve">https://www.enisa.europa.eu/sites/default/files/2025-11/ENISA%20Threat%20Landscape%202025.pdf</w:t>
        </w:r>
      </w:hyperlink>
    </w:p>
    <w:p>
      <w:pPr>
        <w:pStyle w:val="BodyText"/>
      </w:pPr>
      <w:hyperlink r:id="rId24">
        <w:r>
          <w:rPr>
            <w:rStyle w:val="Hyperlink"/>
          </w:rPr>
          <w:t xml:space="preserve">[4]</w:t>
        </w:r>
      </w:hyperlink>
      <w:r>
        <w:t xml:space="preserve"> </w:t>
      </w:r>
      <w:hyperlink r:id="rId24">
        <w:r>
          <w:rPr>
            <w:rStyle w:val="Hyperlink"/>
          </w:rPr>
          <w:t xml:space="preserve">[10]</w:t>
        </w:r>
      </w:hyperlink>
      <w:r>
        <w:t xml:space="preserve"> </w:t>
      </w:r>
      <w:hyperlink r:id="rId24">
        <w:r>
          <w:rPr>
            <w:rStyle w:val="Hyperlink"/>
          </w:rPr>
          <w:t xml:space="preserve">[28]</w:t>
        </w:r>
      </w:hyperlink>
      <w:r>
        <w:t xml:space="preserve"> </w:t>
      </w:r>
      <w:hyperlink r:id="rId24">
        <w:r>
          <w:rPr>
            <w:rStyle w:val="Hyperlink"/>
          </w:rPr>
          <w:t xml:space="preserve">[36]</w:t>
        </w:r>
      </w:hyperlink>
      <w:r>
        <w:t xml:space="preserve"> </w:t>
      </w:r>
      <w:r>
        <w:t xml:space="preserve">Regulation - EU - 2024/1689 - EN - EUR-Lex</w:t>
      </w:r>
    </w:p>
    <w:p>
      <w:pPr>
        <w:pStyle w:val="BodyText"/>
      </w:pPr>
      <w:hyperlink r:id="rId24">
        <w:r>
          <w:rPr>
            <w:rStyle w:val="Hyperlink"/>
          </w:rPr>
          <w:t xml:space="preserve">https://eur-lex.europa.eu/eli/reg/2024/1689/oj/eng</w:t>
        </w:r>
      </w:hyperlink>
    </w:p>
    <w:p>
      <w:pPr>
        <w:pStyle w:val="BodyText"/>
      </w:pPr>
      <w:hyperlink r:id="rId25">
        <w:r>
          <w:rPr>
            <w:rStyle w:val="Hyperlink"/>
          </w:rPr>
          <w:t xml:space="preserve">[5]</w:t>
        </w:r>
      </w:hyperlink>
      <w:r>
        <w:t xml:space="preserve"> </w:t>
      </w:r>
      <w:hyperlink r:id="rId25">
        <w:r>
          <w:rPr>
            <w:rStyle w:val="Hyperlink"/>
          </w:rPr>
          <w:t xml:space="preserve">[18]</w:t>
        </w:r>
      </w:hyperlink>
      <w:r>
        <w:t xml:space="preserve"> </w:t>
      </w:r>
      <w:hyperlink r:id="rId25">
        <w:r>
          <w:rPr>
            <w:rStyle w:val="Hyperlink"/>
          </w:rPr>
          <w:t xml:space="preserve">[37]</w:t>
        </w:r>
      </w:hyperlink>
      <w:r>
        <w:t xml:space="preserve"> </w:t>
      </w:r>
      <w:r>
        <w:t xml:space="preserve">nvlpubs.nist.gov</w:t>
      </w:r>
    </w:p>
    <w:p>
      <w:pPr>
        <w:pStyle w:val="BodyText"/>
      </w:pPr>
      <w:hyperlink r:id="rId25">
        <w:r>
          <w:rPr>
            <w:rStyle w:val="Hyperlink"/>
          </w:rPr>
          <w:t xml:space="preserve">https://nvlpubs.nist.gov/nistpubs/ai/NIST.AI.100-2e2025.pdf</w:t>
        </w:r>
      </w:hyperlink>
    </w:p>
    <w:p>
      <w:pPr>
        <w:pStyle w:val="BodyText"/>
      </w:pPr>
      <w:hyperlink r:id="rId26">
        <w:r>
          <w:rPr>
            <w:rStyle w:val="Hyperlink"/>
          </w:rPr>
          <w:t xml:space="preserve">[6]</w:t>
        </w:r>
      </w:hyperlink>
      <w:r>
        <w:t xml:space="preserve"> </w:t>
      </w:r>
      <w:r>
        <w:t xml:space="preserve">https://www.bitdefender.com/en-us/blog/labs/android-trojan-campaign-hugging-face-hosting-rat-payload</w:t>
      </w:r>
    </w:p>
    <w:p>
      <w:pPr>
        <w:pStyle w:val="BodyText"/>
      </w:pPr>
      <w:hyperlink r:id="rId26">
        <w:r>
          <w:rPr>
            <w:rStyle w:val="Hyperlink"/>
          </w:rPr>
          <w:t xml:space="preserve">https://www.bitdefender.com/en-us/blog/labs/android-trojan-campaign-hugging-face-hosting-rat-payload</w:t>
        </w:r>
      </w:hyperlink>
    </w:p>
    <w:p>
      <w:pPr>
        <w:pStyle w:val="BodyText"/>
      </w:pPr>
      <w:hyperlink r:id="rId28">
        <w:r>
          <w:rPr>
            <w:rStyle w:val="Hyperlink"/>
          </w:rPr>
          <w:t xml:space="preserve">[11]</w:t>
        </w:r>
      </w:hyperlink>
      <w:r>
        <w:t xml:space="preserve"> </w:t>
      </w:r>
      <w:hyperlink r:id="rId28">
        <w:r>
          <w:rPr>
            <w:rStyle w:val="Hyperlink"/>
          </w:rPr>
          <w:t xml:space="preserve">[21]</w:t>
        </w:r>
      </w:hyperlink>
      <w:r>
        <w:t xml:space="preserve"> </w:t>
      </w:r>
      <w:r>
        <w:t xml:space="preserve">https://www.cisa.gov/news-events/cybersecurity-advisories/aa24-317a</w:t>
      </w:r>
    </w:p>
    <w:p>
      <w:pPr>
        <w:pStyle w:val="BodyText"/>
      </w:pPr>
      <w:hyperlink r:id="rId28">
        <w:r>
          <w:rPr>
            <w:rStyle w:val="Hyperlink"/>
          </w:rPr>
          <w:t xml:space="preserve">https://www.cisa.gov/news-events/cybersecurity-advisories/aa24-317a</w:t>
        </w:r>
      </w:hyperlink>
    </w:p>
    <w:p>
      <w:pPr>
        <w:pStyle w:val="BodyText"/>
      </w:pPr>
      <w:hyperlink r:id="rId29">
        <w:r>
          <w:rPr>
            <w:rStyle w:val="Hyperlink"/>
          </w:rPr>
          <w:t xml:space="preserve">[12]</w:t>
        </w:r>
      </w:hyperlink>
      <w:r>
        <w:t xml:space="preserve"> </w:t>
      </w:r>
      <w:hyperlink r:id="rId29">
        <w:r>
          <w:rPr>
            <w:rStyle w:val="Hyperlink"/>
          </w:rPr>
          <w:t xml:space="preserve">[13]</w:t>
        </w:r>
      </w:hyperlink>
      <w:r>
        <w:t xml:space="preserve"> </w:t>
      </w:r>
      <w:hyperlink r:id="rId29">
        <w:r>
          <w:rPr>
            <w:rStyle w:val="Hyperlink"/>
          </w:rPr>
          <w:t xml:space="preserve">[20]</w:t>
        </w:r>
      </w:hyperlink>
      <w:r>
        <w:t xml:space="preserve"> </w:t>
      </w:r>
      <w:hyperlink r:id="rId29">
        <w:r>
          <w:rPr>
            <w:rStyle w:val="Hyperlink"/>
          </w:rPr>
          <w:t xml:space="preserve">[35]</w:t>
        </w:r>
      </w:hyperlink>
      <w:r>
        <w:t xml:space="preserve"> </w:t>
      </w:r>
      <w:r>
        <w:t xml:space="preserve">https://csrc.nist.gov/pubs/sp/800/161/r1/upd1/final</w:t>
      </w:r>
    </w:p>
    <w:p>
      <w:pPr>
        <w:pStyle w:val="BodyText"/>
      </w:pPr>
      <w:hyperlink r:id="rId29">
        <w:r>
          <w:rPr>
            <w:rStyle w:val="Hyperlink"/>
          </w:rPr>
          <w:t xml:space="preserve">https://csrc.nist.gov/pubs/sp/800/161/r1/upd1/final</w:t>
        </w:r>
      </w:hyperlink>
    </w:p>
    <w:p>
      <w:pPr>
        <w:pStyle w:val="BodyText"/>
      </w:pPr>
      <w:hyperlink r:id="rId31">
        <w:r>
          <w:rPr>
            <w:rStyle w:val="Hyperlink"/>
          </w:rPr>
          <w:t xml:space="preserve">[16]</w:t>
        </w:r>
      </w:hyperlink>
      <w:r>
        <w:t xml:space="preserve"> </w:t>
      </w:r>
      <w:hyperlink r:id="rId31">
        <w:r>
          <w:rPr>
            <w:rStyle w:val="Hyperlink"/>
          </w:rPr>
          <w:t xml:space="preserve">[24]</w:t>
        </w:r>
      </w:hyperlink>
      <w:r>
        <w:t xml:space="preserve"> </w:t>
      </w:r>
      <w:r>
        <w:t xml:space="preserve">https://www.cisa.gov/news-events/cybersecurity-advisories/aa23-158a</w:t>
      </w:r>
    </w:p>
    <w:p>
      <w:pPr>
        <w:pStyle w:val="BodyText"/>
      </w:pPr>
      <w:hyperlink r:id="rId31">
        <w:r>
          <w:rPr>
            <w:rStyle w:val="Hyperlink"/>
          </w:rPr>
          <w:t xml:space="preserve">https://www.cisa.gov/news-events/cybersecurity-advisories/aa23-158a</w:t>
        </w:r>
      </w:hyperlink>
    </w:p>
    <w:p>
      <w:pPr>
        <w:pStyle w:val="BodyText"/>
      </w:pPr>
      <w:hyperlink r:id="rId32">
        <w:r>
          <w:rPr>
            <w:rStyle w:val="Hyperlink"/>
          </w:rPr>
          <w:t xml:space="preserve">[17]</w:t>
        </w:r>
      </w:hyperlink>
      <w:r>
        <w:t xml:space="preserve"> </w:t>
      </w:r>
      <w:hyperlink r:id="rId32">
        <w:r>
          <w:rPr>
            <w:rStyle w:val="Hyperlink"/>
          </w:rPr>
          <w:t xml:space="preserve">[42]</w:t>
        </w:r>
      </w:hyperlink>
      <w:r>
        <w:t xml:space="preserve"> </w:t>
      </w:r>
      <w:r>
        <w:t xml:space="preserve">FBI Warns of Increasing Threat of Cyber Criminals Utilizing ...</w:t>
      </w:r>
    </w:p>
    <w:p>
      <w:pPr>
        <w:pStyle w:val="BodyText"/>
      </w:pPr>
      <w:hyperlink r:id="rId32">
        <w:r>
          <w:rPr>
            <w:rStyle w:val="Hyperlink"/>
          </w:rPr>
          <w:t xml:space="preserve">https://www.fbi.gov/contact-us/field-offices/sanfrancisco/news/fbi-warns-of-increasing-threat-of-cyber-criminals-utilizing-artificial-intelligence?utm_source=chatgpt.com</w:t>
        </w:r>
      </w:hyperlink>
    </w:p>
    <w:p>
      <w:pPr>
        <w:pStyle w:val="BodyText"/>
      </w:pPr>
      <w:hyperlink r:id="rId34">
        <w:r>
          <w:rPr>
            <w:rStyle w:val="Hyperlink"/>
          </w:rPr>
          <w:t xml:space="preserve">[22]</w:t>
        </w:r>
      </w:hyperlink>
      <w:r>
        <w:t xml:space="preserve"> </w:t>
      </w:r>
      <w:hyperlink r:id="rId34">
        <w:r>
          <w:rPr>
            <w:rStyle w:val="Hyperlink"/>
          </w:rPr>
          <w:t xml:space="preserve">[23]</w:t>
        </w:r>
      </w:hyperlink>
      <w:r>
        <w:t xml:space="preserve"> </w:t>
      </w:r>
      <w:r>
        <w:t xml:space="preserve">https://www.cisa.gov/news-events/alerts/2021/07/02/kaseya-vsa-supply-chain-ransomware-attack</w:t>
      </w:r>
    </w:p>
    <w:p>
      <w:pPr>
        <w:pStyle w:val="BodyText"/>
      </w:pPr>
      <w:hyperlink r:id="rId34">
        <w:r>
          <w:rPr>
            <w:rStyle w:val="Hyperlink"/>
          </w:rPr>
          <w:t xml:space="preserve">https://www.cisa.gov/news-events/alerts/2021/07/02/kaseya-vsa-supply-chain-ransomware-attack</w:t>
        </w:r>
      </w:hyperlink>
    </w:p>
    <w:p>
      <w:pPr>
        <w:pStyle w:val="BodyText"/>
      </w:pPr>
      <w:hyperlink r:id="rId36">
        <w:r>
          <w:rPr>
            <w:rStyle w:val="Hyperlink"/>
          </w:rPr>
          <w:t xml:space="preserve">[25]</w:t>
        </w:r>
      </w:hyperlink>
      <w:r>
        <w:t xml:space="preserve"> </w:t>
      </w:r>
      <w:r>
        <w:t xml:space="preserve">https://nvd.nist.gov/vuln/detail/cve-2024-5184</w:t>
      </w:r>
    </w:p>
    <w:p>
      <w:pPr>
        <w:pStyle w:val="BodyText"/>
      </w:pPr>
      <w:hyperlink r:id="rId36">
        <w:r>
          <w:rPr>
            <w:rStyle w:val="Hyperlink"/>
          </w:rPr>
          <w:t xml:space="preserve">https://nvd.nist.gov/vuln/detail/cve-2024-5184</w:t>
        </w:r>
      </w:hyperlink>
    </w:p>
    <w:p>
      <w:pPr>
        <w:pStyle w:val="BodyText"/>
      </w:pPr>
      <w:hyperlink r:id="rId37">
        <w:r>
          <w:rPr>
            <w:rStyle w:val="Hyperlink"/>
          </w:rPr>
          <w:t xml:space="preserve">[26]</w:t>
        </w:r>
      </w:hyperlink>
      <w:r>
        <w:t xml:space="preserve"> </w:t>
      </w:r>
      <w:r>
        <w:t xml:space="preserve">https://embracethered.com/blog/posts/2024/m365-copilot-prompt-injection-tool-invocation-and-data-exfil-using-ascii-smuggling/</w:t>
      </w:r>
    </w:p>
    <w:p>
      <w:pPr>
        <w:pStyle w:val="BodyText"/>
      </w:pPr>
      <w:hyperlink r:id="rId37">
        <w:r>
          <w:rPr>
            <w:rStyle w:val="Hyperlink"/>
          </w:rPr>
          <w:t xml:space="preserve">https://embracethered.com/blog/posts/2024/m365-copilot-prompt-injection-tool-invocation-and-data-exfil-using-ascii-smuggling/</w:t>
        </w:r>
      </w:hyperlink>
    </w:p>
    <w:p>
      <w:pPr>
        <w:pStyle w:val="BodyText"/>
      </w:pPr>
      <w:hyperlink r:id="rId39">
        <w:r>
          <w:rPr>
            <w:rStyle w:val="Hyperlink"/>
          </w:rPr>
          <w:t xml:space="preserve">[27]</w:t>
        </w:r>
      </w:hyperlink>
      <w:r>
        <w:t xml:space="preserve"> </w:t>
      </w:r>
      <w:r>
        <w:t xml:space="preserve">https://www.reversinglabs.com/blog/rl-identifies-malware-ml-model-hosted-on-hugging-face</w:t>
      </w:r>
    </w:p>
    <w:p>
      <w:pPr>
        <w:pStyle w:val="BodyText"/>
      </w:pPr>
      <w:hyperlink r:id="rId39">
        <w:r>
          <w:rPr>
            <w:rStyle w:val="Hyperlink"/>
          </w:rPr>
          <w:t xml:space="preserve">https://www.reversinglabs.com/blog/rl-identifies-malware-ml-model-hosted-on-hugging-face</w:t>
        </w:r>
      </w:hyperlink>
    </w:p>
    <w:p>
      <w:pPr>
        <w:pStyle w:val="BodyText"/>
      </w:pPr>
      <w:hyperlink r:id="rId43">
        <w:r>
          <w:rPr>
            <w:rStyle w:val="Hyperlink"/>
          </w:rPr>
          <w:t xml:space="preserve">[29]</w:t>
        </w:r>
      </w:hyperlink>
      <w:r>
        <w:t xml:space="preserve"> </w:t>
      </w:r>
      <w:hyperlink r:id="rId43">
        <w:r>
          <w:rPr>
            <w:rStyle w:val="Hyperlink"/>
          </w:rPr>
          <w:t xml:space="preserve">[33]</w:t>
        </w:r>
      </w:hyperlink>
      <w:r>
        <w:t xml:space="preserve"> </w:t>
      </w:r>
      <w:hyperlink r:id="rId43">
        <w:r>
          <w:rPr>
            <w:rStyle w:val="Hyperlink"/>
          </w:rPr>
          <w:t xml:space="preserve">[43]</w:t>
        </w:r>
      </w:hyperlink>
      <w:r>
        <w:t xml:space="preserve"> </w:t>
      </w:r>
      <w:hyperlink r:id="rId43">
        <w:r>
          <w:rPr>
            <w:rStyle w:val="Hyperlink"/>
          </w:rPr>
          <w:t xml:space="preserve">[44]</w:t>
        </w:r>
      </w:hyperlink>
      <w:r>
        <w:t xml:space="preserve"> </w:t>
      </w:r>
      <w:r>
        <w:t xml:space="preserve">nvlpubs.nist.gov</w:t>
      </w:r>
    </w:p>
    <w:p>
      <w:pPr>
        <w:pStyle w:val="BodyText"/>
      </w:pPr>
      <w:hyperlink r:id="rId43">
        <w:r>
          <w:rPr>
            <w:rStyle w:val="Hyperlink"/>
          </w:rPr>
          <w:t xml:space="preserve">https://nvlpubs.nist.gov/nistpubs/SpecialPublications/NIST.SP.1305.pdf</w:t>
        </w:r>
      </w:hyperlink>
    </w:p>
    <w:p>
      <w:pPr>
        <w:pStyle w:val="BodyText"/>
      </w:pPr>
      <w:hyperlink r:id="rId45">
        <w:r>
          <w:rPr>
            <w:rStyle w:val="Hyperlink"/>
          </w:rPr>
          <w:t xml:space="preserve">[32]</w:t>
        </w:r>
      </w:hyperlink>
      <w:r>
        <w:t xml:space="preserve"> </w:t>
      </w:r>
      <w:r>
        <w:t xml:space="preserve">Due Diligence Assessment Quick-Start Guide</w:t>
      </w:r>
    </w:p>
    <w:p>
      <w:pPr>
        <w:pStyle w:val="BodyText"/>
      </w:pPr>
      <w:hyperlink r:id="rId45">
        <w:r>
          <w:rPr>
            <w:rStyle w:val="Hyperlink"/>
          </w:rPr>
          <w:t xml:space="preserve">https://nvlpubs.nist.gov/nistpubs/SpecialPublications/NIST.SP.1326.ipd.pdf?utm_source=chatgpt.com</w:t>
        </w:r>
      </w:hyperlink>
    </w:p>
    <w:p>
      <w:pPr>
        <w:pStyle w:val="BodyText"/>
      </w:pPr>
      <w:hyperlink r:id="rId47">
        <w:r>
          <w:rPr>
            <w:rStyle w:val="Hyperlink"/>
          </w:rPr>
          <w:t xml:space="preserve">[34]</w:t>
        </w:r>
      </w:hyperlink>
      <w:r>
        <w:t xml:space="preserve"> </w:t>
      </w:r>
      <w:hyperlink r:id="rId47">
        <w:r>
          <w:rPr>
            <w:rStyle w:val="Hyperlink"/>
          </w:rPr>
          <w:t xml:space="preserve">[45]</w:t>
        </w:r>
      </w:hyperlink>
      <w:r>
        <w:t xml:space="preserve"> </w:t>
      </w:r>
      <w:r>
        <w:t xml:space="preserve">NIST Releases the C-SCRM Due Diligence Assessment ...</w:t>
      </w:r>
    </w:p>
    <w:p>
      <w:pPr>
        <w:pStyle w:val="BodyText"/>
      </w:pPr>
      <w:hyperlink r:id="rId47">
        <w:r>
          <w:rPr>
            <w:rStyle w:val="Hyperlink"/>
          </w:rPr>
          <w:t xml:space="preserve">https://www.nist.gov/news-events/news/2024/10/nist-releases-c-scrm-due-diligence-assessment-quick-start-guide-public?utm_source=chatgpt.com</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csrc.nist.gov/pubs/sp/800/161/r1/upd1/final" TargetMode="External" /><Relationship Type="http://schemas.openxmlformats.org/officeDocument/2006/relationships/hyperlink" Id="rId37" Target="https://embracethered.com/blog/posts/2024/m365-copilot-prompt-injection-tool-invocation-and-data-exfil-using-ascii-smuggling/" TargetMode="External" /><Relationship Type="http://schemas.openxmlformats.org/officeDocument/2006/relationships/hyperlink" Id="rId24" Target="https://eur-lex.europa.eu/eli/reg/2024/1689/oj/eng" TargetMode="External" /><Relationship Type="http://schemas.openxmlformats.org/officeDocument/2006/relationships/hyperlink" Id="rId36" Target="https://nvd.nist.gov/vuln/detail/cve-2024-5184" TargetMode="External" /><Relationship Type="http://schemas.openxmlformats.org/officeDocument/2006/relationships/hyperlink" Id="rId43" Target="https://nvlpubs.nist.gov/nistpubs/SpecialPublications/NIST.SP.1305.pdf" TargetMode="External" /><Relationship Type="http://schemas.openxmlformats.org/officeDocument/2006/relationships/hyperlink" Id="rId45" Target="https://nvlpubs.nist.gov/nistpubs/SpecialPublications/NIST.SP.1326.ipd.pdf?utm_source=chatgpt.com" TargetMode="External" /><Relationship Type="http://schemas.openxmlformats.org/officeDocument/2006/relationships/hyperlink" Id="rId25" Target="https://nvlpubs.nist.gov/nistpubs/ai/NIST.AI.100-2e2025.pdf" TargetMode="External" /><Relationship Type="http://schemas.openxmlformats.org/officeDocument/2006/relationships/hyperlink" Id="rId21" Target="https://nvlpubs.nist.gov/nistpubs/ai/NIST.AI.600-1.pdf" TargetMode="External" /><Relationship Type="http://schemas.openxmlformats.org/officeDocument/2006/relationships/hyperlink" Id="rId26" Target="https://www.bitdefender.com/en-us/blog/labs/android-trojan-campaign-hugging-face-hosting-rat-payload" TargetMode="External" /><Relationship Type="http://schemas.openxmlformats.org/officeDocument/2006/relationships/hyperlink" Id="rId34" Target="https://www.cisa.gov/news-events/alerts/2021/07/02/kaseya-vsa-supply-chain-ransomware-attack" TargetMode="External" /><Relationship Type="http://schemas.openxmlformats.org/officeDocument/2006/relationships/hyperlink" Id="rId31" Target="https://www.cisa.gov/news-events/cybersecurity-advisories/aa23-158a" TargetMode="External" /><Relationship Type="http://schemas.openxmlformats.org/officeDocument/2006/relationships/hyperlink" Id="rId28" Target="https://www.cisa.gov/news-events/cybersecurity-advisories/aa24-317a" TargetMode="External" /><Relationship Type="http://schemas.openxmlformats.org/officeDocument/2006/relationships/hyperlink" Id="rId23" Target="https://www.enisa.europa.eu/sites/default/files/2025-11/ENISA%20Threat%20Landscape%202025.pdf" TargetMode="External" /><Relationship Type="http://schemas.openxmlformats.org/officeDocument/2006/relationships/hyperlink" Id="rId32" Target="https://www.fbi.gov/contact-us/field-offices/sanfrancisco/news/fbi-warns-of-increasing-threat-of-cyber-criminals-utilizing-artificial-intelligence?utm_source=chatgpt.com" TargetMode="External" /><Relationship Type="http://schemas.openxmlformats.org/officeDocument/2006/relationships/hyperlink" Id="rId22" Target="https://www.microsoft.com/en-us/msrc/blog/2025/07/how-microsoft-defends-against-indirect-prompt-injection-attacks" TargetMode="External" /><Relationship Type="http://schemas.openxmlformats.org/officeDocument/2006/relationships/hyperlink" Id="rId47" Target="https://www.nist.gov/news-events/news/2024/10/nist-releases-c-scrm-due-diligence-assessment-quick-start-guide-public?utm_source=chatgpt.com" TargetMode="External" /><Relationship Type="http://schemas.openxmlformats.org/officeDocument/2006/relationships/hyperlink" Id="rId39" Target="https://www.reversinglabs.com/blog/rl-identifies-malware-ml-model-hosted-on-hugging-face" TargetMode="External" /></Relationships>
</file>

<file path=word/_rels/footnotes.xml.rels><?xml version="1.0" encoding="UTF-8"?><Relationships xmlns="http://schemas.openxmlformats.org/package/2006/relationships"><Relationship Type="http://schemas.openxmlformats.org/officeDocument/2006/relationships/hyperlink" Id="rId29" Target="https://csrc.nist.gov/pubs/sp/800/161/r1/upd1/final" TargetMode="External" /><Relationship Type="http://schemas.openxmlformats.org/officeDocument/2006/relationships/hyperlink" Id="rId37" Target="https://embracethered.com/blog/posts/2024/m365-copilot-prompt-injection-tool-invocation-and-data-exfil-using-ascii-smuggling/" TargetMode="External" /><Relationship Type="http://schemas.openxmlformats.org/officeDocument/2006/relationships/hyperlink" Id="rId24" Target="https://eur-lex.europa.eu/eli/reg/2024/1689/oj/eng" TargetMode="External" /><Relationship Type="http://schemas.openxmlformats.org/officeDocument/2006/relationships/hyperlink" Id="rId36" Target="https://nvd.nist.gov/vuln/detail/cve-2024-5184" TargetMode="External" /><Relationship Type="http://schemas.openxmlformats.org/officeDocument/2006/relationships/hyperlink" Id="rId43" Target="https://nvlpubs.nist.gov/nistpubs/SpecialPublications/NIST.SP.1305.pdf" TargetMode="External" /><Relationship Type="http://schemas.openxmlformats.org/officeDocument/2006/relationships/hyperlink" Id="rId45" Target="https://nvlpubs.nist.gov/nistpubs/SpecialPublications/NIST.SP.1326.ipd.pdf?utm_source=chatgpt.com" TargetMode="External" /><Relationship Type="http://schemas.openxmlformats.org/officeDocument/2006/relationships/hyperlink" Id="rId25" Target="https://nvlpubs.nist.gov/nistpubs/ai/NIST.AI.100-2e2025.pdf" TargetMode="External" /><Relationship Type="http://schemas.openxmlformats.org/officeDocument/2006/relationships/hyperlink" Id="rId21" Target="https://nvlpubs.nist.gov/nistpubs/ai/NIST.AI.600-1.pdf" TargetMode="External" /><Relationship Type="http://schemas.openxmlformats.org/officeDocument/2006/relationships/hyperlink" Id="rId26" Target="https://www.bitdefender.com/en-us/blog/labs/android-trojan-campaign-hugging-face-hosting-rat-payload" TargetMode="External" /><Relationship Type="http://schemas.openxmlformats.org/officeDocument/2006/relationships/hyperlink" Id="rId34" Target="https://www.cisa.gov/news-events/alerts/2021/07/02/kaseya-vsa-supply-chain-ransomware-attack" TargetMode="External" /><Relationship Type="http://schemas.openxmlformats.org/officeDocument/2006/relationships/hyperlink" Id="rId31" Target="https://www.cisa.gov/news-events/cybersecurity-advisories/aa23-158a" TargetMode="External" /><Relationship Type="http://schemas.openxmlformats.org/officeDocument/2006/relationships/hyperlink" Id="rId28" Target="https://www.cisa.gov/news-events/cybersecurity-advisories/aa24-317a" TargetMode="External" /><Relationship Type="http://schemas.openxmlformats.org/officeDocument/2006/relationships/hyperlink" Id="rId23" Target="https://www.enisa.europa.eu/sites/default/files/2025-11/ENISA%20Threat%20Landscape%202025.pdf" TargetMode="External" /><Relationship Type="http://schemas.openxmlformats.org/officeDocument/2006/relationships/hyperlink" Id="rId32" Target="https://www.fbi.gov/contact-us/field-offices/sanfrancisco/news/fbi-warns-of-increasing-threat-of-cyber-criminals-utilizing-artificial-intelligence?utm_source=chatgpt.com" TargetMode="External" /><Relationship Type="http://schemas.openxmlformats.org/officeDocument/2006/relationships/hyperlink" Id="rId22" Target="https://www.microsoft.com/en-us/msrc/blog/2025/07/how-microsoft-defends-against-indirect-prompt-injection-attacks" TargetMode="External" /><Relationship Type="http://schemas.openxmlformats.org/officeDocument/2006/relationships/hyperlink" Id="rId47" Target="https://www.nist.gov/news-events/news/2024/10/nist-releases-c-scrm-due-diligence-assessment-quick-start-guide-public?utm_source=chatgpt.com" TargetMode="External" /><Relationship Type="http://schemas.openxmlformats.org/officeDocument/2006/relationships/hyperlink" Id="rId39" Target="https://www.reversinglabs.com/blog/rl-identifies-malware-ml-model-hosted-on-hugging-fa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2026-03-16T23:14:01Z</dcterms:created>
  <dcterms:modified xsi:type="dcterms:W3CDTF">2026-03-16T23:14:01Z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