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after="40"/>
      </w:pPr>
      <w:r>
        <w:rPr>
          <w:rFonts w:ascii="Arial" w:cs="Arial" w:eastAsia="Arial" w:hAnsi="Arial"/>
          <w:b/>
          <w:bCs/>
          <w:caps/>
          <w:color w:val="8E9BAA"/>
          <w:sz w:val="17"/>
          <w:szCs w:val="17"/>
        </w:rPr>
        <w:t xml:space="preserve">CYBERSECURITY RESEARCH</w:t>
      </w:r>
    </w:p>
    <w:p>
      <w:pPr>
        <w:spacing w:before="0" w:after="40"/>
      </w:pPr>
      <w:r>
        <w:rPr>
          <w:rFonts w:ascii="Arial" w:cs="Arial" w:eastAsia="Arial" w:hAnsi="Arial"/>
          <w:b/>
          <w:bCs/>
          <w:color w:val="1A1A2E"/>
          <w:sz w:val="44"/>
          <w:szCs w:val="44"/>
        </w:rPr>
        <w:t xml:space="preserve">Strengthening Agentic AI Risk Controls,</w:t>
      </w:r>
    </w:p>
    <w:p>
      <w:pPr>
        <w:spacing w:before="0" w:after="40"/>
      </w:pPr>
      <w:r>
        <w:rPr>
          <w:rFonts w:ascii="Arial" w:cs="Arial" w:eastAsia="Arial" w:hAnsi="Arial"/>
          <w:b/>
          <w:bCs/>
          <w:color w:val="005F73"/>
          <w:sz w:val="44"/>
          <w:szCs w:val="44"/>
        </w:rPr>
        <w:t xml:space="preserve">Vendor Due Diligence, and the EU AI Act Roadmap</w:t>
      </w:r>
    </w:p>
    <w:p>
      <w:pPr>
        <w:spacing w:before="120" w:after="60"/>
      </w:pPr>
      <w:r>
        <w:rPr>
          <w:rFonts w:ascii="Arial" w:cs="Arial" w:eastAsia="Arial" w:hAnsi="Arial"/>
          <w:b/>
          <w:bCs/>
          <w:color w:val="2D2D2D"/>
          <w:sz w:val="22"/>
          <w:szCs w:val="22"/>
        </w:rPr>
        <w:t xml:space="preserve">Joshua Godwin</w:t>
      </w:r>
      <w:r>
        <w:rPr>
          <w:rFonts w:ascii="Arial" w:cs="Arial" w:eastAsia="Arial" w:hAnsi="Arial"/>
          <w:color w:val="8E9BAA"/>
          <w:sz w:val="20"/>
          <w:szCs w:val="20"/>
        </w:rPr>
        <w:t xml:space="preserve">     ·     February 2026</w:t>
      </w:r>
    </w:p>
    <w:p>
      <w:pPr>
        <w:pBdr>
          <w:bottom w:val="single" w:color="E0E5EE" w:sz="4"/>
        </w:pBdr>
        <w:spacing w:before="200" w:after="200"/>
      </w:pPr>
    </w:p>
    <w:p>
      <w:pPr>
        <w:spacing w:before="0" w:after="80"/>
      </w:pPr>
      <w:r>
        <w:rPr>
          <w:rFonts w:ascii="Arial" w:cs="Arial" w:eastAsia="Arial" w:hAnsi="Arial"/>
          <w:b/>
          <w:bCs/>
          <w:caps/>
          <w:color w:val="8E9BAA"/>
          <w:sz w:val="17"/>
          <w:szCs w:val="17"/>
        </w:rPr>
        <w:t xml:space="preserve">Abstract</w:t>
      </w:r>
    </w:p>
    <w:p>
      <w:pPr>
        <w:spacing w:before="80" w:after="120"/>
      </w:pPr>
      <w:r>
        <w:rPr>
          <w:rFonts w:ascii="Arial" w:cs="Arial" w:eastAsia="Arial" w:hAnsi="Arial"/>
          <w:color w:val="2D2D2D"/>
          <w:sz w:val="22"/>
          <w:szCs w:val="22"/>
        </w:rPr>
        <w:t xml:space="preserve">This paper provides a practitioner-oriented framework for operationalizing agentic AI security controls within enterprise environments. Grounded in the OWASP Top 10 for Agentic Applications (2026 edition), NIST AI Risk Management Framework, the Cloud Security Alliance AI Controls Matrix, and the EU AI Act compliance timeline, it addresses three interrelated challenges: (1) understanding and mitigating the distinct risk surface of agentic AI systems; (2) conducting rigorous vendor due diligence for AI-enabled SaaS; and (3) navigating the EU AI Act regulatory milestones with accuracy and legal defensibility. The paper provides a corrected EU AI Act timeline, a copy-ready vendor RFP question set, and a governance and architecture control mapping designed for security, risk, and compliance practitioners.</w:t>
      </w:r>
    </w:p>
    <w:p>
      <w:pPr>
        <w:pBdr>
          <w:bottom w:val="single" w:color="E0E5EE" w:sz="4"/>
        </w:pBdr>
        <w:spacing w:before="200" w:after="200"/>
      </w:pPr>
    </w:p>
    <w:p>
      <w:pPr>
        <w:pStyle w:val="Heading1"/>
        <w:spacing w:before="400" w:after="160"/>
      </w:pPr>
      <w:r>
        <w:rPr>
          <w:rFonts w:ascii="Arial" w:cs="Arial" w:eastAsia="Arial" w:hAnsi="Arial"/>
          <w:b/>
          <w:bCs/>
          <w:color w:val="1A1A2E"/>
          <w:sz w:val="30"/>
          <w:szCs w:val="30"/>
        </w:rPr>
        <w:t xml:space="preserve">1. Introduction: Why Agentic AI Demands a New Risk Posture</w:t>
      </w:r>
    </w:p>
    <w:p>
      <w:pPr>
        <w:spacing w:before="80" w:after="120"/>
      </w:pPr>
      <w:r>
        <w:rPr>
          <w:rFonts w:ascii="Arial" w:cs="Arial" w:eastAsia="Arial" w:hAnsi="Arial"/>
          <w:color w:val="2D2D2D"/>
          <w:sz w:val="22"/>
          <w:szCs w:val="22"/>
        </w:rPr>
        <w:t xml:space="preserve">Agentic AI systems — copilots and assistants that plan, decide, and execute across multi-step workflows — materially expand enterprise risk beyond traditional generative outputs or predictive scoring. Unlike static generative AI, which primarily creates content, or classic machine learning, which primarily classifies or predicts, agentic systems combine autonomous planning, tool invocation, delegated access, memory and context persistence, and state-changing actions across enterprise applications.</w:t>
      </w:r>
    </w:p>
    <w:p>
      <w:pPr>
        <w:spacing w:before="80" w:after="120"/>
      </w:pPr>
      <w:r>
        <w:rPr>
          <w:rFonts w:ascii="Arial" w:cs="Arial" w:eastAsia="Arial" w:hAnsi="Arial"/>
          <w:color w:val="2D2D2D"/>
          <w:sz w:val="22"/>
          <w:szCs w:val="22"/>
        </w:rPr>
        <w:t xml:space="preserve">In practice, this means a single compromised step — a poisoned document, a manipulated tool response, or a stolen token — can cascade into multi-system impact at machine speed. The consequences are not limited to data exposure; they extend to unauthorized financial transactions, corrupted decision pipelines, and system-wide state changes executed before any human review.</w:t>
      </w:r>
    </w:p>
    <w:p>
      <w:pPr>
        <w:spacing w:before="80" w:after="120"/>
      </w:pPr>
      <w:r>
        <w:rPr>
          <w:rFonts w:ascii="Arial" w:cs="Arial" w:eastAsia="Arial" w:hAnsi="Arial"/>
          <w:color w:val="2D2D2D"/>
          <w:sz w:val="22"/>
          <w:szCs w:val="22"/>
        </w:rPr>
        <w:t xml:space="preserve">A core security challenge is that agentic systems and underlying LLM orchestration often cannot reliably separate instructions from data when processing natural language and retrieved context. This creates an attack surface where malicious instructions can be embedded in ordinary inputs — documents, emails, web pages, tickets, chat messages — and silently redirect agent goals, actions, or tool usage. This is especially dangerous in retrieval-augmented and tool-using workflows that consume third-party content.</w:t>
      </w:r>
    </w:p>
    <w:p>
      <w:pPr>
        <w:spacing w:before="80" w:after="120"/>
      </w:pPr>
      <w:r>
        <w:rPr>
          <w:rFonts w:ascii="Arial" w:cs="Arial" w:eastAsia="Arial" w:hAnsi="Arial"/>
          <w:color w:val="2D2D2D"/>
          <w:sz w:val="22"/>
          <w:szCs w:val="22"/>
        </w:rPr>
        <w:t xml:space="preserve">Effective governance of agentic AI is not a checklist exercise. It is a governance and architecture problem requiring repeatable controls that survive vendor changes, feature updates, and model upgrades. This paper establishes the control foundations for that challenge.</w:t>
      </w:r>
    </w:p>
    <w:p>
      <w:pPr>
        <w:pStyle w:val="Heading1"/>
        <w:spacing w:before="400" w:after="160"/>
      </w:pPr>
      <w:r>
        <w:rPr>
          <w:rFonts w:ascii="Arial" w:cs="Arial" w:eastAsia="Arial" w:hAnsi="Arial"/>
          <w:b/>
          <w:bCs/>
          <w:color w:val="1A1A2E"/>
          <w:sz w:val="30"/>
          <w:szCs w:val="30"/>
        </w:rPr>
        <w:t xml:space="preserve">2. Agentic AI Risk Surface: OWASP Top 10 for Agentic Applications</w:t>
      </w:r>
    </w:p>
    <w:p>
      <w:pPr>
        <w:spacing w:before="80" w:after="120"/>
      </w:pPr>
      <w:r>
        <w:rPr>
          <w:rFonts w:ascii="Arial" w:cs="Arial" w:eastAsia="Arial" w:hAnsi="Arial"/>
          <w:color w:val="2D2D2D"/>
          <w:sz w:val="22"/>
          <w:szCs w:val="22"/>
        </w:rPr>
        <w:t xml:space="preserve">The primary security taxonomy for agentic applications as of early 2026 is the OWASP Top 10 for Agentic Applications (2026 edition), which defines the highest-impact risk classes for tool-using, autonomous, and multi-agent systems. Security programs should use this taxonomy as their authoritative reference when designing controls, threat models, and vendor assessments.</w:t>
      </w:r>
    </w:p>
    <w:p>
      <w:pPr>
        <w:pStyle w:val="Heading2"/>
        <w:spacing w:before="320" w:after="120"/>
      </w:pPr>
      <w:r>
        <w:rPr>
          <w:rFonts w:ascii="Arial" w:cs="Arial" w:eastAsia="Arial" w:hAnsi="Arial"/>
          <w:b/>
          <w:bCs/>
          <w:color w:val="005F73"/>
          <w:sz w:val="24"/>
          <w:szCs w:val="24"/>
        </w:rPr>
        <w:t xml:space="preserve">2.1 The Ten Risk Classes</w:t>
      </w:r>
    </w:p>
    <w:p>
      <w:pPr>
        <w:pStyle w:val="ListParagraph"/>
        <w:numPr>
          <w:ilvl w:val="0"/>
          <w:numId w:val="2"/>
        </w:numPr>
        <w:spacing w:before="60" w:after="60"/>
      </w:pPr>
      <w:r>
        <w:rPr>
          <w:rFonts w:ascii="Arial" w:cs="Arial" w:eastAsia="Arial" w:hAnsi="Arial"/>
          <w:color w:val="2D2D2D"/>
          <w:sz w:val="21"/>
          <w:szCs w:val="21"/>
        </w:rPr>
        <w:t xml:space="preserve">ASI01: Agent Goal Hijack — Manipulating agent objectives or decision pathways through direct or indirect instructions, deceptive tool outputs, or poisoned retrieved content. The primary mechanism is prompt injection, which remains unresolved as a structural LLM limitation.</w:t>
      </w:r>
    </w:p>
    <w:p>
      <w:pPr>
        <w:pStyle w:val="ListParagraph"/>
        <w:numPr>
          <w:ilvl w:val="0"/>
          <w:numId w:val="2"/>
        </w:numPr>
        <w:spacing w:before="60" w:after="60"/>
      </w:pPr>
      <w:r>
        <w:rPr>
          <w:rFonts w:ascii="Arial" w:cs="Arial" w:eastAsia="Arial" w:hAnsi="Arial"/>
          <w:color w:val="2D2D2D"/>
          <w:sz w:val="21"/>
          <w:szCs w:val="21"/>
        </w:rPr>
        <w:t xml:space="preserve">ASI02: Tool Misuse and Exploitation — Using legitimate tools with unsafe parameters or in unsafe chains to produce destructive outcomes. Attackers exploit the gap between what tools are permitted to do and what they are intended to do.</w:t>
      </w:r>
    </w:p>
    <w:p>
      <w:pPr>
        <w:pStyle w:val="ListParagraph"/>
        <w:numPr>
          <w:ilvl w:val="0"/>
          <w:numId w:val="2"/>
        </w:numPr>
        <w:spacing w:before="60" w:after="60"/>
      </w:pPr>
      <w:r>
        <w:rPr>
          <w:rFonts w:ascii="Arial" w:cs="Arial" w:eastAsia="Arial" w:hAnsi="Arial"/>
          <w:color w:val="2D2D2D"/>
          <w:sz w:val="21"/>
          <w:szCs w:val="21"/>
        </w:rPr>
        <w:t xml:space="preserve">ASI03: Identity and Privilege Abuse — Exploiting delegated access, role inheritance, cached credentials, or mis-scoped non-human identities. Agentic systems frequently accumulate permissions that exceed operational necessity.</w:t>
      </w:r>
    </w:p>
    <w:p>
      <w:pPr>
        <w:pStyle w:val="ListParagraph"/>
        <w:numPr>
          <w:ilvl w:val="0"/>
          <w:numId w:val="2"/>
        </w:numPr>
        <w:spacing w:before="60" w:after="60"/>
      </w:pPr>
      <w:r>
        <w:rPr>
          <w:rFonts w:ascii="Arial" w:cs="Arial" w:eastAsia="Arial" w:hAnsi="Arial"/>
          <w:color w:val="2D2D2D"/>
          <w:sz w:val="21"/>
          <w:szCs w:val="21"/>
        </w:rPr>
        <w:t xml:space="preserve">ASI04: Agentic Supply Chain Vulnerabilities — Runtime compromise via plugins, tool registries, prompt templates, or other agent ecosystem components. Trust in upstream providers is often inherited without verification.</w:t>
      </w:r>
    </w:p>
    <w:p>
      <w:pPr>
        <w:pStyle w:val="ListParagraph"/>
        <w:numPr>
          <w:ilvl w:val="0"/>
          <w:numId w:val="2"/>
        </w:numPr>
        <w:spacing w:before="60" w:after="60"/>
      </w:pPr>
      <w:r>
        <w:rPr>
          <w:rFonts w:ascii="Arial" w:cs="Arial" w:eastAsia="Arial" w:hAnsi="Arial"/>
          <w:color w:val="2D2D2D"/>
          <w:sz w:val="21"/>
          <w:szCs w:val="21"/>
        </w:rPr>
        <w:t xml:space="preserve">ASI05: Unexpected Code Execution (RCE) — Executing generated code or commands without adequate validation, sandboxing, or approval gates, creating pathways to host compromise and lateral movement.</w:t>
      </w:r>
    </w:p>
    <w:p>
      <w:pPr>
        <w:pStyle w:val="ListParagraph"/>
        <w:numPr>
          <w:ilvl w:val="0"/>
          <w:numId w:val="2"/>
        </w:numPr>
        <w:spacing w:before="60" w:after="60"/>
      </w:pPr>
      <w:r>
        <w:rPr>
          <w:rFonts w:ascii="Arial" w:cs="Arial" w:eastAsia="Arial" w:hAnsi="Arial"/>
          <w:color w:val="2D2D2D"/>
          <w:sz w:val="21"/>
          <w:szCs w:val="21"/>
        </w:rPr>
        <w:t xml:space="preserve">ASI06: Memory and Context Poisoning — Persistently corrupting agent memory, embeddings, or retrieval stores so that future decisions drift or become exploitable across sessions and users.</w:t>
      </w:r>
    </w:p>
    <w:p>
      <w:pPr>
        <w:pStyle w:val="ListParagraph"/>
        <w:numPr>
          <w:ilvl w:val="0"/>
          <w:numId w:val="2"/>
        </w:numPr>
        <w:spacing w:before="60" w:after="60"/>
      </w:pPr>
      <w:r>
        <w:rPr>
          <w:rFonts w:ascii="Arial" w:cs="Arial" w:eastAsia="Arial" w:hAnsi="Arial"/>
          <w:color w:val="2D2D2D"/>
          <w:sz w:val="21"/>
          <w:szCs w:val="21"/>
        </w:rPr>
        <w:t xml:space="preserve">ASI07: Insecure Inter-Agent Communication — Spoofed, replayed, or tampered messages between agents causing privilege confusion and unsafe action propagation in multi-agent architectures.</w:t>
      </w:r>
    </w:p>
    <w:p>
      <w:pPr>
        <w:pStyle w:val="ListParagraph"/>
        <w:numPr>
          <w:ilvl w:val="0"/>
          <w:numId w:val="2"/>
        </w:numPr>
        <w:spacing w:before="60" w:after="60"/>
      </w:pPr>
      <w:r>
        <w:rPr>
          <w:rFonts w:ascii="Arial" w:cs="Arial" w:eastAsia="Arial" w:hAnsi="Arial"/>
          <w:color w:val="2D2D2D"/>
          <w:sz w:val="21"/>
          <w:szCs w:val="21"/>
        </w:rPr>
        <w:t xml:space="preserve">ASI08: Cascading Failures — Small initial faults propagating across agents and tools into system-wide harm, often through automated retry logic, shared state, or tight orchestration coupling.</w:t>
      </w:r>
    </w:p>
    <w:p>
      <w:pPr>
        <w:pStyle w:val="ListParagraph"/>
        <w:numPr>
          <w:ilvl w:val="0"/>
          <w:numId w:val="2"/>
        </w:numPr>
        <w:spacing w:before="60" w:after="60"/>
      </w:pPr>
      <w:r>
        <w:rPr>
          <w:rFonts w:ascii="Arial" w:cs="Arial" w:eastAsia="Arial" w:hAnsi="Arial"/>
          <w:color w:val="2D2D2D"/>
          <w:sz w:val="21"/>
          <w:szCs w:val="21"/>
        </w:rPr>
        <w:t xml:space="preserve">ASI09: Human–Agent Trust Exploitation — Over-reliance on plausible agent rationales and confident outputs leading to unsafe human approvals, information disclosure, and decision bypass.</w:t>
      </w:r>
    </w:p>
    <w:p>
      <w:pPr>
        <w:pStyle w:val="ListParagraph"/>
        <w:numPr>
          <w:ilvl w:val="0"/>
          <w:numId w:val="2"/>
        </w:numPr>
        <w:spacing w:before="60" w:after="60"/>
      </w:pPr>
      <w:r>
        <w:rPr>
          <w:rFonts w:ascii="Arial" w:cs="Arial" w:eastAsia="Arial" w:hAnsi="Arial"/>
          <w:color w:val="2D2D2D"/>
          <w:sz w:val="21"/>
          <w:szCs w:val="21"/>
        </w:rPr>
        <w:t xml:space="preserve">ASI10: Rogue Agents — Compromised or misaligned agents continuing harmful actions while appearing legitimate, including scenarios where kill-switch mechanisms have been subverted.</w:t>
      </w:r>
    </w:p>
    <w:p>
      <w:pPr>
        <w:pStyle w:val="Heading2"/>
        <w:spacing w:before="320" w:after="120"/>
      </w:pPr>
      <w:r>
        <w:rPr>
          <w:rFonts w:ascii="Arial" w:cs="Arial" w:eastAsia="Arial" w:hAnsi="Arial"/>
          <w:b/>
          <w:bCs/>
          <w:color w:val="005F73"/>
          <w:sz w:val="24"/>
          <w:szCs w:val="24"/>
        </w:rPr>
        <w:t xml:space="preserve">2.2 Control Architecture Principles</w:t>
      </w:r>
    </w:p>
    <w:p>
      <w:pPr>
        <w:spacing w:before="80" w:after="120"/>
      </w:pPr>
      <w:r>
        <w:rPr>
          <w:rFonts w:ascii="Arial" w:cs="Arial" w:eastAsia="Arial" w:hAnsi="Arial"/>
          <w:color w:val="2D2D2D"/>
          <w:sz w:val="22"/>
          <w:szCs w:val="22"/>
        </w:rPr>
        <w:t xml:space="preserve">Controls for agentic AI must be implemented as an integrated system — not as prompt rules or configuration switches. Security teams should orient around five foundational principles derived from OWASP and NIST guidance:</w:t>
      </w:r>
    </w:p>
    <w:p>
      <w:pPr>
        <w:pStyle w:val="ListParagraph"/>
        <w:numPr>
          <w:ilvl w:val="0"/>
          <w:numId w:val="2"/>
        </w:numPr>
        <w:spacing w:before="60" w:after="60"/>
      </w:pPr>
      <w:r>
        <w:rPr>
          <w:rFonts w:ascii="Arial" w:cs="Arial" w:eastAsia="Arial" w:hAnsi="Arial"/>
          <w:color w:val="2D2D2D"/>
          <w:sz w:val="21"/>
          <w:szCs w:val="21"/>
        </w:rPr>
        <w:t xml:space="preserve">Least Agency: Agents should be granted only the autonomy necessary for the specific task. Unnecessary autonomy expands attack surface without adding business value. This extends least privilege from identity to capability scope.</w:t>
      </w:r>
    </w:p>
    <w:p>
      <w:pPr>
        <w:pStyle w:val="ListParagraph"/>
        <w:numPr>
          <w:ilvl w:val="0"/>
          <w:numId w:val="2"/>
        </w:numPr>
        <w:spacing w:before="60" w:after="60"/>
      </w:pPr>
      <w:r>
        <w:rPr>
          <w:rFonts w:ascii="Arial" w:cs="Arial" w:eastAsia="Arial" w:hAnsi="Arial"/>
          <w:color w:val="2D2D2D"/>
          <w:sz w:val="21"/>
          <w:szCs w:val="21"/>
        </w:rPr>
        <w:t xml:space="preserve">Strong Identity and Authorization Boundaries: Agents operate as non-human identities and require the same rigor applied to service accounts — short-lived task-scoped credentials, mutual authentication, and explicit delegation chains traceable to human principals.</w:t>
      </w:r>
    </w:p>
    <w:p>
      <w:pPr>
        <w:pStyle w:val="ListParagraph"/>
        <w:numPr>
          <w:ilvl w:val="0"/>
          <w:numId w:val="2"/>
        </w:numPr>
        <w:spacing w:before="60" w:after="60"/>
      </w:pPr>
      <w:r>
        <w:rPr>
          <w:rFonts w:ascii="Arial" w:cs="Arial" w:eastAsia="Arial" w:hAnsi="Arial"/>
          <w:color w:val="2D2D2D"/>
          <w:sz w:val="21"/>
          <w:szCs w:val="21"/>
        </w:rPr>
        <w:t xml:space="preserve">Deterministic Policy Gates (Intent Gates): A pre-execution policy enforcement layer should validate tool arguments, check schemas, and enforce business rules before any state-changing action is taken. This gate must be deterministic — not LLM-mediated.</w:t>
      </w:r>
    </w:p>
    <w:p>
      <w:pPr>
        <w:pStyle w:val="ListParagraph"/>
        <w:numPr>
          <w:ilvl w:val="0"/>
          <w:numId w:val="2"/>
        </w:numPr>
        <w:spacing w:before="60" w:after="60"/>
      </w:pPr>
      <w:r>
        <w:rPr>
          <w:rFonts w:ascii="Arial" w:cs="Arial" w:eastAsia="Arial" w:hAnsi="Arial"/>
          <w:color w:val="2D2D2D"/>
          <w:sz w:val="21"/>
          <w:szCs w:val="21"/>
        </w:rPr>
        <w:t xml:space="preserve">End-to-End Observability: Comprehensive logging of agent action sequences, tool call parameters, retrieved content, and decision rationales is non-negotiable. Without this, incident response is blind and compliance evidence is unattainable.</w:t>
      </w:r>
    </w:p>
    <w:p>
      <w:pPr>
        <w:pStyle w:val="ListParagraph"/>
        <w:numPr>
          <w:ilvl w:val="0"/>
          <w:numId w:val="2"/>
        </w:numPr>
        <w:spacing w:before="60" w:after="60"/>
      </w:pPr>
      <w:r>
        <w:rPr>
          <w:rFonts w:ascii="Arial" w:cs="Arial" w:eastAsia="Arial" w:hAnsi="Arial"/>
          <w:color w:val="2D2D2D"/>
          <w:sz w:val="21"/>
          <w:szCs w:val="21"/>
        </w:rPr>
        <w:t xml:space="preserve">Kill-Switch Revocation: Organizations must retain the ability to rapidly revoke compromised tools, prompt templates, plugin connections, or agent deployment links without service disruption.</w:t>
      </w:r>
    </w:p>
    <w:p>
      <w:pPr>
        <w:pStyle w:val="Heading1"/>
        <w:spacing w:before="400" w:after="160"/>
      </w:pPr>
      <w:r>
        <w:rPr>
          <w:rFonts w:ascii="Arial" w:cs="Arial" w:eastAsia="Arial" w:hAnsi="Arial"/>
          <w:b/>
          <w:bCs/>
          <w:color w:val="1A1A2E"/>
          <w:sz w:val="30"/>
          <w:szCs w:val="30"/>
        </w:rPr>
        <w:t xml:space="preserve">3. Vendor Due Diligence: Non-Negotiable Questions for AI-Enabled SaaS</w:t>
      </w:r>
    </w:p>
    <w:p>
      <w:pPr>
        <w:spacing w:before="80" w:after="120"/>
      </w:pPr>
      <w:r>
        <w:rPr>
          <w:rFonts w:ascii="Arial" w:cs="Arial" w:eastAsia="Arial" w:hAnsi="Arial"/>
          <w:color w:val="2D2D2D"/>
          <w:sz w:val="22"/>
          <w:szCs w:val="22"/>
        </w:rPr>
        <w:t xml:space="preserve">Vendor risk management programs must be updated to assess agentic capabilities explicitly. The following question set is structured for use in RFP/RFI processes, vendor risk assessments, and procurement security reviews. It is aligned to OWASP Agentic Top 10 control themes, the CSA AI Controls Matrix (AICM) and AI Vendor Questionnaire (AI-CAIQ), and the NIST AI Agent Standards Initiative.</w:t>
      </w:r>
    </w:p>
    <w:p>
      <w:pPr>
        <w:spacing w:before="80" w:after="120"/>
      </w:pPr>
      <w:r>
        <w:rPr>
          <w:rFonts w:ascii="Arial" w:cs="Arial" w:eastAsia="Arial" w:hAnsi="Arial"/>
          <w:color w:val="2D2D2D"/>
          <w:sz w:val="22"/>
          <w:szCs w:val="22"/>
        </w:rPr>
        <w:t xml:space="preserve">Important: Vendor statements vary by product tier, feature configuration, and data protection plan. Security teams must validate question responses against the specific SKU and deployment mode, not marketing summaries or general documentation.</w:t>
      </w:r>
    </w:p>
    <w:p>
      <w:pPr>
        <w:pStyle w:val="Heading2"/>
        <w:spacing w:before="320" w:after="120"/>
      </w:pPr>
      <w:r>
        <w:rPr>
          <w:rFonts w:ascii="Arial" w:cs="Arial" w:eastAsia="Arial" w:hAnsi="Arial"/>
          <w:b/>
          <w:bCs/>
          <w:color w:val="005F73"/>
          <w:sz w:val="24"/>
          <w:szCs w:val="24"/>
        </w:rPr>
        <w:t xml:space="preserve">3.1 Data Usage, Training, and Retention</w:t>
      </w:r>
    </w:p>
    <w:p>
      <w:pPr>
        <w:pStyle w:val="ListParagraph"/>
        <w:numPr>
          <w:ilvl w:val="0"/>
          <w:numId w:val="2"/>
        </w:numPr>
        <w:spacing w:before="60" w:after="60"/>
      </w:pPr>
      <w:r>
        <w:rPr>
          <w:rFonts w:ascii="Arial" w:cs="Arial" w:eastAsia="Arial" w:hAnsi="Arial"/>
          <w:color w:val="2D2D2D"/>
          <w:sz w:val="21"/>
          <w:szCs w:val="21"/>
        </w:rPr>
        <w:t xml:space="preserve">Are prompts, outputs, customer content, and agent memory or context used to train or fine-tune any foundation or vendor models, now or in the future? How is this contractually committed and technically enforced?</w:t>
      </w:r>
    </w:p>
    <w:p>
      <w:pPr>
        <w:pStyle w:val="ListParagraph"/>
        <w:numPr>
          <w:ilvl w:val="0"/>
          <w:numId w:val="2"/>
        </w:numPr>
        <w:spacing w:before="60" w:after="60"/>
      </w:pPr>
      <w:r>
        <w:rPr>
          <w:rFonts w:ascii="Arial" w:cs="Arial" w:eastAsia="Arial" w:hAnsi="Arial"/>
          <w:color w:val="2D2D2D"/>
          <w:sz w:val="21"/>
          <w:szCs w:val="21"/>
        </w:rPr>
        <w:t xml:space="preserve">What is retained (prompts, responses, system instructions, embeddings and vector stores, logs, agent action records), for how long, in which jurisdictions, and with what access controls?</w:t>
      </w:r>
    </w:p>
    <w:p>
      <w:pPr>
        <w:pStyle w:val="ListParagraph"/>
        <w:numPr>
          <w:ilvl w:val="0"/>
          <w:numId w:val="2"/>
        </w:numPr>
        <w:spacing w:before="60" w:after="60"/>
      </w:pPr>
      <w:r>
        <w:rPr>
          <w:rFonts w:ascii="Arial" w:cs="Arial" w:eastAsia="Arial" w:hAnsi="Arial"/>
          <w:color w:val="2D2D2D"/>
          <w:sz w:val="21"/>
          <w:szCs w:val="21"/>
        </w:rPr>
        <w:t xml:space="preserve">Are there feature-level differences — between chat and agentic workflows, history enabled or disabled, in-app versus API — that change retention or training risk?</w:t>
      </w:r>
    </w:p>
    <w:p>
      <w:pPr>
        <w:pStyle w:val="Heading2"/>
        <w:spacing w:before="320" w:after="120"/>
      </w:pPr>
      <w:r>
        <w:rPr>
          <w:rFonts w:ascii="Arial" w:cs="Arial" w:eastAsia="Arial" w:hAnsi="Arial"/>
          <w:b/>
          <w:bCs/>
          <w:color w:val="005F73"/>
          <w:sz w:val="24"/>
          <w:szCs w:val="24"/>
        </w:rPr>
        <w:t xml:space="preserve">3.2 Security Architecture and Isolation</w:t>
      </w:r>
    </w:p>
    <w:p>
      <w:pPr>
        <w:pStyle w:val="ListParagraph"/>
        <w:numPr>
          <w:ilvl w:val="0"/>
          <w:numId w:val="2"/>
        </w:numPr>
        <w:spacing w:before="60" w:after="60"/>
      </w:pPr>
      <w:r>
        <w:rPr>
          <w:rFonts w:ascii="Arial" w:cs="Arial" w:eastAsia="Arial" w:hAnsi="Arial"/>
          <w:color w:val="2D2D2D"/>
          <w:sz w:val="21"/>
          <w:szCs w:val="21"/>
        </w:rPr>
        <w:t xml:space="preserve">Is customer data and agent state processed within a defined tenant or service boundary? Which identities and authorization scopes govern access to connected data sources and tools?</w:t>
      </w:r>
    </w:p>
    <w:p>
      <w:pPr>
        <w:pStyle w:val="ListParagraph"/>
        <w:numPr>
          <w:ilvl w:val="0"/>
          <w:numId w:val="2"/>
        </w:numPr>
        <w:spacing w:before="60" w:after="60"/>
      </w:pPr>
      <w:r>
        <w:rPr>
          <w:rFonts w:ascii="Arial" w:cs="Arial" w:eastAsia="Arial" w:hAnsi="Arial"/>
          <w:color w:val="2D2D2D"/>
          <w:sz w:val="21"/>
          <w:szCs w:val="21"/>
        </w:rPr>
        <w:t xml:space="preserve">What controls prevent sensitive data disclosure through output filtering, redaction, protection against direct and indirect prompt injection, and instruction-data separation patterns?</w:t>
      </w:r>
    </w:p>
    <w:p>
      <w:pPr>
        <w:pStyle w:val="ListParagraph"/>
        <w:numPr>
          <w:ilvl w:val="0"/>
          <w:numId w:val="2"/>
        </w:numPr>
        <w:spacing w:before="60" w:after="60"/>
      </w:pPr>
      <w:r>
        <w:rPr>
          <w:rFonts w:ascii="Arial" w:cs="Arial" w:eastAsia="Arial" w:hAnsi="Arial"/>
          <w:color w:val="2D2D2D"/>
          <w:sz w:val="21"/>
          <w:szCs w:val="21"/>
        </w:rPr>
        <w:t xml:space="preserve">How are agent credentials provisioned, rotated, and constrained? Are short-lived task-scoped tokens and mutual authentication supported?</w:t>
      </w:r>
    </w:p>
    <w:p>
      <w:pPr>
        <w:pStyle w:val="Heading2"/>
        <w:spacing w:before="320" w:after="120"/>
      </w:pPr>
      <w:r>
        <w:rPr>
          <w:rFonts w:ascii="Arial" w:cs="Arial" w:eastAsia="Arial" w:hAnsi="Arial"/>
          <w:b/>
          <w:bCs/>
          <w:color w:val="005F73"/>
          <w:sz w:val="24"/>
          <w:szCs w:val="24"/>
        </w:rPr>
        <w:t xml:space="preserve">3.3 Supply Chain and Sub-Processors</w:t>
      </w:r>
    </w:p>
    <w:p>
      <w:pPr>
        <w:pStyle w:val="ListParagraph"/>
        <w:numPr>
          <w:ilvl w:val="0"/>
          <w:numId w:val="2"/>
        </w:numPr>
        <w:spacing w:before="60" w:after="60"/>
      </w:pPr>
      <w:r>
        <w:rPr>
          <w:rFonts w:ascii="Arial" w:cs="Arial" w:eastAsia="Arial" w:hAnsi="Arial"/>
          <w:color w:val="2D2D2D"/>
          <w:sz w:val="21"/>
          <w:szCs w:val="21"/>
        </w:rPr>
        <w:t xml:space="preserve">What upstream model providers, hosting providers, plugin ecosystems, tool registries, and sub-processors are involved? What are your vulnerability disclosure processes and patch SLAs?</w:t>
      </w:r>
    </w:p>
    <w:p>
      <w:pPr>
        <w:pStyle w:val="ListParagraph"/>
        <w:numPr>
          <w:ilvl w:val="0"/>
          <w:numId w:val="2"/>
        </w:numPr>
        <w:spacing w:before="60" w:after="60"/>
      </w:pPr>
      <w:r>
        <w:rPr>
          <w:rFonts w:ascii="Arial" w:cs="Arial" w:eastAsia="Arial" w:hAnsi="Arial"/>
          <w:color w:val="2D2D2D"/>
          <w:sz w:val="21"/>
          <w:szCs w:val="21"/>
        </w:rPr>
        <w:t xml:space="preserve">Do you provide signed manifests or provenance attestations for AI components including prompts, tool definitions, and plugins? Can customers restrict agents to curated registries or allowlists?</w:t>
      </w:r>
    </w:p>
    <w:p>
      <w:pPr>
        <w:pStyle w:val="ListParagraph"/>
        <w:numPr>
          <w:ilvl w:val="0"/>
          <w:numId w:val="2"/>
        </w:numPr>
        <w:spacing w:before="60" w:after="60"/>
      </w:pPr>
      <w:r>
        <w:rPr>
          <w:rFonts w:ascii="Arial" w:cs="Arial" w:eastAsia="Arial" w:hAnsi="Arial"/>
          <w:color w:val="2D2D2D"/>
          <w:sz w:val="21"/>
          <w:szCs w:val="21"/>
        </w:rPr>
        <w:t xml:space="preserve">How are tool and plugin dependencies pinned, verified, and isolated at runtime? How can customers trigger emergency revocation across all deployments?</w:t>
      </w:r>
    </w:p>
    <w:p>
      <w:pPr>
        <w:pStyle w:val="Heading2"/>
        <w:spacing w:before="320" w:after="120"/>
      </w:pPr>
      <w:r>
        <w:rPr>
          <w:rFonts w:ascii="Arial" w:cs="Arial" w:eastAsia="Arial" w:hAnsi="Arial"/>
          <w:b/>
          <w:bCs/>
          <w:color w:val="005F73"/>
          <w:sz w:val="24"/>
          <w:szCs w:val="24"/>
        </w:rPr>
        <w:t xml:space="preserve">3.4 Agentic and Automation Capabilities</w:t>
      </w:r>
    </w:p>
    <w:p>
      <w:pPr>
        <w:pStyle w:val="ListParagraph"/>
        <w:numPr>
          <w:ilvl w:val="0"/>
          <w:numId w:val="2"/>
        </w:numPr>
        <w:spacing w:before="60" w:after="60"/>
      </w:pPr>
      <w:r>
        <w:rPr>
          <w:rFonts w:ascii="Arial" w:cs="Arial" w:eastAsia="Arial" w:hAnsi="Arial"/>
          <w:color w:val="2D2D2D"/>
          <w:sz w:val="21"/>
          <w:szCs w:val="21"/>
        </w:rPr>
        <w:t xml:space="preserve">Does the platform support agentic tool-calling or autonomous execution? If yes, describe the scoping of tool permissions, approval gates, transaction limits, rate limits, and rollback mechanisms for state-changing actions.</w:t>
      </w:r>
    </w:p>
    <w:p>
      <w:pPr>
        <w:pStyle w:val="ListParagraph"/>
        <w:numPr>
          <w:ilvl w:val="0"/>
          <w:numId w:val="2"/>
        </w:numPr>
        <w:spacing w:before="60" w:after="60"/>
      </w:pPr>
      <w:r>
        <w:rPr>
          <w:rFonts w:ascii="Arial" w:cs="Arial" w:eastAsia="Arial" w:hAnsi="Arial"/>
          <w:color w:val="2D2D2D"/>
          <w:sz w:val="21"/>
          <w:szCs w:val="21"/>
        </w:rPr>
        <w:t xml:space="preserve">What protections exist against goal hijacking and context or memory poisoning, including policy enforcement or intent gates, content validation before memory commit, memory segmentation, and provenance scoring?</w:t>
      </w:r>
    </w:p>
    <w:p>
      <w:pPr>
        <w:pStyle w:val="ListParagraph"/>
        <w:numPr>
          <w:ilvl w:val="0"/>
          <w:numId w:val="2"/>
        </w:numPr>
        <w:spacing w:before="60" w:after="60"/>
      </w:pPr>
      <w:r>
        <w:rPr>
          <w:rFonts w:ascii="Arial" w:cs="Arial" w:eastAsia="Arial" w:hAnsi="Arial"/>
          <w:color w:val="2D2D2D"/>
          <w:sz w:val="21"/>
          <w:szCs w:val="21"/>
        </w:rPr>
        <w:t xml:space="preserve">In multi-agent deployments, how are inter-agent communications authenticated, encrypted, and protected against replay, spoofing, or injection? How are message logs preserved for forensic purposes?</w:t>
      </w:r>
    </w:p>
    <w:p>
      <w:pPr>
        <w:pStyle w:val="Heading2"/>
        <w:spacing w:before="320" w:after="120"/>
      </w:pPr>
      <w:r>
        <w:rPr>
          <w:rFonts w:ascii="Arial" w:cs="Arial" w:eastAsia="Arial" w:hAnsi="Arial"/>
          <w:b/>
          <w:bCs/>
          <w:color w:val="005F73"/>
          <w:sz w:val="24"/>
          <w:szCs w:val="24"/>
        </w:rPr>
        <w:t xml:space="preserve">3.5 Transparency and Independent Assurance</w:t>
      </w:r>
    </w:p>
    <w:p>
      <w:pPr>
        <w:pStyle w:val="ListParagraph"/>
        <w:numPr>
          <w:ilvl w:val="0"/>
          <w:numId w:val="2"/>
        </w:numPr>
        <w:spacing w:before="60" w:after="60"/>
      </w:pPr>
      <w:r>
        <w:rPr>
          <w:rFonts w:ascii="Arial" w:cs="Arial" w:eastAsia="Arial" w:hAnsi="Arial"/>
          <w:color w:val="2D2D2D"/>
          <w:sz w:val="21"/>
          <w:szCs w:val="21"/>
        </w:rPr>
        <w:t xml:space="preserve">Can you provide system, model, and agent behavior documentation including provenance summaries, fine-tuning disclosures, and a description of how RAG, memory, and tool orchestration are implemented?</w:t>
      </w:r>
    </w:p>
    <w:p>
      <w:pPr>
        <w:pStyle w:val="ListParagraph"/>
        <w:numPr>
          <w:ilvl w:val="0"/>
          <w:numId w:val="2"/>
        </w:numPr>
        <w:spacing w:before="60" w:after="60"/>
      </w:pPr>
      <w:r>
        <w:rPr>
          <w:rFonts w:ascii="Arial" w:cs="Arial" w:eastAsia="Arial" w:hAnsi="Arial"/>
          <w:color w:val="2D2D2D"/>
          <w:sz w:val="21"/>
          <w:szCs w:val="21"/>
        </w:rPr>
        <w:t xml:space="preserve">What independent assurance exists, such as SOC 2 Type II, and do your security tests explicitly cover agentic risks including tool misuse, identity abuse, supply chain vulnerabilities, and unsafe code execution?</w:t>
      </w:r>
    </w:p>
    <w:p>
      <w:pPr>
        <w:pStyle w:val="Heading2"/>
        <w:spacing w:before="320" w:after="120"/>
      </w:pPr>
      <w:r>
        <w:rPr>
          <w:rFonts w:ascii="Arial" w:cs="Arial" w:eastAsia="Arial" w:hAnsi="Arial"/>
          <w:b/>
          <w:bCs/>
          <w:color w:val="005F73"/>
          <w:sz w:val="24"/>
          <w:szCs w:val="24"/>
        </w:rPr>
        <w:t xml:space="preserve">3.6 Operational Controls and Change Management</w:t>
      </w:r>
    </w:p>
    <w:p>
      <w:pPr>
        <w:pStyle w:val="ListParagraph"/>
        <w:numPr>
          <w:ilvl w:val="0"/>
          <w:numId w:val="2"/>
        </w:numPr>
        <w:spacing w:before="60" w:after="60"/>
      </w:pPr>
      <w:r>
        <w:rPr>
          <w:rFonts w:ascii="Arial" w:cs="Arial" w:eastAsia="Arial" w:hAnsi="Arial"/>
          <w:color w:val="2D2D2D"/>
          <w:sz w:val="21"/>
          <w:szCs w:val="21"/>
        </w:rPr>
        <w:t xml:space="preserve">How are major model, tool, connector, or agent behavior changes communicated, versioned, previewed by customers, and rolled back if needed?</w:t>
      </w:r>
    </w:p>
    <w:p>
      <w:pPr>
        <w:pStyle w:val="ListParagraph"/>
        <w:numPr>
          <w:ilvl w:val="0"/>
          <w:numId w:val="2"/>
        </w:numPr>
        <w:spacing w:before="60" w:after="60"/>
      </w:pPr>
      <w:r>
        <w:rPr>
          <w:rFonts w:ascii="Arial" w:cs="Arial" w:eastAsia="Arial" w:hAnsi="Arial"/>
          <w:color w:val="2D2D2D"/>
          <w:sz w:val="21"/>
          <w:szCs w:val="21"/>
        </w:rPr>
        <w:t xml:space="preserve">What monitoring and logging are available to customers, including agent action sequences and tool call details? What incident response commitments exist for misuse, compromise, harmful outputs, or rogue-agent events?</w:t>
      </w:r>
    </w:p>
    <w:p>
      <w:pPr>
        <w:pStyle w:val="Heading1"/>
        <w:spacing w:before="400" w:after="160"/>
      </w:pPr>
      <w:r>
        <w:rPr>
          <w:rFonts w:ascii="Arial" w:cs="Arial" w:eastAsia="Arial" w:hAnsi="Arial"/>
          <w:b/>
          <w:bCs/>
          <w:color w:val="1A1A2E"/>
          <w:sz w:val="30"/>
          <w:szCs w:val="30"/>
        </w:rPr>
        <w:t xml:space="preserve">4. Governance Framework: NIST AI RMF and CSA AICM</w:t>
      </w:r>
    </w:p>
    <w:p>
      <w:pPr>
        <w:spacing w:before="80" w:after="120"/>
      </w:pPr>
      <w:r>
        <w:rPr>
          <w:rFonts w:ascii="Arial" w:cs="Arial" w:eastAsia="Arial" w:hAnsi="Arial"/>
          <w:color w:val="2D2D2D"/>
          <w:sz w:val="22"/>
          <w:szCs w:val="22"/>
        </w:rPr>
        <w:t xml:space="preserve">Agentic AI governance requires a lifecycle risk management approach, not a one-time launch checklist. Two frameworks provide the strongest current basis for enterprise programs.</w:t>
      </w:r>
    </w:p>
    <w:p>
      <w:pPr>
        <w:pStyle w:val="Heading2"/>
        <w:spacing w:before="320" w:after="120"/>
      </w:pPr>
      <w:r>
        <w:rPr>
          <w:rFonts w:ascii="Arial" w:cs="Arial" w:eastAsia="Arial" w:hAnsi="Arial"/>
          <w:b/>
          <w:bCs/>
          <w:color w:val="005F73"/>
          <w:sz w:val="24"/>
          <w:szCs w:val="24"/>
        </w:rPr>
        <w:t xml:space="preserve">4.1 NIST AI Risk Management Framework</w:t>
      </w:r>
    </w:p>
    <w:p>
      <w:pPr>
        <w:spacing w:before="80" w:after="120"/>
      </w:pPr>
      <w:r>
        <w:rPr>
          <w:rFonts w:ascii="Arial" w:cs="Arial" w:eastAsia="Arial" w:hAnsi="Arial"/>
          <w:color w:val="2D2D2D"/>
          <w:sz w:val="22"/>
          <w:szCs w:val="22"/>
        </w:rPr>
        <w:t xml:space="preserve">The NIST AI RMF defines four functions: Govern, Map, Measure, and Manage. The Govern function is explicitly cross-cutting across the other three, meaning governance is not a phase but a continuous organizational capability. For agentic AI programs, this maps to:</w:t>
      </w:r>
    </w:p>
    <w:p>
      <w:pPr>
        <w:pStyle w:val="ListParagraph"/>
        <w:numPr>
          <w:ilvl w:val="0"/>
          <w:numId w:val="2"/>
        </w:numPr>
        <w:spacing w:before="60" w:after="60"/>
      </w:pPr>
      <w:r>
        <w:rPr>
          <w:rFonts w:ascii="Arial" w:cs="Arial" w:eastAsia="Arial" w:hAnsi="Arial"/>
          <w:color w:val="2D2D2D"/>
          <w:sz w:val="21"/>
          <w:szCs w:val="21"/>
        </w:rPr>
        <w:t xml:space="preserve">Govern: Establishing accountability, roles, policies, and risk tolerance for autonomous systems. This includes defining human oversight thresholds by action type and risk level.</w:t>
      </w:r>
    </w:p>
    <w:p>
      <w:pPr>
        <w:pStyle w:val="ListParagraph"/>
        <w:numPr>
          <w:ilvl w:val="0"/>
          <w:numId w:val="2"/>
        </w:numPr>
        <w:spacing w:before="60" w:after="60"/>
      </w:pPr>
      <w:r>
        <w:rPr>
          <w:rFonts w:ascii="Arial" w:cs="Arial" w:eastAsia="Arial" w:hAnsi="Arial"/>
          <w:color w:val="2D2D2D"/>
          <w:sz w:val="21"/>
          <w:szCs w:val="21"/>
        </w:rPr>
        <w:t xml:space="preserve">Map: Inventorying all deployed and in-development agents, categorizing by capability scope and risk level, and mapping to applicable regulatory obligations.</w:t>
      </w:r>
    </w:p>
    <w:p>
      <w:pPr>
        <w:pStyle w:val="ListParagraph"/>
        <w:numPr>
          <w:ilvl w:val="0"/>
          <w:numId w:val="2"/>
        </w:numPr>
        <w:spacing w:before="60" w:after="60"/>
      </w:pPr>
      <w:r>
        <w:rPr>
          <w:rFonts w:ascii="Arial" w:cs="Arial" w:eastAsia="Arial" w:hAnsi="Arial"/>
          <w:color w:val="2D2D2D"/>
          <w:sz w:val="21"/>
          <w:szCs w:val="21"/>
        </w:rPr>
        <w:t xml:space="preserve">Measure: Continuously monitoring agent behavior, drift, and performance against defined safety and security metrics.</w:t>
      </w:r>
    </w:p>
    <w:p>
      <w:pPr>
        <w:pStyle w:val="ListParagraph"/>
        <w:numPr>
          <w:ilvl w:val="0"/>
          <w:numId w:val="2"/>
        </w:numPr>
        <w:spacing w:before="60" w:after="60"/>
      </w:pPr>
      <w:r>
        <w:rPr>
          <w:rFonts w:ascii="Arial" w:cs="Arial" w:eastAsia="Arial" w:hAnsi="Arial"/>
          <w:color w:val="2D2D2D"/>
          <w:sz w:val="21"/>
          <w:szCs w:val="21"/>
        </w:rPr>
        <w:t xml:space="preserve">Manage: Operating incident response procedures, model change management, and vendor reassessment cycles for agentic deployments.</w:t>
      </w:r>
    </w:p>
    <w:p>
      <w:pPr>
        <w:pStyle w:val="Heading2"/>
        <w:spacing w:before="320" w:after="120"/>
      </w:pPr>
      <w:r>
        <w:rPr>
          <w:rFonts w:ascii="Arial" w:cs="Arial" w:eastAsia="Arial" w:hAnsi="Arial"/>
          <w:b/>
          <w:bCs/>
          <w:color w:val="005F73"/>
          <w:sz w:val="24"/>
          <w:szCs w:val="24"/>
        </w:rPr>
        <w:t xml:space="preserve">4.2 CSA AI Controls Matrix and AI-CAIQ</w:t>
      </w:r>
    </w:p>
    <w:p>
      <w:pPr>
        <w:spacing w:before="80" w:after="120"/>
      </w:pPr>
      <w:r>
        <w:rPr>
          <w:rFonts w:ascii="Arial" w:cs="Arial" w:eastAsia="Arial" w:hAnsi="Arial"/>
          <w:color w:val="2D2D2D"/>
          <w:sz w:val="22"/>
          <w:szCs w:val="22"/>
        </w:rPr>
        <w:t xml:space="preserve">The Cloud Security Alliance AI Controls Matrix (AICM) provides 243 controls structured for AI governance, complemented by the AI Vendor Questionnaire (AI-CAIQ) designed explicitly for evaluating third-party AI vendors. For procurement and third-party assurance programs, AICM provides two practical assets: a structured control set that can be used internally, and a questionnaire format that gives vendors a standardized format for evidence submission.</w:t>
      </w:r>
    </w:p>
    <w:p>
      <w:pPr>
        <w:spacing w:before="80" w:after="120"/>
      </w:pPr>
      <w:r>
        <w:rPr>
          <w:rFonts w:ascii="Arial" w:cs="Arial" w:eastAsia="Arial" w:hAnsi="Arial"/>
          <w:color w:val="2D2D2D"/>
          <w:sz w:val="22"/>
          <w:szCs w:val="22"/>
        </w:rPr>
        <w:t xml:space="preserve">The NIST AI Agent Standards Initiative (announced February 2026) adds agent-specific guidance covering least privilege in unpredictable action spaces, on-behalf-of delegation chains, tamper-proof audit logging and non-repudiation, data flow and provenance tracking, and prompt injection prevention and mitigation. Security architects should monitor this initiative as it develops into formal guidance.</w:t>
      </w:r>
    </w:p>
    <w:p>
      <w:pPr>
        <w:pStyle w:val="Heading1"/>
        <w:spacing w:before="400" w:after="160"/>
      </w:pPr>
      <w:r>
        <w:rPr>
          <w:rFonts w:ascii="Arial" w:cs="Arial" w:eastAsia="Arial" w:hAnsi="Arial"/>
          <w:b/>
          <w:bCs/>
          <w:color w:val="1A1A2E"/>
          <w:sz w:val="30"/>
          <w:szCs w:val="30"/>
        </w:rPr>
        <w:t xml:space="preserve">5. EU AI Act: Corrected Timeline and Compliance Roadmap</w:t>
      </w:r>
    </w:p>
    <w:p>
      <w:pPr>
        <w:spacing w:before="80" w:after="120"/>
      </w:pPr>
      <w:r>
        <w:rPr>
          <w:rFonts w:ascii="Arial" w:cs="Arial" w:eastAsia="Arial" w:hAnsi="Arial"/>
          <w:color w:val="2D2D2D"/>
          <w:sz w:val="22"/>
          <w:szCs w:val="22"/>
        </w:rPr>
        <w:t xml:space="preserve">The EU AI Act is the most consequential AI regulatory framework in effect as of 2026. Accuracy in presenting its timeline is essential for legal defensibility and audit readiness. The following timeline reflects official European Commission sources and should be used in place of any derivative or secondary characterizations.</w:t>
      </w:r>
    </w:p>
    <w:p>
      <w:pPr>
        <w:pStyle w:val="Heading2"/>
        <w:spacing w:before="320" w:after="120"/>
      </w:pPr>
      <w:r>
        <w:rPr>
          <w:rFonts w:ascii="Arial" w:cs="Arial" w:eastAsia="Arial" w:hAnsi="Arial"/>
          <w:b/>
          <w:bCs/>
          <w:color w:val="005F73"/>
          <w:sz w:val="24"/>
          <w:szCs w:val="24"/>
        </w:rPr>
        <w:t xml:space="preserve">5.1 Official Staged Applicability Dates</w:t>
      </w:r>
    </w:p>
    <w:p>
      <w:pPr>
        <w:pStyle w:val="ListParagraph"/>
        <w:numPr>
          <w:ilvl w:val="0"/>
          <w:numId w:val="2"/>
        </w:numPr>
        <w:spacing w:before="60" w:after="60"/>
      </w:pPr>
      <w:r>
        <w:rPr>
          <w:rFonts w:ascii="Arial" w:cs="Arial" w:eastAsia="Arial" w:hAnsi="Arial"/>
          <w:color w:val="2D2D2D"/>
          <w:sz w:val="21"/>
          <w:szCs w:val="21"/>
        </w:rPr>
        <w:t xml:space="preserve">1 August 2024: AI Act enters into force.</w:t>
      </w:r>
    </w:p>
    <w:p>
      <w:pPr>
        <w:pStyle w:val="ListParagraph"/>
        <w:numPr>
          <w:ilvl w:val="0"/>
          <w:numId w:val="2"/>
        </w:numPr>
        <w:spacing w:before="60" w:after="60"/>
      </w:pPr>
      <w:r>
        <w:rPr>
          <w:rFonts w:ascii="Arial" w:cs="Arial" w:eastAsia="Arial" w:hAnsi="Arial"/>
          <w:color w:val="2D2D2D"/>
          <w:sz w:val="21"/>
          <w:szCs w:val="21"/>
        </w:rPr>
        <w:t xml:space="preserve">2 February 2025: Prohibited practices apply. AI literacy provisions and key definitions apply.</w:t>
      </w:r>
    </w:p>
    <w:p>
      <w:pPr>
        <w:pStyle w:val="ListParagraph"/>
        <w:numPr>
          <w:ilvl w:val="0"/>
          <w:numId w:val="2"/>
        </w:numPr>
        <w:spacing w:before="60" w:after="60"/>
      </w:pPr>
      <w:r>
        <w:rPr>
          <w:rFonts w:ascii="Arial" w:cs="Arial" w:eastAsia="Arial" w:hAnsi="Arial"/>
          <w:color w:val="2D2D2D"/>
          <w:sz w:val="21"/>
          <w:szCs w:val="21"/>
        </w:rPr>
        <w:t xml:space="preserve">2 August 2025: Governance rules and general-purpose AI model obligations become applicable.</w:t>
      </w:r>
    </w:p>
    <w:p>
      <w:pPr>
        <w:pStyle w:val="ListParagraph"/>
        <w:numPr>
          <w:ilvl w:val="0"/>
          <w:numId w:val="2"/>
        </w:numPr>
        <w:spacing w:before="60" w:after="60"/>
      </w:pPr>
      <w:r>
        <w:rPr>
          <w:rFonts w:ascii="Arial" w:cs="Arial" w:eastAsia="Arial" w:hAnsi="Arial"/>
          <w:color w:val="2D2D2D"/>
          <w:sz w:val="21"/>
          <w:szCs w:val="21"/>
        </w:rPr>
        <w:t xml:space="preserve">2 August 2026: Obligations for high-risk AI systems listed in Annex III apply. Transparency requirements and measures supporting innovation apply. Enforcement begins. This is the primary compliance go-live date for most enterprise obligations.</w:t>
      </w:r>
    </w:p>
    <w:p>
      <w:pPr>
        <w:pStyle w:val="ListParagraph"/>
        <w:numPr>
          <w:ilvl w:val="0"/>
          <w:numId w:val="2"/>
        </w:numPr>
        <w:spacing w:before="60" w:after="60"/>
      </w:pPr>
      <w:r>
        <w:rPr>
          <w:rFonts w:ascii="Arial" w:cs="Arial" w:eastAsia="Arial" w:hAnsi="Arial"/>
          <w:color w:val="2D2D2D"/>
          <w:sz w:val="21"/>
          <w:szCs w:val="21"/>
        </w:rPr>
        <w:t xml:space="preserve">2 August 2027: Obligations apply for high-risk AI systems embedded in regulated products under Annex I. General-purpose AI models placed on the market before 2 August 2025 have an applicability date of 2 August 2027.</w:t>
      </w:r>
    </w:p>
    <w:p>
      <w:pPr>
        <w:pStyle w:val="Heading2"/>
        <w:spacing w:before="320" w:after="120"/>
      </w:pPr>
      <w:r>
        <w:rPr>
          <w:rFonts w:ascii="Arial" w:cs="Arial" w:eastAsia="Arial" w:hAnsi="Arial"/>
          <w:b/>
          <w:bCs/>
          <w:color w:val="005F73"/>
          <w:sz w:val="24"/>
          <w:szCs w:val="24"/>
        </w:rPr>
        <w:t xml:space="preserve">5.2 Implementation Status Items (as of February 2026)</w:t>
      </w:r>
    </w:p>
    <w:p>
      <w:pPr>
        <w:pStyle w:val="ListParagraph"/>
        <w:numPr>
          <w:ilvl w:val="0"/>
          <w:numId w:val="2"/>
        </w:numPr>
        <w:spacing w:before="60" w:after="60"/>
      </w:pPr>
      <w:r>
        <w:rPr>
          <w:rFonts w:ascii="Arial" w:cs="Arial" w:eastAsia="Arial" w:hAnsi="Arial"/>
          <w:color w:val="2D2D2D"/>
          <w:sz w:val="21"/>
          <w:szCs w:val="21"/>
        </w:rPr>
        <w:t xml:space="preserve">Article 6 High-Risk Classification Guidance: The European Commission missed a statutory guidance deadline in early February 2026, creating increased uncertainty for high-risk classification decisions ahead of the August 2026 compliance obligations. Organizations should document their classification rationale carefully and monitor official guidance updates.</w:t>
      </w:r>
    </w:p>
    <w:p>
      <w:pPr>
        <w:pStyle w:val="ListParagraph"/>
        <w:numPr>
          <w:ilvl w:val="0"/>
          <w:numId w:val="2"/>
        </w:numPr>
        <w:spacing w:before="60" w:after="60"/>
      </w:pPr>
      <w:r>
        <w:rPr>
          <w:rFonts w:ascii="Arial" w:cs="Arial" w:eastAsia="Arial" w:hAnsi="Arial"/>
          <w:color w:val="2D2D2D"/>
          <w:sz w:val="21"/>
          <w:szCs w:val="21"/>
        </w:rPr>
        <w:t xml:space="preserve">Digital Omnibus / Simplification Discussions: Commission communications describe a simplification package that may adjust high-risk timelines and related implementation aspects. This should be treated as a legislative watch item, not settled law, until formally enacted.</w:t>
      </w:r>
    </w:p>
    <w:p>
      <w:pPr>
        <w:pStyle w:val="Heading2"/>
        <w:spacing w:before="320" w:after="120"/>
      </w:pPr>
      <w:r>
        <w:rPr>
          <w:rFonts w:ascii="Arial" w:cs="Arial" w:eastAsia="Arial" w:hAnsi="Arial"/>
          <w:b/>
          <w:bCs/>
          <w:color w:val="005F73"/>
          <w:sz w:val="24"/>
          <w:szCs w:val="24"/>
        </w:rPr>
        <w:t xml:space="preserve">5.3 Classification Guidance for Enterprise Practitioners</w:t>
      </w:r>
    </w:p>
    <w:p>
      <w:pPr>
        <w:spacing w:before="80" w:after="120"/>
      </w:pPr>
      <w:r>
        <w:rPr>
          <w:rFonts w:ascii="Arial" w:cs="Arial" w:eastAsia="Arial" w:hAnsi="Arial"/>
          <w:color w:val="2D2D2D"/>
          <w:sz w:val="22"/>
          <w:szCs w:val="22"/>
        </w:rPr>
        <w:t xml:space="preserve">A common and consequential error in enterprise AI Act compliance programs is over-broad categorization. Many AI systems deployed in enterprise settings are minimal risk under the Act's risk-based structure and carry no mandatory compliance obligations.</w:t>
      </w:r>
    </w:p>
    <w:p>
      <w:pPr>
        <w:spacing w:before="80" w:after="120"/>
      </w:pPr>
      <w:r>
        <w:rPr>
          <w:rFonts w:ascii="Arial" w:cs="Arial" w:eastAsia="Arial" w:hAnsi="Arial"/>
          <w:color w:val="2D2D2D"/>
          <w:sz w:val="22"/>
          <w:szCs w:val="22"/>
        </w:rPr>
        <w:t xml:space="preserve">High-risk designation under the EU AI Act depends on the specific use case and whether AI functionality is embedded in certain regulated products. Annex III enumerates the high-risk categories: these include applications in recruitment and employment, education and vocational training, access to essential private services and public benefits, creditworthiness and insurance, law enforcement, migration and asylum, and administration of justice.</w:t>
      </w:r>
    </w:p>
    <w:p>
      <w:pPr>
        <w:spacing w:before="80" w:after="120"/>
      </w:pPr>
      <w:r>
        <w:rPr>
          <w:rFonts w:ascii="Arial" w:cs="Arial" w:eastAsia="Arial" w:hAnsi="Arial"/>
          <w:color w:val="2D2D2D"/>
          <w:sz w:val="22"/>
          <w:szCs w:val="22"/>
        </w:rPr>
        <w:t xml:space="preserve">Enterprise copilots, productivity assistants, and general agentic tools used for document summarization, code generation, or workflow automation are not automatically high-risk. Classification requires analysis of the deployment context, the decisions the system influences, and the regulatory product categories in which it operates. Legal and compliance counsel should conduct this analysis. Risk programs should document the rationale.</w:t>
      </w:r>
    </w:p>
    <w:p>
      <w:pPr>
        <w:pBdr>
          <w:bottom w:val="single" w:color="E0E5EE" w:sz="4"/>
        </w:pBdr>
        <w:spacing w:before="200" w:after="200"/>
      </w:pPr>
    </w:p>
    <w:p>
      <w:pPr>
        <w:pStyle w:val="Heading1"/>
        <w:spacing w:before="400" w:after="160"/>
      </w:pPr>
      <w:r>
        <w:rPr>
          <w:rFonts w:ascii="Arial" w:cs="Arial" w:eastAsia="Arial" w:hAnsi="Arial"/>
          <w:b/>
          <w:bCs/>
          <w:color w:val="1A1A2E"/>
          <w:sz w:val="30"/>
          <w:szCs w:val="30"/>
        </w:rPr>
        <w:t xml:space="preserve">6. Conclusion</w:t>
      </w:r>
    </w:p>
    <w:p>
      <w:pPr>
        <w:spacing w:before="80" w:after="120"/>
      </w:pPr>
      <w:r>
        <w:rPr>
          <w:rFonts w:ascii="Arial" w:cs="Arial" w:eastAsia="Arial" w:hAnsi="Arial"/>
          <w:color w:val="2D2D2D"/>
          <w:sz w:val="22"/>
          <w:szCs w:val="22"/>
        </w:rPr>
        <w:t xml:space="preserve">Agentic AI represents a qualitative shift in enterprise risk — not an incremental extension of prior AI governance challenges. The combination of autonomous decision-making, persistent memory, delegated system access, and multi-agent orchestration creates attack surfaces and failure modes that existing security programs were not designed to address.</w:t>
      </w:r>
    </w:p>
    <w:p>
      <w:pPr>
        <w:spacing w:before="80" w:after="120"/>
      </w:pPr>
      <w:r>
        <w:rPr>
          <w:rFonts w:ascii="Arial" w:cs="Arial" w:eastAsia="Arial" w:hAnsi="Arial"/>
          <w:color w:val="2D2D2D"/>
          <w:sz w:val="22"/>
          <w:szCs w:val="22"/>
        </w:rPr>
        <w:t xml:space="preserve">Effective response requires three parallel tracks: adopting the OWASP Agentic Top 10 as a shared threat taxonomy across security and product teams; upgrading vendor due diligence programs with agentic-specific controls and evidence requirements; and aligning EU AI Act compliance programs to accurate, source-verified timeline milestones.</w:t>
      </w:r>
    </w:p>
    <w:p>
      <w:pPr>
        <w:spacing w:before="80" w:after="120"/>
      </w:pPr>
      <w:r>
        <w:rPr>
          <w:rFonts w:ascii="Arial" w:cs="Arial" w:eastAsia="Arial" w:hAnsi="Arial"/>
          <w:color w:val="2D2D2D"/>
          <w:sz w:val="22"/>
          <w:szCs w:val="22"/>
        </w:rPr>
        <w:t xml:space="preserve">None of these tracks is sufficient in isolation. A governance program without technical controls is a documentation exercise. Technical controls without governance accountability lack the durability to survive model updates and vendor changes. Regulatory compliance without risk management produces paperwork, not safety.</w:t>
      </w:r>
    </w:p>
    <w:p>
      <w:pPr>
        <w:spacing w:before="80" w:after="120"/>
      </w:pPr>
      <w:r>
        <w:rPr>
          <w:rFonts w:ascii="Arial" w:cs="Arial" w:eastAsia="Arial" w:hAnsi="Arial"/>
          <w:color w:val="2D2D2D"/>
          <w:sz w:val="22"/>
          <w:szCs w:val="22"/>
        </w:rPr>
        <w:t xml:space="preserve">Organizations that treat agentic AI governance as an architecture problem — with repeatable, enforceable controls built into how agents are deployed, not just how they are described — will be better positioned for both security and regulatory resilience as this landscape continues to evolve.</w:t>
      </w:r>
    </w:p>
    <w:p>
      <w:pPr>
        <w:pBdr>
          <w:bottom w:val="single" w:color="E0E5EE" w:sz="4"/>
        </w:pBdr>
        <w:spacing w:before="200" w:after="200"/>
      </w:pPr>
    </w:p>
    <w:p>
      <w:pPr>
        <w:spacing w:before="200" w:after="80"/>
      </w:pPr>
      <w:r>
        <w:rPr>
          <w:rFonts w:ascii="Arial" w:cs="Arial" w:eastAsia="Arial" w:hAnsi="Arial"/>
          <w:b/>
          <w:bCs/>
          <w:color w:val="1A1A2E"/>
          <w:sz w:val="20"/>
          <w:szCs w:val="20"/>
        </w:rPr>
        <w:t xml:space="preserve">Key References</w:t>
      </w:r>
    </w:p>
    <w:p>
      <w:pPr>
        <w:spacing w:before="80" w:after="120"/>
      </w:pPr>
      <w:r>
        <w:rPr>
          <w:rFonts w:ascii="Arial" w:cs="Arial" w:eastAsia="Arial" w:hAnsi="Arial"/>
          <w:color w:val="2D2D2D"/>
          <w:sz w:val="22"/>
          <w:szCs w:val="22"/>
        </w:rPr>
        <w:t xml:space="preserve">OWASP Top 10 for Agentic Applications, 2026 Edition: https://genai.owasp.org</w:t>
      </w:r>
    </w:p>
    <w:p>
      <w:pPr>
        <w:spacing w:before="80" w:after="120"/>
      </w:pPr>
      <w:r>
        <w:rPr>
          <w:rFonts w:ascii="Arial" w:cs="Arial" w:eastAsia="Arial" w:hAnsi="Arial"/>
          <w:color w:val="2D2D2D"/>
          <w:sz w:val="22"/>
          <w:szCs w:val="22"/>
        </w:rPr>
        <w:t xml:space="preserve">NIST AI Risk Management Framework (AI RMF 1.0): https://nvlpubs.nist.gov/nistpubs/ai/nist.ai.100-1.pdf</w:t>
      </w:r>
    </w:p>
    <w:p>
      <w:pPr>
        <w:spacing w:before="80" w:after="120"/>
      </w:pPr>
      <w:r>
        <w:rPr>
          <w:rFonts w:ascii="Arial" w:cs="Arial" w:eastAsia="Arial" w:hAnsi="Arial"/>
          <w:color w:val="2D2D2D"/>
          <w:sz w:val="22"/>
          <w:szCs w:val="22"/>
        </w:rPr>
        <w:t xml:space="preserve">NIST AI Agent Standards Initiative (February 2026): https://www.nist.gov/news-events/news/2026/02/announcing-ai-agent-standards-initiative</w:t>
      </w:r>
    </w:p>
    <w:p>
      <w:pPr>
        <w:spacing w:before="80" w:after="120"/>
      </w:pPr>
      <w:r>
        <w:rPr>
          <w:rFonts w:ascii="Arial" w:cs="Arial" w:eastAsia="Arial" w:hAnsi="Arial"/>
          <w:color w:val="2D2D2D"/>
          <w:sz w:val="22"/>
          <w:szCs w:val="22"/>
        </w:rPr>
        <w:t xml:space="preserve">CSA AI Controls Matrix (AICM): https://cloudsecurityalliance.org/artifacts/ai-controls-matrix</w:t>
      </w:r>
    </w:p>
    <w:p>
      <w:pPr>
        <w:spacing w:before="80" w:after="120"/>
      </w:pPr>
      <w:r>
        <w:rPr>
          <w:rFonts w:ascii="Arial" w:cs="Arial" w:eastAsia="Arial" w:hAnsi="Arial"/>
          <w:color w:val="2D2D2D"/>
          <w:sz w:val="22"/>
          <w:szCs w:val="22"/>
        </w:rPr>
        <w:t xml:space="preserve">EU AI Act Service Desk (official applicability dates): https://ai-act-service-desk.ec.europa.eu/en/faq</w:t>
      </w:r>
    </w:p>
    <w:p>
      <w:pPr>
        <w:spacing w:before="80" w:after="120"/>
      </w:pPr>
      <w:r>
        <w:rPr>
          <w:rFonts w:ascii="Arial" w:cs="Arial" w:eastAsia="Arial" w:hAnsi="Arial"/>
          <w:color w:val="2D2D2D"/>
          <w:sz w:val="22"/>
          <w:szCs w:val="22"/>
        </w:rPr>
        <w:t xml:space="preserve">IAPP: European Commission Misses AI Act Guidance Deadline: https://iapp.org/news/a/european-commission-misses-deadline-for-ai-act-guidance-on-high-risk-systems</w:t>
      </w:r>
    </w:p>
    <w:p>
      <w:pPr>
        <w:spacing w:before="80" w:after="120"/>
      </w:pPr>
      <w:r>
        <w:rPr>
          <w:rFonts w:ascii="Arial" w:cs="Arial" w:eastAsia="Arial" w:hAnsi="Arial"/>
          <w:color w:val="2D2D2D"/>
          <w:sz w:val="22"/>
          <w:szCs w:val="22"/>
        </w:rPr>
        <w:t xml:space="preserve">ISO/IEC 42001 AI Management System Standard: https://www.iso.org/standard/42001</w:t>
      </w:r>
    </w:p>
    <w:p>
      <w:pPr>
        <w:spacing w:before="80" w:after="120"/>
      </w:pPr>
      <w:r>
        <w:rPr>
          <w:rFonts w:ascii="Arial" w:cs="Arial" w:eastAsia="Arial" w:hAnsi="Arial"/>
          <w:color w:val="2D2D2D"/>
          <w:sz w:val="22"/>
          <w:szCs w:val="22"/>
        </w:rPr>
        <w:t xml:space="preserve">NCCOE: Accelerating Adoption of Software and AI Agent Identity and Authorization (Concept Paper, February 2026): https://www.nccoe.nist.gov</w:t>
      </w:r>
    </w:p>
    <w:p>
      <w:pPr>
        <w:spacing w:before="300" w:after="0"/>
      </w:pPr>
      <w:r>
        <w:rPr>
          <w:rFonts w:ascii="Arial" w:cs="Arial" w:eastAsia="Arial" w:hAnsi="Arial"/>
          <w:i/>
          <w:iCs/>
          <w:color w:val="AAAAAA"/>
          <w:sz w:val="17"/>
          <w:szCs w:val="17"/>
        </w:rPr>
        <w:t xml:space="preserve">© 2026 Joshua Godwin. All rights reserved. This document is intended for informational purposes. It does not constitute legal advice.</w:t>
      </w:r>
    </w:p>
    <w:sectPr>
      <w:head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0E5EE" w:sz="4"/>
      </w:pBdr>
      <w:spacing w:after="200"/>
    </w:pPr>
    <w:r>
      <w:rPr>
        <w:rFonts w:ascii="Arial" w:cs="Arial" w:eastAsia="Arial" w:hAnsi="Arial"/>
        <w:color w:val="8E9BAA"/>
        <w:sz w:val="16"/>
        <w:szCs w:val="16"/>
      </w:rPr>
      <w:t xml:space="preserve">Strengthening Agentic AI Risk Controls, Vendor Due Diligence, and the EU AI Act Roadmap</w:t>
    </w:r>
    <w:r>
      <w:rPr>
        <w:rFonts w:ascii="Arial" w:cs="Arial" w:eastAsia="Arial" w:hAnsi="Arial"/>
        <w:color w:val="AAAAAA"/>
        <w:sz w:val="16"/>
        <w:szCs w:val="16"/>
      </w:rPr>
      <w:t xml:space="preserve">  |  Joshua Godwin  |  February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color w:val="005F73"/>
      </w:rPr>
    </w:lvl>
    <w:lvl w:ilvl="1" w15:tentative="1">
      <w:start w:val="1"/>
      <w:numFmt w:val="bullet"/>
      <w:lvlText w:val="–"/>
      <w:lvlJc w:val="left"/>
      <w:pPr>
        <w:ind w:left="1080" w:hanging="360"/>
      </w:pPr>
      <w:rPr>
        <w:rFonts w:ascii="Arial" w:cs="Arial" w:eastAsia="Arial" w:hAnsi="Arial"/>
        <w:color w:val="8E9BAA"/>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A1A2E"/>
      <w:sz w:val="30"/>
      <w:szCs w:val="30"/>
    </w:rPr>
  </w:style>
  <w:style w:type="paragraph" w:styleId="Heading2">
    <w:name w:val="Heading 2"/>
    <w:basedOn w:val="Normal"/>
    <w:next w:val="Normal"/>
    <w:qFormat/>
    <w:pPr>
      <w:spacing w:before="320" w:after="120"/>
      <w:outlineLvl w:val="1"/>
    </w:pPr>
    <w:rPr>
      <w:rFonts w:ascii="Arial" w:cs="Arial" w:eastAsia="Arial" w:hAnsi="Arial"/>
      <w:b/>
      <w:bCs/>
      <w:color w:val="005F7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2026-03-16T23:20:40.506Z</dcterms:created>
  <dcterms:modified xsi:type="dcterms:W3CDTF">2026-03-16T23:20:40.508Z</dcterms:modified>
</cp:coreProperties>
</file>

<file path=docProps/custom.xml><?xml version="1.0" encoding="utf-8"?>
<Properties xmlns="http://schemas.openxmlformats.org/officeDocument/2006/custom-properties" xmlns:vt="http://schemas.openxmlformats.org/officeDocument/2006/docPropsVTypes"/>
</file>