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B2A4A"/>
          <w:sz w:val="52"/>
          <w:szCs w:val="52"/>
        </w:rPr>
        <w:t xml:space="preserve">VENDOR RISK ASSESSMENT</w:t>
      </w:r>
    </w:p>
    <w:p>
      <w:pPr>
        <w:spacing w:before="0" w:after="200"/>
        <w:jc w:val="center"/>
      </w:pPr>
      <w:r>
        <w:rPr>
          <w:rFonts w:ascii="Arial" w:cs="Arial" w:eastAsia="Arial" w:hAnsi="Arial"/>
          <w:b w:val="false"/>
          <w:bCs w:val="false"/>
          <w:color w:val="1A7F8E"/>
          <w:sz w:val="36"/>
          <w:szCs w:val="36"/>
        </w:rPr>
        <w:t xml:space="preserve">RESEARCH &amp; PRACTICAL SOLUTIONS REPORT</w:t>
      </w:r>
    </w:p>
    <w:p>
      <w:pPr>
        <w:pBdr>
          <w:bottom w:val="single" w:color="C0392B" w:sz="8" w:space="4"/>
        </w:pBdr>
        <w:spacing w:before="0" w:after="800"/>
        <w:jc w:val="center"/>
      </w:pPr>
      <w:r>
        <w:rPr>
          <w:rFonts w:ascii="Arial" w:cs="Arial" w:eastAsia="Arial" w:hAnsi="Arial"/>
          <w:i/>
          <w:iCs/>
          <w:color w:val="555555"/>
          <w:sz w:val="24"/>
          <w:szCs w:val="24"/>
        </w:rPr>
        <w:t xml:space="preserve">When SOC Reports Fail, AI Audits Are Rushed, and the Industry Has No Answers</w:t>
      </w:r>
    </w:p>
    <w:p>
      <w:pPr>
        <w:spacing w:before="80" w:after="80"/>
      </w:pPr>
      <w:r>
        <w:t xml:space="preserve"/>
      </w:r>
    </w:p>
    <w:p>
      <w:pPr>
        <w:spacing w:before="400" w:after="80"/>
        <w:jc w:val="center"/>
      </w:pPr>
      <w:r>
        <w:rPr>
          <w:rFonts w:ascii="Arial" w:cs="Arial" w:eastAsia="Arial" w:hAnsi="Arial"/>
          <w:b/>
          <w:bCs/>
          <w:color w:val="1B2A4A"/>
          <w:sz w:val="24"/>
          <w:szCs w:val="24"/>
        </w:rPr>
        <w:t xml:space="preserve">Joshua Godwin</w:t>
      </w:r>
    </w:p>
    <w:p>
      <w:pPr>
        <w:spacing w:before="0" w:after="80"/>
        <w:jc w:val="center"/>
      </w:pPr>
      <w:r>
        <w:rPr>
          <w:rFonts w:ascii="Arial" w:cs="Arial" w:eastAsia="Arial" w:hAnsi="Arial"/>
          <w:color w:val="777777"/>
          <w:sz w:val="22"/>
          <w:szCs w:val="22"/>
        </w:rPr>
        <w:t xml:space="preserve">Cybersecurity Research | Joshua Godwin | March 2026</w:t>
      </w:r>
    </w:p>
    <w:p>
      <w:pPr>
        <w:spacing w:before="0" w:after="80"/>
        <w:jc w:val="center"/>
      </w:pPr>
      <w:r>
        <w:rPr>
          <w:rFonts w:ascii="Arial" w:cs="Arial" w:eastAsia="Arial" w:hAnsi="Arial"/>
          <w:color w:val="777777"/>
          <w:sz w:val="22"/>
          <w:szCs w:val="22"/>
        </w:rPr>
        <w:t xml:space="preserve">March 2026</w:t>
      </w:r>
    </w:p>
    <w:p>
      <w:r>
        <w:br w:type="page"/>
      </w:r>
    </w:p>
    <w:p>
      <w:pPr>
        <w:pStyle w:val="Heading1"/>
        <w:pBdr>
          <w:bottom w:val="single" w:color="1A7F8E" w:sz="8" w:space="4"/>
        </w:pBdr>
        <w:spacing w:before="400" w:after="160"/>
      </w:pPr>
      <w:r>
        <w:rPr>
          <w:rFonts w:ascii="Arial" w:cs="Arial" w:eastAsia="Arial" w:hAnsi="Arial"/>
          <w:b/>
          <w:bCs/>
          <w:color w:val="1B2A4A"/>
          <w:sz w:val="32"/>
          <w:szCs w:val="32"/>
        </w:rPr>
        <w:t xml:space="preserve">Executive Summary</w:t>
      </w:r>
    </w:p>
    <w:p>
      <w:pPr>
        <w:spacing w:before="80" w:after="120"/>
      </w:pPr>
      <w:r>
        <w:rPr>
          <w:rFonts w:ascii="Arial" w:cs="Arial" w:eastAsia="Arial" w:hAnsi="Arial"/>
          <w:color w:val="1C1C1C"/>
          <w:sz w:val="22"/>
          <w:szCs w:val="22"/>
        </w:rPr>
        <w:t xml:space="preserve">This report is the product of a deep research session exploring one of the most critical unsolved problems in cybersecurity: how do organizations practically validate vendor security when the traditional tools — SOC reports, ISO certifications, and third-party audits — are either unavailable, insufficient, or fundamentally broken?</w:t>
      </w:r>
    </w:p>
    <w:p>
      <w:pPr>
        <w:spacing w:before="80" w:after="80"/>
      </w:pPr>
      <w:r>
        <w:t xml:space="preserve"/>
      </w:r>
    </w:p>
    <w:p>
      <w:pPr>
        <w:spacing w:before="80" w:after="120"/>
      </w:pPr>
      <w:r>
        <w:rPr>
          <w:rFonts w:ascii="Arial" w:cs="Arial" w:eastAsia="Arial" w:hAnsi="Arial"/>
          <w:color w:val="1C1C1C"/>
          <w:sz w:val="22"/>
          <w:szCs w:val="22"/>
        </w:rPr>
        <w:t xml:space="preserve">The core problems identified in this research:</w:t>
      </w:r>
    </w:p>
    <w:p>
      <w:pPr>
        <w:pStyle w:val="ListParagraph"/>
        <w:numPr>
          <w:ilvl w:val="0"/>
          <w:numId w:val="2"/>
        </w:numPr>
        <w:spacing w:before="60" w:after="60"/>
      </w:pPr>
      <w:r>
        <w:rPr>
          <w:rFonts w:ascii="Arial" w:cs="Arial" w:eastAsia="Arial" w:hAnsi="Arial"/>
          <w:color w:val="1C1C1C"/>
          <w:sz w:val="22"/>
          <w:szCs w:val="22"/>
        </w:rPr>
        <w:t xml:space="preserve">SOC reports are increasingly being completed in 2-3 months through templated, clipboard-based processes that do not reflect actual control operation over time.</w:t>
      </w:r>
    </w:p>
    <w:p>
      <w:pPr>
        <w:pStyle w:val="ListParagraph"/>
        <w:numPr>
          <w:ilvl w:val="0"/>
          <w:numId w:val="2"/>
        </w:numPr>
        <w:spacing w:before="60" w:after="60"/>
      </w:pPr>
      <w:r>
        <w:rPr>
          <w:rFonts w:ascii="Arial" w:cs="Arial" w:eastAsia="Arial" w:hAnsi="Arial"/>
          <w:color w:val="1C1C1C"/>
          <w:sz w:val="22"/>
          <w:szCs w:val="22"/>
        </w:rPr>
        <w:t xml:space="preserve">On-premise software vendors frequently have no third-party certifications, yet organizations still must make risk decisions about their software.</w:t>
      </w:r>
    </w:p>
    <w:p>
      <w:pPr>
        <w:pStyle w:val="ListParagraph"/>
        <w:numPr>
          <w:ilvl w:val="0"/>
          <w:numId w:val="2"/>
        </w:numPr>
        <w:spacing w:before="60" w:after="60"/>
      </w:pPr>
      <w:r>
        <w:rPr>
          <w:rFonts w:ascii="Arial" w:cs="Arial" w:eastAsia="Arial" w:hAnsi="Arial"/>
          <w:color w:val="1C1C1C"/>
          <w:sz w:val="22"/>
          <w:szCs w:val="22"/>
        </w:rPr>
        <w:t xml:space="preserve">AI systems embedded in SaaS products are often invisible to buyers — vendors do not disclose AI components, data handling practices, or training methodologies.</w:t>
      </w:r>
    </w:p>
    <w:p>
      <w:pPr>
        <w:pStyle w:val="ListParagraph"/>
        <w:numPr>
          <w:ilvl w:val="0"/>
          <w:numId w:val="2"/>
        </w:numPr>
        <w:spacing w:before="60" w:after="60"/>
      </w:pPr>
      <w:r>
        <w:rPr>
          <w:rFonts w:ascii="Arial" w:cs="Arial" w:eastAsia="Arial" w:hAnsi="Arial"/>
          <w:color w:val="1C1C1C"/>
          <w:sz w:val="22"/>
          <w:szCs w:val="22"/>
        </w:rPr>
        <w:t xml:space="preserve">The vendor risk assessment industry relies on self-reported answers with limited ability to independently verify claims.</w:t>
      </w:r>
    </w:p>
    <w:p>
      <w:pPr>
        <w:pStyle w:val="ListParagraph"/>
        <w:numPr>
          <w:ilvl w:val="0"/>
          <w:numId w:val="2"/>
        </w:numPr>
        <w:spacing w:before="60" w:after="60"/>
      </w:pPr>
      <w:r>
        <w:rPr>
          <w:rFonts w:ascii="Arial" w:cs="Arial" w:eastAsia="Arial" w:hAnsi="Arial"/>
          <w:color w:val="1C1C1C"/>
          <w:sz w:val="22"/>
          <w:szCs w:val="22"/>
        </w:rPr>
        <w:t xml:space="preserve">AI-assisted assessment tools improve efficiency but introduce their own validation problem — who validates the validator?</w:t>
      </w:r>
    </w:p>
    <w:p>
      <w:pPr>
        <w:spacing w:before="80" w:after="80"/>
      </w:pPr>
      <w:r>
        <w:t xml:space="preserve"/>
      </w:r>
    </w:p>
    <w:p>
      <w:pPr>
        <w:spacing w:before="80" w:after="120"/>
      </w:pPr>
      <w:r>
        <w:rPr>
          <w:rFonts w:ascii="Arial" w:cs="Arial" w:eastAsia="Arial" w:hAnsi="Arial"/>
          <w:color w:val="1C1C1C"/>
          <w:sz w:val="22"/>
          <w:szCs w:val="22"/>
        </w:rPr>
        <w:t xml:space="preserve">This report provides practical, implementable solutions organized by vendor type and scenario. It does not offer theoretical frameworks — it offers specific questions, evidence to request, red flags to watch for, and tools that can be deployed today.</w:t>
      </w:r>
    </w:p>
    <w:p>
      <w:pPr>
        <w:spacing w:before="80" w:after="80"/>
      </w:pPr>
      <w:r>
        <w:t xml:space="preserve"/>
      </w:r>
    </w:p>
    <w:p>
      <w:pPr>
        <w:pBdr>
          <w:bottom w:val="single" w:color="D5D8DC" w:sz="4" w:space="1"/>
        </w:pBdr>
        <w:spacing w:before="200" w:after="200"/>
      </w:pPr>
      <w:r>
        <w:t xml:space="preserve"/>
      </w:r>
    </w:p>
    <w:p>
      <w:pPr>
        <w:pStyle w:val="Heading1"/>
        <w:pBdr>
          <w:bottom w:val="single" w:color="1A7F8E" w:sz="8" w:space="4"/>
        </w:pBdr>
        <w:spacing w:before="400" w:after="160"/>
      </w:pPr>
      <w:r>
        <w:rPr>
          <w:rFonts w:ascii="Arial" w:cs="Arial" w:eastAsia="Arial" w:hAnsi="Arial"/>
          <w:b/>
          <w:bCs/>
          <w:color w:val="1B2A4A"/>
          <w:sz w:val="32"/>
          <w:szCs w:val="32"/>
        </w:rPr>
        <w:t xml:space="preserve">2. The Core Problem: Why Traditional VRA Is Broken</w:t>
      </w:r>
    </w:p>
    <w:p>
      <w:pPr>
        <w:pStyle w:val="Heading2"/>
        <w:spacing w:before="300" w:after="120"/>
      </w:pPr>
      <w:r>
        <w:rPr>
          <w:rFonts w:ascii="Arial" w:cs="Arial" w:eastAsia="Arial" w:hAnsi="Arial"/>
          <w:b/>
          <w:bCs/>
          <w:color w:val="1A7F8E"/>
          <w:sz w:val="26"/>
          <w:szCs w:val="26"/>
        </w:rPr>
        <w:t xml:space="preserve">2.1  The SOC Report Problem</w:t>
      </w:r>
    </w:p>
    <w:p>
      <w:pPr>
        <w:spacing w:before="80" w:after="120"/>
      </w:pPr>
      <w:r>
        <w:rPr>
          <w:rFonts w:ascii="Arial" w:cs="Arial" w:eastAsia="Arial" w:hAnsi="Arial"/>
          <w:color w:val="1C1C1C"/>
          <w:sz w:val="22"/>
          <w:szCs w:val="22"/>
        </w:rPr>
        <w:t xml:space="preserve">SOC 2 Type II reports were designed to provide independent, time-observed verification of security controls. The model requires auditors to observe controls operating over a sustained period — typically 6 to 12 months — and sample evidence repeatedly throughout the review period. This means watching access reviews happen, seeing offboarding occur in real time, verifying training records as they are created, not after the fact.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pPr>
              <w:spacing w:before="40" w:after="60"/>
            </w:pPr>
            <w:r>
              <w:rPr>
                <w:rFonts w:ascii="Arial" w:cs="Arial" w:eastAsia="Arial" w:hAnsi="Arial"/>
                <w:b/>
                <w:bCs/>
                <w:color w:val="C0392B"/>
                <w:sz w:val="22"/>
                <w:szCs w:val="22"/>
              </w:rPr>
              <w:t xml:space="preserve">Critical Industry Failure</w:t>
            </w:r>
          </w:p>
          <w:p>
            <w:pPr>
              <w:spacing w:before="0" w:after="40"/>
            </w:pPr>
            <w:r>
              <w:rPr>
                <w:rFonts w:ascii="Arial" w:cs="Arial" w:eastAsia="Arial" w:hAnsi="Arial"/>
                <w:color w:val="1C1C1C"/>
                <w:sz w:val="20"/>
                <w:szCs w:val="20"/>
              </w:rPr>
              <w:t xml:space="preserve">Vendors are now obtaining SOC 2 reports in 2-3 months through accelerated programs that use document collection and configuration screenshots rather than sustained observation. These reports meet the letter of the standard but not its intent. The auditor has not watched the organization function — they have reviewed a curated snapshot.</w:t>
            </w:r>
          </w:p>
        </w:tc>
      </w:tr>
    </w:tbl>
    <w:p>
      <w:pPr>
        <w:spacing w:before="80" w:after="80"/>
      </w:pPr>
      <w:r>
        <w:t xml:space="preserve"/>
      </w:r>
    </w:p>
    <w:p>
      <w:pPr>
        <w:spacing w:before="80" w:after="120"/>
      </w:pPr>
      <w:r>
        <w:rPr>
          <w:rFonts w:ascii="Arial" w:cs="Arial" w:eastAsia="Arial" w:hAnsi="Arial"/>
          <w:color w:val="1C1C1C"/>
          <w:sz w:val="22"/>
          <w:szCs w:val="22"/>
        </w:rPr>
        <w:t xml:space="preserve">The practical consequence: a SOC 2 Type II report is no longer a reliable signal of security maturity. Two reports from two different vendors — one completed in 10 months of rigorous observation, one completed in 10 weeks through a compliance automation tool — look identical on paper.</w:t>
      </w:r>
    </w:p>
    <w:p>
      <w:pPr>
        <w:spacing w:before="80" w:after="80"/>
      </w:pPr>
      <w:r>
        <w:t xml:space="preserve"/>
      </w:r>
    </w:p>
    <w:p>
      <w:pPr>
        <w:spacing w:before="80" w:after="120"/>
      </w:pPr>
      <w:r>
        <w:rPr>
          <w:rFonts w:ascii="Arial" w:cs="Arial" w:eastAsia="Arial" w:hAnsi="Arial"/>
          <w:color w:val="1C1C1C"/>
          <w:sz w:val="22"/>
          <w:szCs w:val="22"/>
        </w:rPr>
        <w:t xml:space="preserve">What assessors must now do: interrogate the report, not just its existence. Key questions include:</w:t>
      </w:r>
    </w:p>
    <w:p>
      <w:pPr>
        <w:pStyle w:val="ListParagraph"/>
        <w:numPr>
          <w:ilvl w:val="0"/>
          <w:numId w:val="2"/>
        </w:numPr>
        <w:spacing w:before="60" w:after="60"/>
      </w:pPr>
      <w:r>
        <w:rPr>
          <w:rFonts w:ascii="Arial" w:cs="Arial" w:eastAsia="Arial" w:hAnsi="Arial"/>
          <w:color w:val="1C1C1C"/>
          <w:sz w:val="22"/>
          <w:szCs w:val="22"/>
        </w:rPr>
        <w:t xml:space="preserve">What was the audit period? Anything under 6 months warrants scrutiny.</w:t>
      </w:r>
    </w:p>
    <w:p>
      <w:pPr>
        <w:pStyle w:val="ListParagraph"/>
        <w:numPr>
          <w:ilvl w:val="0"/>
          <w:numId w:val="2"/>
        </w:numPr>
        <w:spacing w:before="60" w:after="60"/>
      </w:pPr>
      <w:r>
        <w:rPr>
          <w:rFonts w:ascii="Arial" w:cs="Arial" w:eastAsia="Arial" w:hAnsi="Arial"/>
          <w:color w:val="1C1C1C"/>
          <w:sz w:val="22"/>
          <w:szCs w:val="22"/>
        </w:rPr>
        <w:t xml:space="preserve">Which controls were in scope? Narrow scopes can exclude critical areas.</w:t>
      </w:r>
    </w:p>
    <w:p>
      <w:pPr>
        <w:pStyle w:val="ListParagraph"/>
        <w:numPr>
          <w:ilvl w:val="0"/>
          <w:numId w:val="2"/>
        </w:numPr>
        <w:spacing w:before="60" w:after="60"/>
      </w:pPr>
      <w:r>
        <w:rPr>
          <w:rFonts w:ascii="Arial" w:cs="Arial" w:eastAsia="Arial" w:hAnsi="Arial"/>
          <w:color w:val="1C1C1C"/>
          <w:sz w:val="22"/>
          <w:szCs w:val="22"/>
        </w:rPr>
        <w:t xml:space="preserve">What was the auditor's sampling methodology? Were controls observed in operation or validated through documentation review?</w:t>
      </w:r>
    </w:p>
    <w:p>
      <w:pPr>
        <w:pStyle w:val="ListParagraph"/>
        <w:numPr>
          <w:ilvl w:val="0"/>
          <w:numId w:val="2"/>
        </w:numPr>
        <w:spacing w:before="60" w:after="60"/>
      </w:pPr>
      <w:r>
        <w:rPr>
          <w:rFonts w:ascii="Arial" w:cs="Arial" w:eastAsia="Arial" w:hAnsi="Arial"/>
          <w:color w:val="1C1C1C"/>
          <w:sz w:val="22"/>
          <w:szCs w:val="22"/>
        </w:rPr>
        <w:t xml:space="preserve">Were any exceptions noted? A clean report from a fast audit is more suspicious than a report with minor exceptions from a rigorous audit.</w:t>
      </w:r>
    </w:p>
    <w:p>
      <w:pPr>
        <w:spacing w:before="80" w:after="80"/>
      </w:pPr>
      <w:r>
        <w:t xml:space="preserve"/>
      </w:r>
    </w:p>
    <w:p>
      <w:pPr>
        <w:pStyle w:val="Heading2"/>
        <w:spacing w:before="300" w:after="120"/>
      </w:pPr>
      <w:r>
        <w:rPr>
          <w:rFonts w:ascii="Arial" w:cs="Arial" w:eastAsia="Arial" w:hAnsi="Arial"/>
          <w:b/>
          <w:bCs/>
          <w:color w:val="1A7F8E"/>
          <w:sz w:val="26"/>
          <w:szCs w:val="26"/>
        </w:rPr>
        <w:t xml:space="preserve">2.2  The On-Premise Software Problem</w:t>
      </w:r>
    </w:p>
    <w:p>
      <w:pPr>
        <w:spacing w:before="80" w:after="120"/>
      </w:pPr>
      <w:r>
        <w:rPr>
          <w:rFonts w:ascii="Arial" w:cs="Arial" w:eastAsia="Arial" w:hAnsi="Arial"/>
          <w:color w:val="1C1C1C"/>
          <w:sz w:val="22"/>
          <w:szCs w:val="22"/>
        </w:rPr>
        <w:t xml:space="preserve">On-premise software vendors occupy a unique risk position. They deliver software to a customer's environment, take payment, and have no further obligation to demonstrate that their security development lifecycle is sound. The software is now the customer's responsibility to run securely — but the security of the software itself depends entirely on how it was built.</w:t>
      </w:r>
    </w:p>
    <w:p>
      <w:pPr>
        <w:spacing w:before="80" w:after="80"/>
      </w:pPr>
      <w:r>
        <w:t xml:space="preserve"/>
      </w:r>
    </w:p>
    <w:p>
      <w:pPr>
        <w:spacing w:before="80" w:after="120"/>
      </w:pPr>
      <w:r>
        <w:rPr>
          <w:rFonts w:ascii="Arial" w:cs="Arial" w:eastAsia="Arial" w:hAnsi="Arial"/>
          <w:color w:val="1C1C1C"/>
          <w:sz w:val="22"/>
          <w:szCs w:val="22"/>
        </w:rPr>
        <w:t xml:space="preserve">SOC reports for on-premise products are rare because the SOC framework is designed for cloud-hosted services where the vendor controls the environment. Most ISO 27001 certifications address the vendor's internal organization, not the quality of the code they ship. Penetration test results are proprietary. The result: assessors have almost no independent evidence to work with.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F8E" w:sz="6"/>
              <w:left w:val="single" w:color="1A7F8E" w:sz="6"/>
              <w:bottom w:val="single" w:color="CCCCCC" w:sz="1"/>
              <w:right w:val="single" w:color="CCCCCC" w:sz="1"/>
            </w:tcBorders>
            <w:shd w:fill="E8F4F5" w:val="clear"/>
            <w:tcMar>
              <w:top w:type="dxa" w:w="120"/>
              <w:left w:type="dxa" w:w="180"/>
              <w:bottom w:type="dxa" w:w="120"/>
              <w:right w:type="dxa" w:w="180"/>
            </w:tcMar>
          </w:tcPr>
          <w:p>
            <w:pPr>
              <w:spacing w:before="40" w:after="60"/>
            </w:pPr>
            <w:r>
              <w:rPr>
                <w:rFonts w:ascii="Arial" w:cs="Arial" w:eastAsia="Arial" w:hAnsi="Arial"/>
                <w:b/>
                <w:bCs/>
                <w:color w:val="1A7F8E"/>
                <w:sz w:val="22"/>
                <w:szCs w:val="22"/>
              </w:rPr>
              <w:t xml:space="preserve">The Candy Box Analogy</w:t>
            </w:r>
          </w:p>
          <w:p>
            <w:pPr>
              <w:spacing w:before="0" w:after="40"/>
            </w:pPr>
            <w:r>
              <w:rPr>
                <w:rFonts w:ascii="Arial" w:cs="Arial" w:eastAsia="Arial" w:hAnsi="Arial"/>
                <w:color w:val="1C1C1C"/>
                <w:sz w:val="20"/>
                <w:szCs w:val="20"/>
              </w:rPr>
              <w:t xml:space="preserve">Buying on-premise software is like buying a product off a store shelf. You are trusting that it was manufactured safely, that quality controls were applied, and that it meets safety standards. But unlike food, there is no equivalent of FDA inspection for software. The assessor's job is to ask the right questions to understand how that product was built.</w:t>
            </w:r>
          </w:p>
        </w:tc>
      </w:tr>
    </w:tbl>
    <w:p>
      <w:pPr>
        <w:spacing w:before="80" w:after="80"/>
      </w:pPr>
      <w:r>
        <w:t xml:space="preserve"/>
      </w:r>
    </w:p>
    <w:p>
      <w:pPr>
        <w:pStyle w:val="Heading2"/>
        <w:spacing w:before="300" w:after="120"/>
      </w:pPr>
      <w:r>
        <w:rPr>
          <w:rFonts w:ascii="Arial" w:cs="Arial" w:eastAsia="Arial" w:hAnsi="Arial"/>
          <w:b/>
          <w:bCs/>
          <w:color w:val="1A7F8E"/>
          <w:sz w:val="26"/>
          <w:szCs w:val="26"/>
        </w:rPr>
        <w:t xml:space="preserve">2.3  The AI-Embedded Vendor Problem</w:t>
      </w:r>
    </w:p>
    <w:p>
      <w:pPr>
        <w:spacing w:before="80" w:after="120"/>
      </w:pPr>
      <w:r>
        <w:rPr>
          <w:rFonts w:ascii="Arial" w:cs="Arial" w:eastAsia="Arial" w:hAnsi="Arial"/>
          <w:color w:val="1C1C1C"/>
          <w:sz w:val="22"/>
          <w:szCs w:val="22"/>
        </w:rPr>
        <w:t xml:space="preserve">A growing number of SaaS vendors have embedded AI capabilities into their products — often without proactively disclosing this to customers. This creates risk that does not appear in traditional questionnaires:</w:t>
      </w:r>
    </w:p>
    <w:p>
      <w:pPr>
        <w:pStyle w:val="ListParagraph"/>
        <w:numPr>
          <w:ilvl w:val="0"/>
          <w:numId w:val="2"/>
        </w:numPr>
        <w:spacing w:before="60" w:after="60"/>
      </w:pPr>
      <w:r>
        <w:rPr>
          <w:rFonts w:ascii="Arial" w:cs="Arial" w:eastAsia="Arial" w:hAnsi="Arial"/>
          <w:color w:val="1C1C1C"/>
          <w:sz w:val="22"/>
          <w:szCs w:val="22"/>
        </w:rPr>
        <w:t xml:space="preserve">Customer data may be used to train or fine-tune models.</w:t>
      </w:r>
    </w:p>
    <w:p>
      <w:pPr>
        <w:pStyle w:val="ListParagraph"/>
        <w:numPr>
          <w:ilvl w:val="0"/>
          <w:numId w:val="2"/>
        </w:numPr>
        <w:spacing w:before="60" w:after="60"/>
      </w:pPr>
      <w:r>
        <w:rPr>
          <w:rFonts w:ascii="Arial" w:cs="Arial" w:eastAsia="Arial" w:hAnsi="Arial"/>
          <w:color w:val="1C1C1C"/>
          <w:sz w:val="22"/>
          <w:szCs w:val="22"/>
        </w:rPr>
        <w:t xml:space="preserve">AI outputs may be presented to users as authoritative without disclosure of uncertainty.</w:t>
      </w:r>
    </w:p>
    <w:p>
      <w:pPr>
        <w:pStyle w:val="ListParagraph"/>
        <w:numPr>
          <w:ilvl w:val="0"/>
          <w:numId w:val="2"/>
        </w:numPr>
        <w:spacing w:before="60" w:after="60"/>
      </w:pPr>
      <w:r>
        <w:rPr>
          <w:rFonts w:ascii="Arial" w:cs="Arial" w:eastAsia="Arial" w:hAnsi="Arial"/>
          <w:color w:val="1C1C1C"/>
          <w:sz w:val="22"/>
          <w:szCs w:val="22"/>
        </w:rPr>
        <w:t xml:space="preserve">Third-party AI APIs may be called by the vendor, sending customer data to providers the customer has not reviewed.</w:t>
      </w:r>
    </w:p>
    <w:p>
      <w:pPr>
        <w:pStyle w:val="ListParagraph"/>
        <w:numPr>
          <w:ilvl w:val="0"/>
          <w:numId w:val="2"/>
        </w:numPr>
        <w:spacing w:before="60" w:after="60"/>
      </w:pPr>
      <w:r>
        <w:rPr>
          <w:rFonts w:ascii="Arial" w:cs="Arial" w:eastAsia="Arial" w:hAnsi="Arial"/>
          <w:color w:val="1C1C1C"/>
          <w:sz w:val="22"/>
          <w:szCs w:val="22"/>
        </w:rPr>
        <w:t xml:space="preserve">Shadow AI — employees using personal AI subscriptions to process company data — may be facilitated by the vendor's product design.</w:t>
      </w:r>
    </w:p>
    <w:p>
      <w:pPr>
        <w:spacing w:before="80" w:after="80"/>
      </w:pPr>
      <w:r>
        <w:t xml:space="preserve"/>
      </w:r>
    </w:p>
    <w:p>
      <w:pPr>
        <w:spacing w:before="80" w:after="120"/>
      </w:pPr>
      <w:r>
        <w:rPr>
          <w:rFonts w:ascii="Arial" w:cs="Arial" w:eastAsia="Arial" w:hAnsi="Arial"/>
          <w:color w:val="1C1C1C"/>
          <w:sz w:val="22"/>
          <w:szCs w:val="22"/>
        </w:rPr>
        <w:t xml:space="preserve">Traditional TPRM questionnaires do not capture these risks because they were not designed for AI. The IBM 2025 Cost of a Data Breach Report found that 13% of organizations reported breaches involving AI models or applications, and 97% of those lacked proper AI access controls.</w:t>
      </w:r>
    </w:p>
    <w:p>
      <w:pPr>
        <w:spacing w:before="80" w:after="80"/>
      </w:pPr>
      <w:r>
        <w:t xml:space="preserve"/>
      </w:r>
    </w:p>
    <w:p>
      <w:pPr>
        <w:pBdr>
          <w:bottom w:val="single" w:color="D5D8DC" w:sz="4" w:space="1"/>
        </w:pBdr>
        <w:spacing w:before="200" w:after="200"/>
      </w:pPr>
      <w:r>
        <w:t xml:space="preserve"/>
      </w:r>
    </w:p>
    <w:p>
      <w:pPr>
        <w:pStyle w:val="Heading1"/>
        <w:pBdr>
          <w:bottom w:val="single" w:color="1A7F8E" w:sz="8" w:space="4"/>
        </w:pBdr>
        <w:spacing w:before="400" w:after="160"/>
      </w:pPr>
      <w:r>
        <w:rPr>
          <w:rFonts w:ascii="Arial" w:cs="Arial" w:eastAsia="Arial" w:hAnsi="Arial"/>
          <w:b/>
          <w:bCs/>
          <w:color w:val="1B2A4A"/>
          <w:sz w:val="32"/>
          <w:szCs w:val="32"/>
        </w:rPr>
        <w:t xml:space="preserve">3. Practical Solutions by Vendor Type</w:t>
      </w:r>
    </w:p>
    <w:p>
      <w:pPr>
        <w:pStyle w:val="Heading2"/>
        <w:spacing w:before="300" w:after="120"/>
      </w:pPr>
      <w:r>
        <w:rPr>
          <w:rFonts w:ascii="Arial" w:cs="Arial" w:eastAsia="Arial" w:hAnsi="Arial"/>
          <w:b/>
          <w:bCs/>
          <w:color w:val="1A7F8E"/>
          <w:sz w:val="26"/>
          <w:szCs w:val="26"/>
        </w:rPr>
        <w:t xml:space="preserve">3.1  When There Is No SOC Report</w:t>
      </w:r>
    </w:p>
    <w:p>
      <w:pPr>
        <w:spacing w:before="80" w:after="120"/>
      </w:pPr>
      <w:r>
        <w:rPr>
          <w:rFonts w:ascii="Arial" w:cs="Arial" w:eastAsia="Arial" w:hAnsi="Arial"/>
          <w:color w:val="1C1C1C"/>
          <w:sz w:val="22"/>
          <w:szCs w:val="22"/>
        </w:rPr>
        <w:t xml:space="preserve">The absence of a SOC report is common among smaller vendors, on-premise software providers, and vendors in early stages of security maturity. It does not automatically disqualify a vendor, but it requires a structured alternative approach.</w:t>
      </w:r>
    </w:p>
    <w:p>
      <w:pPr>
        <w:spacing w:before="80" w:after="80"/>
      </w:pPr>
      <w:r>
        <w:t xml:space="preserve"/>
      </w:r>
    </w:p>
    <w:p>
      <w:pPr>
        <w:spacing w:before="80" w:after="120"/>
      </w:pPr>
      <w:r>
        <w:rPr>
          <w:rFonts w:ascii="Arial" w:cs="Arial" w:eastAsia="Arial" w:hAnsi="Arial"/>
          <w:color w:val="1C1C1C"/>
          <w:sz w:val="22"/>
          <w:szCs w:val="22"/>
        </w:rPr>
        <w:t xml:space="preserve">The UpGuard methodology for SOC-absent vendors recommends combining two elements: an external security rating and a custom questionnaire that maps to SOC control objectives. Together, these can replicate much of what a SOC report provides. The key principle is: do not simply ask if controls exist. Ask for evidence that they operate.</w:t>
      </w:r>
    </w:p>
    <w:p>
      <w:pPr>
        <w:spacing w:before="80" w:after="80"/>
      </w:pPr>
      <w:r>
        <w:t xml:space="preserve"/>
      </w:r>
    </w:p>
    <w:p>
      <w:pPr>
        <w:spacing w:before="200" w:after="80"/>
      </w:pPr>
      <w:r>
        <w:rPr>
          <w:rFonts w:ascii="Arial" w:cs="Arial" w:eastAsia="Arial" w:hAnsi="Arial"/>
          <w:b/>
          <w:bCs/>
          <w:color w:val="C0392B"/>
          <w:sz w:val="22"/>
          <w:szCs w:val="22"/>
        </w:rPr>
        <w:t xml:space="preserve">Alternative Assessment Framework: SOC-Absent Vendors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2360"/>
        <w:gridCol w:w="140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Evidence to Request</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Red Flag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 you have written information security policies? When were they last reviewed?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Request the actual policy document with revision date on the cover 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No review date or review over 2 years ago.</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2</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How is your vulnerability management process structured? What tools do you use?</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Ask for a sample vulnerability scan report with dates and remediation tracking.</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No tooling named, no process described, or no evidence of tracking.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 you conduct security awareness training? When was the last session and what was covered?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Request training completion records or a certificate of training completion for staff.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Cannot produce records, training not documented.</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4</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How do you manage user access provisioning and deprovisioning?</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Request a sample access review report or evidence of a recent deprovisioning action.</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No documented process, no access reviews performed.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Have you experienced a security incident in the past 3 years? If so, describe it and how it was resolved.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Incident report or post-mortem 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Claiming "never had an incident" with no documentation is a red flag in itself.</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6</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What is your patch management cycle? How quickly are critical patches applied?</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Sample patch report showing patch status across systems.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No defined SLA for critical patches, no tooling for tracking.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 you have a documented incident response plan?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Request the IRP document and ask when it was last tested.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No IRP, or IRP that has never been tested or reviewed.</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8</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Do you conduct background checks on employees who handle customer data?</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Written policy stating background check requirements.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No policy, or policy that excludes contractors and third parties.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F8E" w:sz="6"/>
              <w:left w:val="single" w:color="1A7F8E" w:sz="6"/>
              <w:bottom w:val="single" w:color="CCCCCC" w:sz="1"/>
              <w:right w:val="single" w:color="CCCCCC" w:sz="1"/>
            </w:tcBorders>
            <w:shd w:fill="E8F4F5" w:val="clear"/>
            <w:tcMar>
              <w:top w:type="dxa" w:w="120"/>
              <w:left w:type="dxa" w:w="180"/>
              <w:bottom w:type="dxa" w:w="120"/>
              <w:right w:type="dxa" w:w="180"/>
            </w:tcMar>
          </w:tcPr>
          <w:p>
            <w:pPr>
              <w:spacing w:before="40" w:after="60"/>
            </w:pPr>
            <w:r>
              <w:rPr>
                <w:rFonts w:ascii="Arial" w:cs="Arial" w:eastAsia="Arial" w:hAnsi="Arial"/>
                <w:b/>
                <w:bCs/>
                <w:color w:val="1A7F8E"/>
                <w:sz w:val="22"/>
                <w:szCs w:val="22"/>
              </w:rPr>
              <w:t xml:space="preserve">Key Principle</w:t>
            </w:r>
          </w:p>
          <w:p>
            <w:pPr>
              <w:spacing w:before="0" w:after="40"/>
            </w:pPr>
            <w:r>
              <w:rPr>
                <w:rFonts w:ascii="Arial" w:cs="Arial" w:eastAsia="Arial" w:hAnsi="Arial"/>
                <w:color w:val="1C1C1C"/>
                <w:sz w:val="20"/>
                <w:szCs w:val="20"/>
              </w:rPr>
              <w:t xml:space="preserve">Frame questions around process and evidence, not yes/no answers. A vendor who can walk you through their process and produce documentation is demonstrating maturity. A vendor who can only say 'yes we do that' without specifics is a risk.</w:t>
            </w:r>
          </w:p>
        </w:tc>
      </w:tr>
    </w:tbl>
    <w:p>
      <w:pPr>
        <w:spacing w:before="80" w:after="80"/>
      </w:pPr>
      <w:r>
        <w:t xml:space="preserve"/>
      </w:r>
    </w:p>
    <w:p>
      <w:pPr>
        <w:pStyle w:val="Heading2"/>
        <w:spacing w:before="300" w:after="120"/>
      </w:pPr>
      <w:r>
        <w:rPr>
          <w:rFonts w:ascii="Arial" w:cs="Arial" w:eastAsia="Arial" w:hAnsi="Arial"/>
          <w:b/>
          <w:bCs/>
          <w:color w:val="1A7F8E"/>
          <w:sz w:val="26"/>
          <w:szCs w:val="26"/>
        </w:rPr>
        <w:t xml:space="preserve">3.2  Assessing On-Premise Software: SDLC and Secure Coding</w:t>
      </w:r>
    </w:p>
    <w:p>
      <w:pPr>
        <w:spacing w:before="80" w:after="120"/>
      </w:pPr>
      <w:r>
        <w:rPr>
          <w:rFonts w:ascii="Arial" w:cs="Arial" w:eastAsia="Arial" w:hAnsi="Arial"/>
          <w:color w:val="1C1C1C"/>
          <w:sz w:val="22"/>
          <w:szCs w:val="22"/>
        </w:rPr>
        <w:t xml:space="preserve">When a vendor ships software you install and run yourself, your risk exposure is different from a cloud service. You need to understand how the software was built, not just how the vendor runs their business. The Secure Development Lifecycle (SDLC) is the framework for evaluating this.</w:t>
      </w:r>
    </w:p>
    <w:p>
      <w:pPr>
        <w:spacing w:before="80" w:after="80"/>
      </w:pPr>
      <w:r>
        <w:t xml:space="preserve"/>
      </w:r>
    </w:p>
    <w:p>
      <w:pPr>
        <w:spacing w:before="80" w:after="120"/>
      </w:pPr>
      <w:r>
        <w:rPr>
          <w:rFonts w:ascii="Arial" w:cs="Arial" w:eastAsia="Arial" w:hAnsi="Arial"/>
          <w:color w:val="1C1C1C"/>
          <w:sz w:val="22"/>
          <w:szCs w:val="22"/>
        </w:rPr>
        <w:t xml:space="preserve">The challenge is that vendors are unlikely to share detailed code review processes or vulnerability test results. The approach is to ask process questions that reveal maturity without requiring disclosure of proprietary security information.</w:t>
      </w:r>
    </w:p>
    <w:p>
      <w:pPr>
        <w:spacing w:before="80" w:after="80"/>
      </w:pPr>
      <w:r>
        <w:t xml:space="preserve"/>
      </w:r>
    </w:p>
    <w:p>
      <w:pPr>
        <w:spacing w:before="200" w:after="80"/>
      </w:pPr>
      <w:r>
        <w:rPr>
          <w:rFonts w:ascii="Arial" w:cs="Arial" w:eastAsia="Arial" w:hAnsi="Arial"/>
          <w:b/>
          <w:bCs/>
          <w:color w:val="C0392B"/>
          <w:sz w:val="22"/>
          <w:szCs w:val="22"/>
        </w:rPr>
        <w:t xml:space="preserve">SDLC Assessment Questions: On-Premise Software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2360"/>
        <w:gridCol w:w="140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Evidence to Request</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Red Flag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 you have a documented secure development lifecycle? Can you describe the key stages?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SDLC policy document or development standards document.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Cannot describe stages, no documentation exists.</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2</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Do you use static application security testing (SAST) or dynamic application security testing (DAST) in your pipeline?</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Name of tools used (e.g., SonarQube, Checkmarx, Burp Suite). No need to share results.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No tools named, testing performed manually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 you maintain a Software Bill of Materials (SBOM) for this product?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SBOM in SPDX or CycloneDX format. If unavailable, ask when they plan to generate 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No SBOM and no plan to generate one. Cannot name major dependencies.</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4</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How do you track and remediate known vulnerabilities in your third-party dependencies?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Name of dependency scanning tool (Snyk, OWASP Dependency-Check, etc.) and sample report.</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No dependency scanning, no awareness of dependency vulnerabilities.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 developers receive security training? How frequently?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Training completion records or curriculum 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No training, or training is ad hoc without documentation.</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6</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Do you conduct code reviews before merging changes? Is there a security-focused review component?</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Code review policy or checklist.</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No mandatory review process, single developer approves own code.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Have you conducted a penetration test on this product in the past 2 years?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Executive summary of pen test results (not full report). Scope and 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No pen test ever conducted, or results older than 3 years.</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8</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What is your vulnerability disclosure policy? How do customers report vulnerabilities?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Published VDP or responsible disclosure policy.</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No VDP, no defined channel for reporting vulnerabilities.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pPr>
              <w:spacing w:before="40" w:after="60"/>
            </w:pPr>
            <w:r>
              <w:rPr>
                <w:rFonts w:ascii="Arial" w:cs="Arial" w:eastAsia="Arial" w:hAnsi="Arial"/>
                <w:b/>
                <w:bCs/>
                <w:color w:val="C0392B"/>
                <w:sz w:val="22"/>
                <w:szCs w:val="22"/>
              </w:rPr>
              <w:t xml:space="preserve">The SBOM Signal</w:t>
            </w:r>
          </w:p>
          <w:p>
            <w:pPr>
              <w:spacing w:before="0" w:after="40"/>
            </w:pPr>
            <w:r>
              <w:rPr>
                <w:rFonts w:ascii="Arial" w:cs="Arial" w:eastAsia="Arial" w:hAnsi="Arial"/>
                <w:color w:val="1C1C1C"/>
                <w:sz w:val="20"/>
                <w:szCs w:val="20"/>
              </w:rPr>
              <w:t xml:space="preserve">Asking for a Software Bill of Materials (SBOM) is one of the most revealing questions you can ask an on-premise software vendor. A vendor who maintains an SBOM demonstrates supply chain awareness. A vendor who has never heard of an SBOM reveals an immature security posture. CISA's 2025 minimum elements guidance defines SBOM as a formal record of all software components including supplier, version, and dependency relationships — in machine-readable formats like SPDX or CycloneDX.</w:t>
            </w:r>
          </w:p>
        </w:tc>
      </w:tr>
    </w:tbl>
    <w:p>
      <w:pPr>
        <w:spacing w:before="80" w:after="80"/>
      </w:pPr>
      <w:r>
        <w:t xml:space="preserve"/>
      </w:r>
    </w:p>
    <w:p>
      <w:pPr>
        <w:pStyle w:val="Heading2"/>
        <w:spacing w:before="300" w:after="120"/>
      </w:pPr>
      <w:r>
        <w:rPr>
          <w:rFonts w:ascii="Arial" w:cs="Arial" w:eastAsia="Arial" w:hAnsi="Arial"/>
          <w:b/>
          <w:bCs/>
          <w:color w:val="1A7F8E"/>
          <w:sz w:val="26"/>
          <w:szCs w:val="26"/>
        </w:rPr>
        <w:t xml:space="preserve">3.3  Assessing Vendors Who Embed AI in Their Products</w:t>
      </w:r>
    </w:p>
    <w:p>
      <w:pPr>
        <w:spacing w:before="80" w:after="120"/>
      </w:pPr>
      <w:r>
        <w:rPr>
          <w:rFonts w:ascii="Arial" w:cs="Arial" w:eastAsia="Arial" w:hAnsi="Arial"/>
          <w:color w:val="1C1C1C"/>
          <w:sz w:val="22"/>
          <w:szCs w:val="22"/>
        </w:rPr>
        <w:t xml:space="preserve">Traditional VRA questionnaires do not account for AI risks. When a vendor has embedded AI functionality — whether generative AI, ML-based automation, or AI-powered analytics — the assessment must expand to cover a new category of risk: how the AI handles your data, what it was trained on, and how the vendor monitors for AI failures.</w:t>
      </w:r>
    </w:p>
    <w:p>
      <w:pPr>
        <w:spacing w:before="80" w:after="80"/>
      </w:pPr>
      <w:r>
        <w:t xml:space="preserve"/>
      </w:r>
    </w:p>
    <w:p>
      <w:pPr>
        <w:spacing w:before="200" w:after="80"/>
      </w:pPr>
      <w:r>
        <w:rPr>
          <w:rFonts w:ascii="Arial" w:cs="Arial" w:eastAsia="Arial" w:hAnsi="Arial"/>
          <w:b/>
          <w:bCs/>
          <w:color w:val="C0392B"/>
          <w:sz w:val="22"/>
          <w:szCs w:val="22"/>
        </w:rPr>
        <w:t xml:space="preserve">AI Risk Assessment Questions: SaaS Vendors with Embedded AI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2360"/>
        <w:gridCol w:w="140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Evidence to Request</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Red Flag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Does your product use AI or machine learning in any component? If yes, which components?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Product documentation or architecture overview describing AI components.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Vendor cannot identify which components use AI.</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2</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Is customer data used to train or fine-tune AI models? If yes, how is consent obtained?</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Data processing agreement, terms of service, or written attestation.</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Yes to training without clear consent or opt-out mechanism.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Which third-party AI APIs or models does your product call? (e.g., OpenAI, Anthropic, Azure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List of AI sub-processors in the data processing agreement.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Cannot name sub-processors, or sub-processors not in DPA.</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4</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How long is user input retained before being deleted from AI processing systems?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Data retention policy specifying AI processing storage.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No defined retention period, or data retained indefinitely.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Is customer data isolated from other customers' data in AI processing? How?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Technical architecture description of data segregation.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No isolation, or vendor cannot describe isolation mechanism.</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6</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What is your process when the AI produces incorrect, biased, or harmful outputs?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AI incident response or escalation process document.</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No process, outputs not monitored, no human review mechanism.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F8E"/>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 you provide audit logs of AI interactions involving customer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Sample AI interaction log or log 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No logging capability for AI processing.</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7F8E"/>
                <w:sz w:val="20"/>
                <w:szCs w:val="20"/>
              </w:rPr>
              <w:t xml:space="preserve">8</w:t>
            </w:r>
          </w:p>
        </w:tc>
        <w:tc>
          <w:tcPr>
            <w:tcW w:type="dxa" w:w="5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Are you planning to add AI features in the next 12 months? How will customers be notified?</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C1C1C"/>
                <w:sz w:val="20"/>
                <w:szCs w:val="20"/>
              </w:rPr>
              <w:t xml:space="preserve">Product roadmap excerpt or written commitment to advance notice.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C0392B"/>
                <w:sz w:val="20"/>
                <w:szCs w:val="20"/>
              </w:rPr>
              <w:t xml:space="preserve">No notification process planned, changes made without disclosure.</w:t>
            </w:r>
          </w:p>
        </w:tc>
      </w:tr>
    </w:tbl>
    <w:p>
      <w:pPr>
        <w:spacing w:before="80" w:after="80"/>
      </w:pPr>
      <w:r>
        <w:t xml:space="preserve"/>
      </w:r>
    </w:p>
    <w:p>
      <w:pPr>
        <w:pBdr>
          <w:bottom w:val="single" w:color="D5D8DC" w:sz="4" w:space="1"/>
        </w:pBdr>
        <w:spacing w:before="200" w:after="200"/>
      </w:pPr>
      <w:r>
        <w:t xml:space="preserve"/>
      </w:r>
    </w:p>
    <w:p>
      <w:pPr>
        <w:pBdr>
          <w:bottom w:val="single" w:color="D5D8DC" w:sz="4" w:space="1"/>
        </w:pBdr>
        <w:spacing w:before="200" w:after="200"/>
      </w:pPr>
      <w:r>
        <w:t xml:space="preserve"/>
      </w:r>
    </w:p>
    <w:p>
      <w:pPr>
        <w:pStyle w:val="Heading1"/>
        <w:pBdr>
          <w:bottom w:val="single" w:color="1A7F8E" w:sz="8" w:space="4"/>
        </w:pBdr>
        <w:spacing w:before="400" w:after="160"/>
      </w:pPr>
      <w:r>
        <w:rPr>
          <w:rFonts w:ascii="Arial" w:cs="Arial" w:eastAsia="Arial" w:hAnsi="Arial"/>
          <w:b/>
          <w:bCs/>
          <w:color w:val="1B2A4A"/>
          <w:sz w:val="32"/>
          <w:szCs w:val="32"/>
        </w:rPr>
        <w:t xml:space="preserve">4. The Software Bill of Materials (SBOM): The Most Underused Tool in VRA</w:t>
      </w:r>
    </w:p>
    <w:p>
      <w:pPr>
        <w:pStyle w:val="Heading2"/>
        <w:spacing w:before="300" w:after="120"/>
      </w:pPr>
      <w:r>
        <w:rPr>
          <w:rFonts w:ascii="Arial" w:cs="Arial" w:eastAsia="Arial" w:hAnsi="Arial"/>
          <w:b/>
          <w:bCs/>
          <w:color w:val="1A7F8E"/>
          <w:sz w:val="26"/>
          <w:szCs w:val="26"/>
        </w:rPr>
        <w:t xml:space="preserve">4.1  What an SBOM Is</w:t>
      </w:r>
    </w:p>
    <w:p>
      <w:pPr>
        <w:spacing w:before="80" w:after="120"/>
      </w:pPr>
      <w:r>
        <w:rPr>
          <w:rFonts w:ascii="Arial" w:cs="Arial" w:eastAsia="Arial" w:hAnsi="Arial"/>
          <w:color w:val="1C1C1C"/>
          <w:sz w:val="22"/>
          <w:szCs w:val="22"/>
        </w:rPr>
        <w:t xml:space="preserve">A Software Bill of Materials is a formal inventory of every component in a software product — every open-source library, third-party dependency, framework, and module, along with version numbers, licensing, and supplier information. CISA describes it as analogous to a food ingredient label: it tells you what is in the product.</w:t>
      </w:r>
    </w:p>
    <w:p>
      <w:pPr>
        <w:spacing w:before="80" w:after="80"/>
      </w:pPr>
      <w:r>
        <w:t xml:space="preserve"/>
      </w:r>
    </w:p>
    <w:p>
      <w:pPr>
        <w:spacing w:before="80" w:after="120"/>
      </w:pPr>
      <w:r>
        <w:rPr>
          <w:rFonts w:ascii="Arial" w:cs="Arial" w:eastAsia="Arial" w:hAnsi="Arial"/>
          <w:color w:val="1C1C1C"/>
          <w:sz w:val="22"/>
          <w:szCs w:val="22"/>
        </w:rPr>
        <w:t xml:space="preserve">The two standard formats for machine-readable SBOMs are SPDX (developed by the Linux Foundation) and CycloneDX (developed by OWASP). Both are supported by automated generation tools and vulnerability databases.</w:t>
      </w:r>
    </w:p>
    <w:p>
      <w:pPr>
        <w:spacing w:before="80" w:after="80"/>
      </w:pPr>
      <w:r>
        <w:t xml:space="preserve"/>
      </w:r>
    </w:p>
    <w:p>
      <w:pPr>
        <w:pStyle w:val="Heading2"/>
        <w:spacing w:before="300" w:after="120"/>
      </w:pPr>
      <w:r>
        <w:rPr>
          <w:rFonts w:ascii="Arial" w:cs="Arial" w:eastAsia="Arial" w:hAnsi="Arial"/>
          <w:b/>
          <w:bCs/>
          <w:color w:val="1A7F8E"/>
          <w:sz w:val="26"/>
          <w:szCs w:val="26"/>
        </w:rPr>
        <w:t xml:space="preserve">4.2  Why It Matters for VRA</w:t>
      </w:r>
    </w:p>
    <w:p>
      <w:pPr>
        <w:spacing w:before="80" w:after="120"/>
      </w:pPr>
      <w:r>
        <w:rPr>
          <w:rFonts w:ascii="Arial" w:cs="Arial" w:eastAsia="Arial" w:hAnsi="Arial"/>
          <w:color w:val="1C1C1C"/>
          <w:sz w:val="22"/>
          <w:szCs w:val="22"/>
        </w:rPr>
        <w:t xml:space="preserve">When a critical vulnerability is disclosed — like the Log4j event in 2021 — organizations without SBOMs had to manually investigate every system to determine exposure. Organizations with SBOMs could query their inventory and identify affected components in minutes. The practical value is speed and accuracy of impact assessment.</w:t>
      </w:r>
    </w:p>
    <w:p>
      <w:pPr>
        <w:spacing w:before="80" w:after="80"/>
      </w:pPr>
      <w:r>
        <w:t xml:space="preserve"/>
      </w:r>
    </w:p>
    <w:p>
      <w:pPr>
        <w:spacing w:before="80" w:after="120"/>
      </w:pPr>
      <w:r>
        <w:rPr>
          <w:rFonts w:ascii="Arial" w:cs="Arial" w:eastAsia="Arial" w:hAnsi="Arial"/>
          <w:color w:val="1C1C1C"/>
          <w:sz w:val="22"/>
          <w:szCs w:val="22"/>
        </w:rPr>
        <w:t xml:space="preserve">For vendor risk assessment specifically, an SBOM reveals:</w:t>
      </w:r>
    </w:p>
    <w:p>
      <w:pPr>
        <w:pStyle w:val="ListParagraph"/>
        <w:numPr>
          <w:ilvl w:val="0"/>
          <w:numId w:val="2"/>
        </w:numPr>
        <w:spacing w:before="60" w:after="60"/>
      </w:pPr>
      <w:r>
        <w:rPr>
          <w:rFonts w:ascii="Arial" w:cs="Arial" w:eastAsia="Arial" w:hAnsi="Arial"/>
          <w:color w:val="1C1C1C"/>
          <w:sz w:val="22"/>
          <w:szCs w:val="22"/>
        </w:rPr>
        <w:t xml:space="preserve">Whether the vendor is using outdated dependencies with known vulnerabilities.</w:t>
      </w:r>
    </w:p>
    <w:p>
      <w:pPr>
        <w:pStyle w:val="ListParagraph"/>
        <w:numPr>
          <w:ilvl w:val="0"/>
          <w:numId w:val="2"/>
        </w:numPr>
        <w:spacing w:before="60" w:after="60"/>
      </w:pPr>
      <w:r>
        <w:rPr>
          <w:rFonts w:ascii="Arial" w:cs="Arial" w:eastAsia="Arial" w:hAnsi="Arial"/>
          <w:color w:val="1C1C1C"/>
          <w:sz w:val="22"/>
          <w:szCs w:val="22"/>
        </w:rPr>
        <w:t xml:space="preserve">Whether open-source components with problematic licenses are present.</w:t>
      </w:r>
    </w:p>
    <w:p>
      <w:pPr>
        <w:pStyle w:val="ListParagraph"/>
        <w:numPr>
          <w:ilvl w:val="0"/>
          <w:numId w:val="2"/>
        </w:numPr>
        <w:spacing w:before="60" w:after="60"/>
      </w:pPr>
      <w:r>
        <w:rPr>
          <w:rFonts w:ascii="Arial" w:cs="Arial" w:eastAsia="Arial" w:hAnsi="Arial"/>
          <w:color w:val="1C1C1C"/>
          <w:sz w:val="22"/>
          <w:szCs w:val="22"/>
        </w:rPr>
        <w:t xml:space="preserve">The maturity of the vendor's supply chain awareness — a vendor who maintains a current SBOM is actively tracking their software composition.</w:t>
      </w:r>
    </w:p>
    <w:p>
      <w:pPr>
        <w:pStyle w:val="ListParagraph"/>
        <w:numPr>
          <w:ilvl w:val="0"/>
          <w:numId w:val="2"/>
        </w:numPr>
        <w:spacing w:before="60" w:after="60"/>
      </w:pPr>
      <w:r>
        <w:rPr>
          <w:rFonts w:ascii="Arial" w:cs="Arial" w:eastAsia="Arial" w:hAnsi="Arial"/>
          <w:color w:val="1C1C1C"/>
          <w:sz w:val="22"/>
          <w:szCs w:val="22"/>
        </w:rPr>
        <w:t xml:space="preserve">Whether the vendor can respond quickly to emerging zero-days that affect their components.</w:t>
      </w:r>
    </w:p>
    <w:p>
      <w:pPr>
        <w:spacing w:before="80" w:after="80"/>
      </w:pPr>
      <w:r>
        <w:t xml:space="preserve"/>
      </w:r>
    </w:p>
    <w:p>
      <w:pPr>
        <w:pStyle w:val="Heading2"/>
        <w:spacing w:before="300" w:after="120"/>
      </w:pPr>
      <w:r>
        <w:rPr>
          <w:rFonts w:ascii="Arial" w:cs="Arial" w:eastAsia="Arial" w:hAnsi="Arial"/>
          <w:b/>
          <w:bCs/>
          <w:color w:val="1A7F8E"/>
          <w:sz w:val="26"/>
          <w:szCs w:val="26"/>
        </w:rPr>
        <w:t xml:space="preserve">4.3  How to Request and Evaluate an SBOM</w:t>
      </w:r>
    </w:p>
    <w:p>
      <w:pPr>
        <w:spacing w:before="80" w:after="120"/>
      </w:pPr>
      <w:r>
        <w:rPr>
          <w:rFonts w:ascii="Arial" w:cs="Arial" w:eastAsia="Arial" w:hAnsi="Arial"/>
          <w:color w:val="1C1C1C"/>
          <w:sz w:val="22"/>
          <w:szCs w:val="22"/>
        </w:rPr>
        <w:t xml:space="preserve">Most vendors will not proactively offer an SBOM. The assessor must request it. The request should be framed as a standard security due diligence requirement, not a technical deep dive.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F8E" w:sz="6"/>
              <w:left w:val="single" w:color="1A7F8E" w:sz="6"/>
              <w:bottom w:val="single" w:color="CCCCCC" w:sz="1"/>
              <w:right w:val="single" w:color="CCCCCC" w:sz="1"/>
            </w:tcBorders>
            <w:shd w:fill="E8F4F5" w:val="clear"/>
            <w:tcMar>
              <w:top w:type="dxa" w:w="120"/>
              <w:left w:type="dxa" w:w="180"/>
              <w:bottom w:type="dxa" w:w="120"/>
              <w:right w:type="dxa" w:w="180"/>
            </w:tcMar>
          </w:tcPr>
          <w:p>
            <w:pPr>
              <w:spacing w:before="40" w:after="60"/>
            </w:pPr>
            <w:r>
              <w:rPr>
                <w:rFonts w:ascii="Arial" w:cs="Arial" w:eastAsia="Arial" w:hAnsi="Arial"/>
                <w:b/>
                <w:bCs/>
                <w:color w:val="1A7F8E"/>
                <w:sz w:val="22"/>
                <w:szCs w:val="22"/>
              </w:rPr>
              <w:t xml:space="preserve">Sample SBOM Request Language</w:t>
            </w:r>
          </w:p>
          <w:p>
            <w:pPr>
              <w:spacing w:before="0" w:after="40"/>
            </w:pPr>
            <w:r>
              <w:rPr>
                <w:rFonts w:ascii="Arial" w:cs="Arial" w:eastAsia="Arial" w:hAnsi="Arial"/>
                <w:color w:val="1C1C1C"/>
                <w:sz w:val="20"/>
                <w:szCs w:val="20"/>
              </w:rPr>
              <w:t xml:space="preserve">"For security and compliance purposes, we request a Software Bill of Materials (SBOM) for [product name]. We are seeking a current, machine-readable list of all included components, libraries, and dependencies with version numbers. SPDX or CycloneDX format is preferred. If an SBOM is not currently available, please advise when you plan to generate one and which components are included in [product name]."</w:t>
            </w:r>
          </w:p>
        </w:tc>
      </w:tr>
    </w:tbl>
    <w:p>
      <w:pPr>
        <w:spacing w:before="80" w:after="80"/>
      </w:pPr>
      <w:r>
        <w:t xml:space="preserve"/>
      </w:r>
    </w:p>
    <w:p>
      <w:pPr>
        <w:spacing w:before="200" w:after="80"/>
      </w:pPr>
      <w:r>
        <w:rPr>
          <w:rFonts w:ascii="Arial" w:cs="Arial" w:eastAsia="Arial" w:hAnsi="Arial"/>
          <w:b/>
          <w:bCs/>
          <w:color w:val="C0392B"/>
          <w:sz w:val="22"/>
          <w:szCs w:val="22"/>
        </w:rPr>
        <w:t xml:space="preserve">Evaluating an SBOM Response</w:t>
      </w:r>
    </w:p>
    <w:p>
      <w:pPr>
        <w:spacing w:before="80" w:after="80"/>
      </w:pPr>
      <w:r>
        <w:t xml:space="preserve"/>
      </w:r>
    </w:p>
    <w:p>
      <w:pPr>
        <w:pStyle w:val="ListParagraph"/>
        <w:numPr>
          <w:ilvl w:val="0"/>
          <w:numId w:val="2"/>
        </w:numPr>
        <w:spacing w:before="60" w:after="60"/>
      </w:pPr>
      <w:r>
        <w:rPr>
          <w:rFonts w:ascii="Arial" w:cs="Arial" w:eastAsia="Arial" w:hAnsi="Arial"/>
          <w:color w:val="1C1C1C"/>
          <w:sz w:val="22"/>
          <w:szCs w:val="22"/>
        </w:rPr>
        <w:t xml:space="preserve">Mature response: SBOM provided in SPDX or CycloneDX format, dated within the last release cycle, with all components listed including version and supplier.</w:t>
      </w:r>
    </w:p>
    <w:p>
      <w:pPr>
        <w:pStyle w:val="ListParagraph"/>
        <w:numPr>
          <w:ilvl w:val="0"/>
          <w:numId w:val="2"/>
        </w:numPr>
        <w:spacing w:before="60" w:after="60"/>
      </w:pPr>
      <w:r>
        <w:rPr>
          <w:rFonts w:ascii="Arial" w:cs="Arial" w:eastAsia="Arial" w:hAnsi="Arial"/>
          <w:color w:val="1C1C1C"/>
          <w:sz w:val="22"/>
          <w:szCs w:val="22"/>
        </w:rPr>
        <w:t xml:space="preserve">Developing response: SBOM exists but is incomplete, undated, or in a non-standard format. Vendor is aware of the concept and is working toward compliance.</w:t>
      </w:r>
    </w:p>
    <w:p>
      <w:pPr>
        <w:pStyle w:val="ListParagraph"/>
        <w:numPr>
          <w:ilvl w:val="0"/>
          <w:numId w:val="2"/>
        </w:numPr>
        <w:spacing w:before="60" w:after="60"/>
      </w:pPr>
      <w:r>
        <w:rPr>
          <w:rFonts w:ascii="Arial" w:cs="Arial" w:eastAsia="Arial" w:hAnsi="Arial"/>
          <w:color w:val="1C1C1C"/>
          <w:sz w:val="22"/>
          <w:szCs w:val="22"/>
        </w:rPr>
        <w:t xml:space="preserve">Immature response: No SBOM exists. Vendor cannot describe what third-party components are in the product. This is a meaningful risk signal for any software handling sensitive data.</w:t>
      </w:r>
    </w:p>
    <w:p>
      <w:pPr>
        <w:spacing w:before="80" w:after="80"/>
      </w:pPr>
      <w:r>
        <w:t xml:space="preserve"/>
      </w:r>
    </w:p>
    <w:p>
      <w:pPr>
        <w:spacing w:before="80" w:after="120"/>
      </w:pPr>
      <w:r>
        <w:rPr>
          <w:rFonts w:ascii="Arial" w:cs="Arial" w:eastAsia="Arial" w:hAnsi="Arial"/>
          <w:color w:val="1C1C1C"/>
          <w:sz w:val="22"/>
          <w:szCs w:val="22"/>
        </w:rPr>
        <w:t xml:space="preserve">Tools for cross-referencing SBOM components against known vulnerabilities include: Snyk, OWASP Dependency-Check, and OSV (Google's Open Source Vulnerability database). These can identify whether listed components have unpatched CVEs.</w:t>
      </w:r>
    </w:p>
    <w:p>
      <w:pPr>
        <w:spacing w:before="80" w:after="80"/>
      </w:pPr>
      <w:r>
        <w:t xml:space="preserve"/>
      </w:r>
    </w:p>
    <w:p>
      <w:pPr>
        <w:pBdr>
          <w:bottom w:val="single" w:color="D5D8DC" w:sz="4" w:space="1"/>
        </w:pBdr>
        <w:spacing w:before="200" w:after="200"/>
      </w:pPr>
      <w:r>
        <w:t xml:space="preserve"/>
      </w:r>
    </w:p>
    <w:p>
      <w:pPr>
        <w:pStyle w:val="Heading1"/>
        <w:pBdr>
          <w:bottom w:val="single" w:color="1A7F8E" w:sz="8" w:space="4"/>
        </w:pBdr>
        <w:spacing w:before="400" w:after="160"/>
      </w:pPr>
      <w:r>
        <w:rPr>
          <w:rFonts w:ascii="Arial" w:cs="Arial" w:eastAsia="Arial" w:hAnsi="Arial"/>
          <w:b/>
          <w:bCs/>
          <w:color w:val="1B2A4A"/>
          <w:sz w:val="32"/>
          <w:szCs w:val="32"/>
        </w:rPr>
        <w:t xml:space="preserve">5. Beyond the Point-in-Time Assessment: Continuous Monitoring</w:t>
      </w:r>
    </w:p>
    <w:p>
      <w:pPr>
        <w:pStyle w:val="Heading2"/>
        <w:spacing w:before="300" w:after="120"/>
      </w:pPr>
      <w:r>
        <w:rPr>
          <w:rFonts w:ascii="Arial" w:cs="Arial" w:eastAsia="Arial" w:hAnsi="Arial"/>
          <w:b/>
          <w:bCs/>
          <w:color w:val="1A7F8E"/>
          <w:sz w:val="26"/>
          <w:szCs w:val="26"/>
        </w:rPr>
        <w:t xml:space="preserve">5.1  Why Point-in-Time Assessments Are Insufficient</w:t>
      </w:r>
    </w:p>
    <w:p>
      <w:pPr>
        <w:spacing w:before="80" w:after="120"/>
      </w:pPr>
      <w:r>
        <w:rPr>
          <w:rFonts w:ascii="Arial" w:cs="Arial" w:eastAsia="Arial" w:hAnsi="Arial"/>
          <w:color w:val="1C1C1C"/>
          <w:sz w:val="22"/>
          <w:szCs w:val="22"/>
        </w:rPr>
        <w:t xml:space="preserve">A vendor assessed as low-risk in January may experience a breach in March, lose key security personnel in May, or introduce a vulnerable AI component in June. Annual assessments miss all of this. The 2025 EY TPRM survey found that 57% of companies cite operational disruption as their primary third-party risk — and continuous monitoring provides early warning weeks before disruptions occur.</w:t>
      </w:r>
    </w:p>
    <w:p>
      <w:pPr>
        <w:spacing w:before="80" w:after="80"/>
      </w:pPr>
      <w:r>
        <w:t xml:space="preserve"/>
      </w:r>
    </w:p>
    <w:p>
      <w:pPr>
        <w:pStyle w:val="Heading2"/>
        <w:spacing w:before="300" w:after="120"/>
      </w:pPr>
      <w:r>
        <w:rPr>
          <w:rFonts w:ascii="Arial" w:cs="Arial" w:eastAsia="Arial" w:hAnsi="Arial"/>
          <w:b/>
          <w:bCs/>
          <w:color w:val="1A7F8E"/>
          <w:sz w:val="26"/>
          <w:szCs w:val="26"/>
        </w:rPr>
        <w:t xml:space="preserve">5.2  What to Monitor and How</w:t>
      </w:r>
    </w:p>
    <w:p>
      <w:pPr>
        <w:pStyle w:val="ListParagraph"/>
        <w:numPr>
          <w:ilvl w:val="0"/>
          <w:numId w:val="2"/>
        </w:numPr>
        <w:spacing w:before="60" w:after="60"/>
      </w:pPr>
      <w:r>
        <w:rPr>
          <w:rFonts w:ascii="Arial" w:cs="Arial" w:eastAsia="Arial" w:hAnsi="Arial"/>
          <w:color w:val="1C1C1C"/>
          <w:sz w:val="22"/>
          <w:szCs w:val="22"/>
        </w:rPr>
        <w:t xml:space="preserve">Security ratings: Tools like BitSight, SecurityScorecard, and RiskRecon continuously scan vendors' external-facing systems for exposed services, outdated software, email security configuration, and DNS hygiene. These scores change in real time as the vendor's posture changes.</w:t>
      </w:r>
    </w:p>
    <w:p>
      <w:pPr>
        <w:pStyle w:val="ListParagraph"/>
        <w:numPr>
          <w:ilvl w:val="0"/>
          <w:numId w:val="2"/>
        </w:numPr>
        <w:spacing w:before="60" w:after="60"/>
      </w:pPr>
      <w:r>
        <w:rPr>
          <w:rFonts w:ascii="Arial" w:cs="Arial" w:eastAsia="Arial" w:hAnsi="Arial"/>
          <w:color w:val="1C1C1C"/>
          <w:sz w:val="22"/>
          <w:szCs w:val="22"/>
        </w:rPr>
        <w:t xml:space="preserve">Breach intelligence: Services like Have I Been Pwned Enterprise, Recorded Future, and SpyCloud monitor for credential exposures and dark web activity associated with vendor domains.</w:t>
      </w:r>
    </w:p>
    <w:p>
      <w:pPr>
        <w:pStyle w:val="ListParagraph"/>
        <w:numPr>
          <w:ilvl w:val="0"/>
          <w:numId w:val="2"/>
        </w:numPr>
        <w:spacing w:before="60" w:after="60"/>
      </w:pPr>
      <w:r>
        <w:rPr>
          <w:rFonts w:ascii="Arial" w:cs="Arial" w:eastAsia="Arial" w:hAnsi="Arial"/>
          <w:color w:val="1C1C1C"/>
          <w:sz w:val="22"/>
          <w:szCs w:val="22"/>
        </w:rPr>
        <w:t xml:space="preserve">Regulatory and news monitoring: Tools can flag regulatory actions, litigation, data breach notifications, and news coverage of vendor security incidents.</w:t>
      </w:r>
    </w:p>
    <w:p>
      <w:pPr>
        <w:pStyle w:val="ListParagraph"/>
        <w:numPr>
          <w:ilvl w:val="0"/>
          <w:numId w:val="2"/>
        </w:numPr>
        <w:spacing w:before="60" w:after="60"/>
      </w:pPr>
      <w:r>
        <w:rPr>
          <w:rFonts w:ascii="Arial" w:cs="Arial" w:eastAsia="Arial" w:hAnsi="Arial"/>
          <w:color w:val="1C1C1C"/>
          <w:sz w:val="22"/>
          <w:szCs w:val="22"/>
        </w:rPr>
        <w:t xml:space="preserve">Financial health monitoring: Vendor instability (layoffs, financial distress, acquisition activity) affects security investment and personnel continuity.</w:t>
      </w:r>
    </w:p>
    <w:p>
      <w:pPr>
        <w:spacing w:before="80" w:after="80"/>
      </w:pPr>
      <w:r>
        <w:t xml:space="preserve"/>
      </w:r>
    </w:p>
    <w:p>
      <w:pPr>
        <w:spacing w:before="80" w:after="120"/>
      </w:pPr>
      <w:r>
        <w:rPr>
          <w:rFonts w:ascii="Arial" w:cs="Arial" w:eastAsia="Arial" w:hAnsi="Arial"/>
          <w:color w:val="1C1C1C"/>
          <w:sz w:val="22"/>
          <w:szCs w:val="22"/>
        </w:rPr>
        <w:t xml:space="preserve">The practical implementation for organizations without dedicated TPRM platforms: set up Google Alerts for vendor names combined with terms like "breach," "data leak," "settlement," and "vulnerability." Subscribe to CISA advisories for software products your vendors produce. Review vendor security ratings quarterly for high-tier vendors.</w:t>
      </w:r>
    </w:p>
    <w:p>
      <w:pPr>
        <w:spacing w:before="80" w:after="80"/>
      </w:pPr>
      <w:r>
        <w:t xml:space="preserve"/>
      </w:r>
    </w:p>
    <w:p>
      <w:pPr>
        <w:pBdr>
          <w:bottom w:val="single" w:color="D5D8DC" w:sz="4" w:space="1"/>
        </w:pBdr>
        <w:spacing w:before="200" w:after="200"/>
      </w:pPr>
      <w:r>
        <w:t xml:space="preserve"/>
      </w:r>
    </w:p>
    <w:p>
      <w:pPr>
        <w:pStyle w:val="Heading1"/>
        <w:pBdr>
          <w:bottom w:val="single" w:color="1A7F8E" w:sz="8" w:space="4"/>
        </w:pBdr>
        <w:spacing w:before="400" w:after="160"/>
      </w:pPr>
      <w:r>
        <w:rPr>
          <w:rFonts w:ascii="Arial" w:cs="Arial" w:eastAsia="Arial" w:hAnsi="Arial"/>
          <w:b/>
          <w:bCs/>
          <w:color w:val="1B2A4A"/>
          <w:sz w:val="32"/>
          <w:szCs w:val="32"/>
        </w:rPr>
        <w:t xml:space="preserve">6. The Hard Truth: What Cannot Currently Be Solved</w:t>
      </w:r>
    </w:p>
    <w:p>
      <w:pPr>
        <w:spacing w:before="80" w:after="120"/>
      </w:pPr>
      <w:r>
        <w:rPr>
          <w:rFonts w:ascii="Arial" w:cs="Arial" w:eastAsia="Arial" w:hAnsi="Arial"/>
          <w:color w:val="1C1C1C"/>
          <w:sz w:val="22"/>
          <w:szCs w:val="22"/>
        </w:rPr>
        <w:t xml:space="preserve">This research identified several gaps that practical implementation cannot currently close. Assessors and organizations should acknowledge these openly rather than pretend the current toolkit covers them.</w:t>
      </w:r>
    </w:p>
    <w:p>
      <w:pPr>
        <w:spacing w:before="80" w:after="80"/>
      </w:pPr>
      <w:r>
        <w:t xml:space="preserve"/>
      </w:r>
    </w:p>
    <w:p>
      <w:pPr>
        <w:pStyle w:val="Heading2"/>
        <w:spacing w:before="300" w:after="120"/>
      </w:pPr>
      <w:r>
        <w:rPr>
          <w:rFonts w:ascii="Arial" w:cs="Arial" w:eastAsia="Arial" w:hAnsi="Arial"/>
          <w:b/>
          <w:bCs/>
          <w:color w:val="1A7F8E"/>
          <w:sz w:val="26"/>
          <w:szCs w:val="26"/>
        </w:rPr>
        <w:t xml:space="preserve">6.1  You Cannot Independently Verify Most Vendor Claims</w:t>
      </w:r>
    </w:p>
    <w:p>
      <w:pPr>
        <w:spacing w:before="80" w:after="120"/>
      </w:pPr>
      <w:r>
        <w:rPr>
          <w:rFonts w:ascii="Arial" w:cs="Arial" w:eastAsia="Arial" w:hAnsi="Arial"/>
          <w:color w:val="1C1C1C"/>
          <w:sz w:val="22"/>
          <w:szCs w:val="22"/>
        </w:rPr>
        <w:t xml:space="preserve">When a vendor says they encrypt data at rest, you cannot verify this without access to their infrastructure. When they say developers complete security training, you cannot independently confirm attendance. When they say they conduct code reviews, you cannot audit their development process. The assessment is fundamentally built on self-reported information validated by document review — not observed control operation.</w:t>
      </w:r>
    </w:p>
    <w:p>
      <w:pPr>
        <w:spacing w:before="80" w:after="80"/>
      </w:pPr>
      <w:r>
        <w:t xml:space="preserve"/>
      </w:r>
    </w:p>
    <w:p>
      <w:pPr>
        <w:spacing w:before="80" w:after="120"/>
      </w:pPr>
      <w:r>
        <w:rPr>
          <w:rFonts w:ascii="Arial" w:cs="Arial" w:eastAsia="Arial" w:hAnsi="Arial"/>
          <w:color w:val="1C1C1C"/>
          <w:sz w:val="22"/>
          <w:szCs w:val="22"/>
        </w:rPr>
        <w:t xml:space="preserve">The practical mitigation is to assess the quality of evidence rather than accept claims at face value. A policy document with a revision date is more credible than a yes/no answer. A vulnerability scan report is more credible than "we use a vulnerability scanner." Evidence degrades the reliance on trust but does not eliminate it.</w:t>
      </w:r>
    </w:p>
    <w:p>
      <w:pPr>
        <w:spacing w:before="80" w:after="80"/>
      </w:pPr>
      <w:r>
        <w:t xml:space="preserve"/>
      </w:r>
    </w:p>
    <w:p>
      <w:pPr>
        <w:pStyle w:val="Heading2"/>
        <w:spacing w:before="300" w:after="120"/>
      </w:pPr>
      <w:r>
        <w:rPr>
          <w:rFonts w:ascii="Arial" w:cs="Arial" w:eastAsia="Arial" w:hAnsi="Arial"/>
          <w:b/>
          <w:bCs/>
          <w:color w:val="1A7F8E"/>
          <w:sz w:val="26"/>
          <w:szCs w:val="26"/>
        </w:rPr>
        <w:t xml:space="preserve">6.2  Rushed SOC Reports Cannot Be Distinguished by Reading Them</w:t>
      </w:r>
    </w:p>
    <w:p>
      <w:pPr>
        <w:spacing w:before="80" w:after="120"/>
      </w:pPr>
      <w:r>
        <w:rPr>
          <w:rFonts w:ascii="Arial" w:cs="Arial" w:eastAsia="Arial" w:hAnsi="Arial"/>
          <w:color w:val="1C1C1C"/>
          <w:sz w:val="22"/>
          <w:szCs w:val="22"/>
        </w:rPr>
        <w:t xml:space="preserve">A SOC 2 Type II report completed in 10 weeks and one completed in 12 months look the same to a reader. The signal is in the audit period (check the report cover), the sample sizes (detailed reports include sampling methodology), and the auditor's reputation. Reports from Big 4 firms or established assurance practices carry more weight than reports from boutique firms offering fast-turnaround compliance services.</w:t>
      </w:r>
    </w:p>
    <w:p>
      <w:pPr>
        <w:spacing w:before="80" w:after="80"/>
      </w:pPr>
      <w:r>
        <w:t xml:space="preserve"/>
      </w:r>
    </w:p>
    <w:p>
      <w:pPr>
        <w:pStyle w:val="Heading2"/>
        <w:spacing w:before="300" w:after="120"/>
      </w:pPr>
      <w:r>
        <w:rPr>
          <w:rFonts w:ascii="Arial" w:cs="Arial" w:eastAsia="Arial" w:hAnsi="Arial"/>
          <w:b/>
          <w:bCs/>
          <w:color w:val="1A7F8E"/>
          <w:sz w:val="26"/>
          <w:szCs w:val="26"/>
        </w:rPr>
        <w:t xml:space="preserve">6.3  There Is No Mature Framework for AI System Audits</w:t>
      </w:r>
    </w:p>
    <w:p>
      <w:pPr>
        <w:spacing w:before="80" w:after="120"/>
      </w:pPr>
      <w:r>
        <w:rPr>
          <w:rFonts w:ascii="Arial" w:cs="Arial" w:eastAsia="Arial" w:hAnsi="Arial"/>
          <w:color w:val="1C1C1C"/>
          <w:sz w:val="22"/>
          <w:szCs w:val="22"/>
        </w:rPr>
        <w:t xml:space="preserve">The honest state of the industry in 2026 is that no established, widely-adopted framework exists for third-party auditors to independently validate AI system behavior. The EU AI Act introduces conformity assessments for high-risk AI, but implementation is still maturing. NIST's AI Risk Management Framework provides structure, but does not enable external validation. This gap will close as the industry matures — but assessors today must work with questionnaires and self-attestation for AI systems, acknowledging the limitation explicitly in risk findings.</w:t>
      </w:r>
    </w:p>
    <w:p>
      <w:pPr>
        <w:spacing w:before="80" w:after="80"/>
      </w:pPr>
      <w:r>
        <w:t xml:space="preserve"/>
      </w:r>
    </w:p>
    <w:p>
      <w:pPr>
        <w:pBdr>
          <w:bottom w:val="single" w:color="D5D8DC" w:sz="4" w:space="1"/>
        </w:pBdr>
        <w:spacing w:before="200" w:after="200"/>
      </w:pPr>
      <w:r>
        <w:t xml:space="preserve"/>
      </w:r>
    </w:p>
    <w:p>
      <w:pPr>
        <w:pStyle w:val="Heading1"/>
        <w:pBdr>
          <w:bottom w:val="single" w:color="1A7F8E" w:sz="8" w:space="4"/>
        </w:pBdr>
        <w:spacing w:before="400" w:after="160"/>
      </w:pPr>
      <w:r>
        <w:rPr>
          <w:rFonts w:ascii="Arial" w:cs="Arial" w:eastAsia="Arial" w:hAnsi="Arial"/>
          <w:b/>
          <w:bCs/>
          <w:color w:val="1B2A4A"/>
          <w:sz w:val="32"/>
          <w:szCs w:val="32"/>
        </w:rPr>
        <w:t xml:space="preserve">7. Practical Action Checklist for Assessors</w:t>
      </w:r>
    </w:p>
    <w:p>
      <w:pPr>
        <w:pStyle w:val="Heading2"/>
        <w:spacing w:before="300" w:after="120"/>
      </w:pPr>
      <w:r>
        <w:rPr>
          <w:rFonts w:ascii="Arial" w:cs="Arial" w:eastAsia="Arial" w:hAnsi="Arial"/>
          <w:b/>
          <w:bCs/>
          <w:color w:val="1A7F8E"/>
          <w:sz w:val="26"/>
          <w:szCs w:val="26"/>
        </w:rPr>
        <w:t xml:space="preserve">Before Sending the Questionnaire</w:t>
      </w:r>
    </w:p>
    <w:p>
      <w:pPr>
        <w:pStyle w:val="ListParagraph"/>
        <w:numPr>
          <w:ilvl w:val="0"/>
          <w:numId w:val="2"/>
        </w:numPr>
        <w:spacing w:before="60" w:after="60"/>
      </w:pPr>
      <w:r>
        <w:rPr>
          <w:rFonts w:ascii="Arial" w:cs="Arial" w:eastAsia="Arial" w:hAnsi="Arial"/>
          <w:color w:val="1C1C1C"/>
          <w:sz w:val="22"/>
          <w:szCs w:val="22"/>
        </w:rPr>
        <w:t xml:space="preserve">Classify the vendor: cloud-hosted, on-premise, or embedded AI.</w:t>
      </w:r>
    </w:p>
    <w:p>
      <w:pPr>
        <w:pStyle w:val="ListParagraph"/>
        <w:numPr>
          <w:ilvl w:val="0"/>
          <w:numId w:val="2"/>
        </w:numPr>
        <w:spacing w:before="60" w:after="60"/>
      </w:pPr>
      <w:r>
        <w:rPr>
          <w:rFonts w:ascii="Arial" w:cs="Arial" w:eastAsia="Arial" w:hAnsi="Arial"/>
          <w:color w:val="1C1C1C"/>
          <w:sz w:val="22"/>
          <w:szCs w:val="22"/>
        </w:rPr>
        <w:t xml:space="preserve">Assign a risk tier based on data sensitivity and operational criticality.</w:t>
      </w:r>
    </w:p>
    <w:p>
      <w:pPr>
        <w:pStyle w:val="ListParagraph"/>
        <w:numPr>
          <w:ilvl w:val="0"/>
          <w:numId w:val="2"/>
        </w:numPr>
        <w:spacing w:before="60" w:after="60"/>
      </w:pPr>
      <w:r>
        <w:rPr>
          <w:rFonts w:ascii="Arial" w:cs="Arial" w:eastAsia="Arial" w:hAnsi="Arial"/>
          <w:color w:val="1C1C1C"/>
          <w:sz w:val="22"/>
          <w:szCs w:val="22"/>
        </w:rPr>
        <w:t xml:space="preserve">Pull an external security rating (BitSight, SecurityScorecard) for context before the questionnaire is sent.</w:t>
      </w:r>
    </w:p>
    <w:p>
      <w:pPr>
        <w:pStyle w:val="ListParagraph"/>
        <w:numPr>
          <w:ilvl w:val="0"/>
          <w:numId w:val="2"/>
        </w:numPr>
        <w:spacing w:before="60" w:after="60"/>
      </w:pPr>
      <w:r>
        <w:rPr>
          <w:rFonts w:ascii="Arial" w:cs="Arial" w:eastAsia="Arial" w:hAnsi="Arial"/>
          <w:color w:val="1C1C1C"/>
          <w:sz w:val="22"/>
          <w:szCs w:val="22"/>
        </w:rPr>
        <w:t xml:space="preserve">Search for public breach history, regulatory actions, and news coverage.</w:t>
      </w:r>
    </w:p>
    <w:p>
      <w:pPr>
        <w:pStyle w:val="ListParagraph"/>
        <w:numPr>
          <w:ilvl w:val="0"/>
          <w:numId w:val="2"/>
        </w:numPr>
        <w:spacing w:before="60" w:after="60"/>
      </w:pPr>
      <w:r>
        <w:rPr>
          <w:rFonts w:ascii="Arial" w:cs="Arial" w:eastAsia="Arial" w:hAnsi="Arial"/>
          <w:color w:val="1C1C1C"/>
          <w:sz w:val="22"/>
          <w:szCs w:val="22"/>
        </w:rPr>
        <w:t xml:space="preserve">Identify the appropriate questionnaire tier (lightweight for low-risk, comprehensive for high-risk).</w:t>
      </w:r>
    </w:p>
    <w:p>
      <w:pPr>
        <w:spacing w:before="80" w:after="80"/>
      </w:pPr>
      <w:r>
        <w:t xml:space="preserve"/>
      </w:r>
    </w:p>
    <w:p>
      <w:pPr>
        <w:pStyle w:val="Heading2"/>
        <w:spacing w:before="300" w:after="120"/>
      </w:pPr>
      <w:r>
        <w:rPr>
          <w:rFonts w:ascii="Arial" w:cs="Arial" w:eastAsia="Arial" w:hAnsi="Arial"/>
          <w:b/>
          <w:bCs/>
          <w:color w:val="1A7F8E"/>
          <w:sz w:val="26"/>
          <w:szCs w:val="26"/>
        </w:rPr>
        <w:t xml:space="preserve">When Reviewing the Response</w:t>
      </w:r>
    </w:p>
    <w:p>
      <w:pPr>
        <w:pStyle w:val="ListParagraph"/>
        <w:numPr>
          <w:ilvl w:val="0"/>
          <w:numId w:val="2"/>
        </w:numPr>
        <w:spacing w:before="60" w:after="60"/>
      </w:pPr>
      <w:r>
        <w:rPr>
          <w:rFonts w:ascii="Arial" w:cs="Arial" w:eastAsia="Arial" w:hAnsi="Arial"/>
          <w:color w:val="1C1C1C"/>
          <w:sz w:val="22"/>
          <w:szCs w:val="22"/>
        </w:rPr>
        <w:t xml:space="preserve">Do not accept yes/no answers without evidence requests for critical controls.</w:t>
      </w:r>
    </w:p>
    <w:p>
      <w:pPr>
        <w:pStyle w:val="ListParagraph"/>
        <w:numPr>
          <w:ilvl w:val="0"/>
          <w:numId w:val="2"/>
        </w:numPr>
        <w:spacing w:before="60" w:after="60"/>
      </w:pPr>
      <w:r>
        <w:rPr>
          <w:rFonts w:ascii="Arial" w:cs="Arial" w:eastAsia="Arial" w:hAnsi="Arial"/>
          <w:color w:val="1C1C1C"/>
          <w:sz w:val="22"/>
          <w:szCs w:val="22"/>
        </w:rPr>
        <w:t xml:space="preserve">Check all certification dates — anything older than 12 months should be flagged.</w:t>
      </w:r>
    </w:p>
    <w:p>
      <w:pPr>
        <w:pStyle w:val="ListParagraph"/>
        <w:numPr>
          <w:ilvl w:val="0"/>
          <w:numId w:val="2"/>
        </w:numPr>
        <w:spacing w:before="60" w:after="60"/>
      </w:pPr>
      <w:r>
        <w:rPr>
          <w:rFonts w:ascii="Arial" w:cs="Arial" w:eastAsia="Arial" w:hAnsi="Arial"/>
          <w:color w:val="1C1C1C"/>
          <w:sz w:val="22"/>
          <w:szCs w:val="22"/>
        </w:rPr>
        <w:t xml:space="preserve">Identify internal inconsistencies across questionnaire sections.</w:t>
      </w:r>
    </w:p>
    <w:p>
      <w:pPr>
        <w:pStyle w:val="ListParagraph"/>
        <w:numPr>
          <w:ilvl w:val="0"/>
          <w:numId w:val="2"/>
        </w:numPr>
        <w:spacing w:before="60" w:after="60"/>
      </w:pPr>
      <w:r>
        <w:rPr>
          <w:rFonts w:ascii="Arial" w:cs="Arial" w:eastAsia="Arial" w:hAnsi="Arial"/>
          <w:color w:val="1C1C1C"/>
          <w:sz w:val="22"/>
          <w:szCs w:val="22"/>
        </w:rPr>
        <w:t xml:space="preserve">For on-premise software: specifically request SBOM or SDLC documentation.</w:t>
      </w:r>
    </w:p>
    <w:p>
      <w:pPr>
        <w:pStyle w:val="ListParagraph"/>
        <w:numPr>
          <w:ilvl w:val="0"/>
          <w:numId w:val="2"/>
        </w:numPr>
        <w:spacing w:before="60" w:after="60"/>
      </w:pPr>
      <w:r>
        <w:rPr>
          <w:rFonts w:ascii="Arial" w:cs="Arial" w:eastAsia="Arial" w:hAnsi="Arial"/>
          <w:color w:val="1C1C1C"/>
          <w:sz w:val="22"/>
          <w:szCs w:val="22"/>
        </w:rPr>
        <w:t xml:space="preserve">For AI-embedded products: confirm data handling and sub-processor disclosure.</w:t>
      </w:r>
    </w:p>
    <w:p>
      <w:pPr>
        <w:pStyle w:val="ListParagraph"/>
        <w:numPr>
          <w:ilvl w:val="0"/>
          <w:numId w:val="2"/>
        </w:numPr>
        <w:spacing w:before="60" w:after="60"/>
      </w:pPr>
      <w:r>
        <w:rPr>
          <w:rFonts w:ascii="Arial" w:cs="Arial" w:eastAsia="Arial" w:hAnsi="Arial"/>
          <w:color w:val="1C1C1C"/>
          <w:sz w:val="22"/>
          <w:szCs w:val="22"/>
        </w:rPr>
        <w:t xml:space="preserve">Flag any SOC report with an audit period under 6 months for additional scrutiny.</w:t>
      </w:r>
    </w:p>
    <w:p>
      <w:pPr>
        <w:spacing w:before="80" w:after="80"/>
      </w:pPr>
      <w:r>
        <w:t xml:space="preserve"/>
      </w:r>
    </w:p>
    <w:p>
      <w:pPr>
        <w:pStyle w:val="Heading2"/>
        <w:spacing w:before="300" w:after="120"/>
      </w:pPr>
      <w:r>
        <w:rPr>
          <w:rFonts w:ascii="Arial" w:cs="Arial" w:eastAsia="Arial" w:hAnsi="Arial"/>
          <w:b/>
          <w:bCs/>
          <w:color w:val="1A7F8E"/>
          <w:sz w:val="26"/>
          <w:szCs w:val="26"/>
        </w:rPr>
        <w:t xml:space="preserve">When Documenting the Assessment</w:t>
      </w:r>
    </w:p>
    <w:p>
      <w:pPr>
        <w:pStyle w:val="ListParagraph"/>
        <w:numPr>
          <w:ilvl w:val="0"/>
          <w:numId w:val="2"/>
        </w:numPr>
        <w:spacing w:before="60" w:after="60"/>
      </w:pPr>
      <w:r>
        <w:rPr>
          <w:rFonts w:ascii="Arial" w:cs="Arial" w:eastAsia="Arial" w:hAnsi="Arial"/>
          <w:color w:val="1C1C1C"/>
          <w:sz w:val="22"/>
          <w:szCs w:val="22"/>
        </w:rPr>
        <w:t xml:space="preserve">Record what evidence was requested and what was actually provided.</w:t>
      </w:r>
    </w:p>
    <w:p>
      <w:pPr>
        <w:pStyle w:val="ListParagraph"/>
        <w:numPr>
          <w:ilvl w:val="0"/>
          <w:numId w:val="2"/>
        </w:numPr>
        <w:spacing w:before="60" w:after="60"/>
      </w:pPr>
      <w:r>
        <w:rPr>
          <w:rFonts w:ascii="Arial" w:cs="Arial" w:eastAsia="Arial" w:hAnsi="Arial"/>
          <w:color w:val="1C1C1C"/>
          <w:sz w:val="22"/>
          <w:szCs w:val="22"/>
        </w:rPr>
        <w:t xml:space="preserve">Document gaps where vendors declined to provide evidence.</w:t>
      </w:r>
    </w:p>
    <w:p>
      <w:pPr>
        <w:pStyle w:val="ListParagraph"/>
        <w:numPr>
          <w:ilvl w:val="0"/>
          <w:numId w:val="2"/>
        </w:numPr>
        <w:spacing w:before="60" w:after="60"/>
      </w:pPr>
      <w:r>
        <w:rPr>
          <w:rFonts w:ascii="Arial" w:cs="Arial" w:eastAsia="Arial" w:hAnsi="Arial"/>
          <w:color w:val="1C1C1C"/>
          <w:sz w:val="22"/>
          <w:szCs w:val="22"/>
        </w:rPr>
        <w:t xml:space="preserve">State the confidence level in each finding based on evidence quality.</w:t>
      </w:r>
    </w:p>
    <w:p>
      <w:pPr>
        <w:pStyle w:val="ListParagraph"/>
        <w:numPr>
          <w:ilvl w:val="0"/>
          <w:numId w:val="2"/>
        </w:numPr>
        <w:spacing w:before="60" w:after="60"/>
      </w:pPr>
      <w:r>
        <w:rPr>
          <w:rFonts w:ascii="Arial" w:cs="Arial" w:eastAsia="Arial" w:hAnsi="Arial"/>
          <w:color w:val="1C1C1C"/>
          <w:sz w:val="22"/>
          <w:szCs w:val="22"/>
        </w:rPr>
        <w:t xml:space="preserve">Note where claims could not be independently verified.</w:t>
      </w:r>
    </w:p>
    <w:p>
      <w:pPr>
        <w:pStyle w:val="ListParagraph"/>
        <w:numPr>
          <w:ilvl w:val="0"/>
          <w:numId w:val="2"/>
        </w:numPr>
        <w:spacing w:before="60" w:after="60"/>
      </w:pPr>
      <w:r>
        <w:rPr>
          <w:rFonts w:ascii="Arial" w:cs="Arial" w:eastAsia="Arial" w:hAnsi="Arial"/>
          <w:color w:val="1C1C1C"/>
          <w:sz w:val="22"/>
          <w:szCs w:val="22"/>
        </w:rPr>
        <w:t xml:space="preserve">Recommend monitoring cadence based on risk tier.</w:t>
      </w:r>
    </w:p>
    <w:p>
      <w:pPr>
        <w:spacing w:before="80" w:after="80"/>
      </w:pPr>
      <w:r>
        <w:t xml:space="preserve"/>
      </w:r>
    </w:p>
    <w:p>
      <w:pPr>
        <w:pBdr>
          <w:bottom w:val="single" w:color="D5D8DC" w:sz="4" w:space="1"/>
        </w:pBdr>
        <w:spacing w:before="200" w:after="200"/>
      </w:pPr>
      <w:r>
        <w:t xml:space="preserve"/>
      </w:r>
    </w:p>
    <w:p>
      <w:pPr>
        <w:pStyle w:val="Heading1"/>
        <w:pBdr>
          <w:bottom w:val="single" w:color="1A7F8E" w:sz="8" w:space="4"/>
        </w:pBdr>
        <w:spacing w:before="400" w:after="160"/>
      </w:pPr>
      <w:r>
        <w:rPr>
          <w:rFonts w:ascii="Arial" w:cs="Arial" w:eastAsia="Arial" w:hAnsi="Arial"/>
          <w:b/>
          <w:bCs/>
          <w:color w:val="1B2A4A"/>
          <w:sz w:val="32"/>
          <w:szCs w:val="32"/>
        </w:rPr>
        <w:t xml:space="preserve">8. Sources and Research Basis</w:t>
      </w:r>
    </w:p>
    <w:p>
      <w:pPr>
        <w:spacing w:before="80" w:after="120"/>
      </w:pPr>
      <w:r>
        <w:rPr>
          <w:rFonts w:ascii="Arial" w:cs="Arial" w:eastAsia="Arial" w:hAnsi="Arial"/>
          <w:color w:val="1C1C1C"/>
          <w:sz w:val="22"/>
          <w:szCs w:val="22"/>
        </w:rPr>
        <w:t xml:space="preserve">This report synthesizes findings from the following sources researched in March 2026:</w:t>
      </w:r>
    </w:p>
    <w:p>
      <w:pPr>
        <w:pStyle w:val="ListParagraph"/>
        <w:numPr>
          <w:ilvl w:val="0"/>
          <w:numId w:val="2"/>
        </w:numPr>
        <w:spacing w:before="60" w:after="60"/>
      </w:pPr>
      <w:r>
        <w:rPr>
          <w:rFonts w:ascii="Arial" w:cs="Arial" w:eastAsia="Arial" w:hAnsi="Arial"/>
          <w:color w:val="1C1C1C"/>
          <w:sz w:val="22"/>
          <w:szCs w:val="22"/>
        </w:rPr>
        <w:t xml:space="preserve">CISA: Minimum Elements for a Software Bill of Materials (SBOM), August 2025 Draft</w:t>
      </w:r>
    </w:p>
    <w:p>
      <w:pPr>
        <w:pStyle w:val="ListParagraph"/>
        <w:numPr>
          <w:ilvl w:val="0"/>
          <w:numId w:val="2"/>
        </w:numPr>
        <w:spacing w:before="60" w:after="60"/>
      </w:pPr>
      <w:r>
        <w:rPr>
          <w:rFonts w:ascii="Arial" w:cs="Arial" w:eastAsia="Arial" w:hAnsi="Arial"/>
          <w:color w:val="1C1C1C"/>
          <w:sz w:val="22"/>
          <w:szCs w:val="22"/>
        </w:rPr>
        <w:t xml:space="preserve">CISA: SBOM Implementation Guidance and Community Resources, 2025</w:t>
      </w:r>
    </w:p>
    <w:p>
      <w:pPr>
        <w:pStyle w:val="ListParagraph"/>
        <w:numPr>
          <w:ilvl w:val="0"/>
          <w:numId w:val="2"/>
        </w:numPr>
        <w:spacing w:before="60" w:after="60"/>
      </w:pPr>
      <w:r>
        <w:rPr>
          <w:rFonts w:ascii="Arial" w:cs="Arial" w:eastAsia="Arial" w:hAnsi="Arial"/>
          <w:color w:val="1C1C1C"/>
          <w:sz w:val="22"/>
          <w:szCs w:val="22"/>
        </w:rPr>
        <w:t xml:space="preserve">ENISA: SBOM Landscape Analysis — Towards an Implementation Guide, December 2025</w:t>
      </w:r>
    </w:p>
    <w:p>
      <w:pPr>
        <w:pStyle w:val="ListParagraph"/>
        <w:numPr>
          <w:ilvl w:val="0"/>
          <w:numId w:val="2"/>
        </w:numPr>
        <w:spacing w:before="60" w:after="60"/>
      </w:pPr>
      <w:r>
        <w:rPr>
          <w:rFonts w:ascii="Arial" w:cs="Arial" w:eastAsia="Arial" w:hAnsi="Arial"/>
          <w:color w:val="1C1C1C"/>
          <w:sz w:val="22"/>
          <w:szCs w:val="22"/>
        </w:rPr>
        <w:t xml:space="preserve">EY: Global Third-Party Risk Management Survey, 2025</w:t>
      </w:r>
    </w:p>
    <w:p>
      <w:pPr>
        <w:pStyle w:val="ListParagraph"/>
        <w:numPr>
          <w:ilvl w:val="0"/>
          <w:numId w:val="2"/>
        </w:numPr>
        <w:spacing w:before="60" w:after="60"/>
      </w:pPr>
      <w:r>
        <w:rPr>
          <w:rFonts w:ascii="Arial" w:cs="Arial" w:eastAsia="Arial" w:hAnsi="Arial"/>
          <w:color w:val="1C1C1C"/>
          <w:sz w:val="22"/>
          <w:szCs w:val="22"/>
        </w:rPr>
        <w:t xml:space="preserve">IBM: Cost of a Data Breach Report, 2025</w:t>
      </w:r>
    </w:p>
    <w:p>
      <w:pPr>
        <w:pStyle w:val="ListParagraph"/>
        <w:numPr>
          <w:ilvl w:val="0"/>
          <w:numId w:val="2"/>
        </w:numPr>
        <w:spacing w:before="60" w:after="60"/>
      </w:pPr>
      <w:r>
        <w:rPr>
          <w:rFonts w:ascii="Arial" w:cs="Arial" w:eastAsia="Arial" w:hAnsi="Arial"/>
          <w:color w:val="1C1C1C"/>
          <w:sz w:val="22"/>
          <w:szCs w:val="22"/>
        </w:rPr>
        <w:t xml:space="preserve">NIST: Software Security in Supply Chains — SBOM Guidance</w:t>
      </w:r>
    </w:p>
    <w:p>
      <w:pPr>
        <w:pStyle w:val="ListParagraph"/>
        <w:numPr>
          <w:ilvl w:val="0"/>
          <w:numId w:val="2"/>
        </w:numPr>
        <w:spacing w:before="60" w:after="60"/>
      </w:pPr>
      <w:r>
        <w:rPr>
          <w:rFonts w:ascii="Arial" w:cs="Arial" w:eastAsia="Arial" w:hAnsi="Arial"/>
          <w:color w:val="1C1C1C"/>
          <w:sz w:val="22"/>
          <w:szCs w:val="22"/>
        </w:rPr>
        <w:t xml:space="preserve">OWASP: Agentic AI Threats and Mitigations Framework, 2025</w:t>
      </w:r>
    </w:p>
    <w:p>
      <w:pPr>
        <w:pStyle w:val="ListParagraph"/>
        <w:numPr>
          <w:ilvl w:val="0"/>
          <w:numId w:val="2"/>
        </w:numPr>
        <w:spacing w:before="60" w:after="60"/>
      </w:pPr>
      <w:r>
        <w:rPr>
          <w:rFonts w:ascii="Arial" w:cs="Arial" w:eastAsia="Arial" w:hAnsi="Arial"/>
          <w:color w:val="1C1C1C"/>
          <w:sz w:val="22"/>
          <w:szCs w:val="22"/>
        </w:rPr>
        <w:t xml:space="preserve">Palo Alto Networks: Agentic AI Security — Cyberpedia, 2025</w:t>
      </w:r>
    </w:p>
    <w:p>
      <w:pPr>
        <w:pStyle w:val="ListParagraph"/>
        <w:numPr>
          <w:ilvl w:val="0"/>
          <w:numId w:val="2"/>
        </w:numPr>
        <w:spacing w:before="60" w:after="60"/>
      </w:pPr>
      <w:r>
        <w:rPr>
          <w:rFonts w:ascii="Arial" w:cs="Arial" w:eastAsia="Arial" w:hAnsi="Arial"/>
          <w:color w:val="1C1C1C"/>
          <w:sz w:val="22"/>
          <w:szCs w:val="22"/>
        </w:rPr>
        <w:t xml:space="preserve">PwC: Responsible AI and Third-Party Risk Management, 2025</w:t>
      </w:r>
    </w:p>
    <w:p>
      <w:pPr>
        <w:pStyle w:val="ListParagraph"/>
        <w:numPr>
          <w:ilvl w:val="0"/>
          <w:numId w:val="2"/>
        </w:numPr>
        <w:spacing w:before="60" w:after="60"/>
      </w:pPr>
      <w:r>
        <w:rPr>
          <w:rFonts w:ascii="Arial" w:cs="Arial" w:eastAsia="Arial" w:hAnsi="Arial"/>
          <w:color w:val="1C1C1C"/>
          <w:sz w:val="22"/>
          <w:szCs w:val="22"/>
        </w:rPr>
        <w:t xml:space="preserve">Safe Security: Vendor Risk Assessment Guide, 2025</w:t>
      </w:r>
    </w:p>
    <w:p>
      <w:pPr>
        <w:pStyle w:val="ListParagraph"/>
        <w:numPr>
          <w:ilvl w:val="0"/>
          <w:numId w:val="2"/>
        </w:numPr>
        <w:spacing w:before="60" w:after="60"/>
      </w:pPr>
      <w:r>
        <w:rPr>
          <w:rFonts w:ascii="Arial" w:cs="Arial" w:eastAsia="Arial" w:hAnsi="Arial"/>
          <w:color w:val="1C1C1C"/>
          <w:sz w:val="22"/>
          <w:szCs w:val="22"/>
        </w:rPr>
        <w:t xml:space="preserve">UpGuard: Assessing Vendors with No SOC Report, 2025</w:t>
      </w:r>
    </w:p>
    <w:p>
      <w:pPr>
        <w:pStyle w:val="ListParagraph"/>
        <w:numPr>
          <w:ilvl w:val="0"/>
          <w:numId w:val="2"/>
        </w:numPr>
        <w:spacing w:before="60" w:after="60"/>
      </w:pPr>
      <w:r>
        <w:rPr>
          <w:rFonts w:ascii="Arial" w:cs="Arial" w:eastAsia="Arial" w:hAnsi="Arial"/>
          <w:color w:val="1C1C1C"/>
          <w:sz w:val="22"/>
          <w:szCs w:val="22"/>
        </w:rPr>
        <w:t xml:space="preserve">Vistrada: Step-By-Step Vendor Risk Assessment Guide, January 2026</w:t>
      </w:r>
    </w:p>
    <w:p>
      <w:pPr>
        <w:pStyle w:val="ListParagraph"/>
        <w:numPr>
          <w:ilvl w:val="0"/>
          <w:numId w:val="2"/>
        </w:numPr>
        <w:spacing w:before="60" w:after="60"/>
      </w:pPr>
      <w:r>
        <w:rPr>
          <w:rFonts w:ascii="Arial" w:cs="Arial" w:eastAsia="Arial" w:hAnsi="Arial"/>
          <w:color w:val="1C1C1C"/>
          <w:sz w:val="22"/>
          <w:szCs w:val="22"/>
        </w:rPr>
        <w:t xml:space="preserve">Venminder: Software Bill of Materials in Vendor Risk Management, 2025</w:t>
      </w:r>
    </w:p>
    <w:p>
      <w:pPr>
        <w:spacing w:before="80" w:after="80"/>
      </w:pPr>
      <w:r>
        <w:t xml:space="preserve"/>
      </w:r>
    </w:p>
    <w:p>
      <w:pPr>
        <w:spacing w:before="80" w:after="80"/>
      </w:pPr>
      <w:r>
        <w:t xml:space="preserve"/>
      </w:r>
    </w:p>
    <w:p>
      <w:pPr>
        <w:spacing w:before="80" w:after="120"/>
      </w:pPr>
      <w:r>
        <w:rPr>
          <w:rFonts w:ascii="Arial" w:cs="Arial" w:eastAsia="Arial" w:hAnsi="Arial"/>
          <w:i/>
          <w:iCs/>
          <w:color w:val="777777"/>
          <w:sz w:val="22"/>
          <w:szCs w:val="22"/>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A7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2026-03-18T16:29:15.068Z</dcterms:created>
  <dcterms:modified xsi:type="dcterms:W3CDTF">2026-03-18T16:29:15.069Z</dcterms:modified>
</cp:coreProperties>
</file>

<file path=docProps/custom.xml><?xml version="1.0" encoding="utf-8"?>
<Properties xmlns="http://schemas.openxmlformats.org/officeDocument/2006/custom-properties" xmlns:vt="http://schemas.openxmlformats.org/officeDocument/2006/docPropsVTypes"/>
</file>