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MeningoVax — Recommendation Citation Coverage</w:t>
      </w:r>
    </w:p>
    <w:p>
      <w:pPr>
        <w:spacing w:after="100"/>
      </w:pPr>
      <w:r>
        <w:rPr>
          <w:sz w:val="20"/>
          <w:szCs w:val="20"/>
        </w:rPr>
        <w:t xml:space="preserve">Generated 2026-07-24 by walking every distinct recommendation branch in src/logic/recommend.js through the app’s own recommend() function (36 unique vaccine/status/dose-label combinations found across a representative age and risk-factor sweep). This is not a hand-typed list — each row reflects what the running code actually returned for that scenario.</w:t>
      </w:r>
    </w:p>
    <w:p>
      <w:pPr>
        <w:spacing w:after="100"/>
      </w:pPr>
      <w:r>
        <w:rPr>
          <w:sz w:val="20"/>
          <w:szCs w:val="20"/>
        </w:rPr>
        <w:t xml:space="preserve">Two citation mechanisms exist in the app: a citation "chip" (cites the whole recommendation to one or more sources) and an inline [N] link (deep-links a specific sentence in the note to an exact quoted passage on the source page). Every row below already has at least one chip — full baseline coverage was completed and shipped on 2026-07-24 (commit 2bd48b9). Rows marked "No" under inline [N] have chip coverage but no sentence-level deep link; that is not necessarily a gap — use the blank last column to note anything you want to add or tighten.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Rows are grouped in the order they occur in the code (MenACWY high-risk → travel/military → college → infant high-risk → routine, then MenB not-yet-eligible → pregnancy → high-risk → healthy shared-decision).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000"/>
        <w:gridCol w:w="1900"/>
        <w:gridCol w:w="16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Vaccine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 (status / dose)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Citation source(s) shown as a chip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Inline [N] link to an exact quoted sentence</w:t>
            </w:r>
          </w:p>
        </w:tc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 a reference here?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1 of 2 (high-risk primary series)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Meningococcal Recommendations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not-indicated — Not yet age-eligible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2 of 2 (high-risk primary series)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Booster (dose 3, first booster, 3 years after primary)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Meningococcal Recommendations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Booster (dose 3, first booster, 5 years after primary)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Meningococcal Recommendations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Booster (dose 4, every 5 years)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1 of 3 (high-risk series)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Complement-Inhibitor Guidance; CDC Meningococcal Recommendations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1 dose (ongoing-risk indication)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Meningococcal Recommendations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not-indicated — Not routinely indicated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Meningococcal Recommendations; CDC MenB Notes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Booster (dose 2, every 5 years)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Meningococcal Recommendations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— Complete (dose given at ≥16y)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shared-decision — Dose 1 of 2 (shared clinical decision)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MenB Notes; Penmenvy MMWR 2026;75(1)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1 dose (booster at ≥16y)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1 dose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— Complete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1 of 4 (infant high-risk)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1 of 2 + booster (infant high-risk 7–11mo)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1 of 2 (high-risk 12–23mo)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(2)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3 of 3 (infant high-risk, 3-dose shortcut)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Booster (dose 5, every 5 years)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2 (infant high-risk series)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not-indicated — Not yet due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not-indicated — Not indicated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CDC MenB Notes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due — Dose 1 (routine, 11–12y)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— Booster due at 16y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due — Booster (16y)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catchup — Dose 1 of 1 (catch-up, 19–21y)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not-indicated — Not routinely indicated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deferred — Defer during pregnancy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CDC Adult Notes; CDC MenB Notes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2 of 3 (high-risk, 4C)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Meningococcal Recommendations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Dose 3 of 3 (high-risk, 4C)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Meningococcal Recommendations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risk-based — Booster (dose 4, 1 year after primary)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MMWR; CDC Meningococcal Recommendations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MenACWY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catchup — Dose 1 (catch-up, ≥16y, no booster needed)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ACIP 2020 MMWR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(1)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shared-decision — Dose 2 of 2 (4C)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CDC MenB Notes; Penmenvy MMWR 2026;75(1)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— Complete (2-dose series)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CDC MenB Notes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MenB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— Complete (accelerated 3-dose series)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CDC MenB Notes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9C6500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2026-07-24T14:41:56.982Z</dcterms:created>
  <dcterms:modified xsi:type="dcterms:W3CDTF">2026-07-24T14:41:56.983Z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