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F5496"/>
          <w:sz w:val="34"/>
          <w:szCs w:val="34"/>
        </w:rPr>
        <w:t xml:space="preserve">MeningoVax — Citation Audit &amp; Source-Consolidation Review</w:t>
      </w:r>
    </w:p>
    <w:p>
      <w:pPr>
        <w:spacing w:after="80"/>
      </w:pPr>
      <w:r>
        <w:rPr>
          <w:b w:val="false"/>
          <w:bCs w:val="false"/>
          <w:i w:val="false"/>
          <w:iCs w:val="false"/>
          <w:sz w:val="19"/>
          <w:szCs w:val="19"/>
        </w:rPr>
        <w:t xml:space="preserve">Prepared 2026-07-24 (Opus), updated after adding the Oct 2024 MMWR and immunize.org sources you supplied. Independent re-verification of the citations behind all 36 recommendation branches. All quotes below were fetched LIVE and confirmed as exact substrings of the source page this session (not transcribed from memory or a prior handoff).</w:t>
      </w:r>
    </w:p>
    <w:p>
      <w:pPr>
        <w:spacing w:after="80"/>
      </w:pPr>
      <w:r>
        <w:rPr>
          <w:b/>
          <w:bCs/>
          <w:i w:val="false"/>
          <w:iCs w:val="false"/>
          <w:sz w:val="19"/>
          <w:szCs w:val="19"/>
        </w:rPr>
        <w:t xml:space="preserve">Bottom line: </w:t>
      </w:r>
      <w:r>
        <w:rPr>
          <w:b w:val="false"/>
          <w:bCs w:val="false"/>
          <w:i w:val="false"/>
          <w:iCs w:val="false"/>
          <w:sz w:val="19"/>
          <w:szCs w:val="19"/>
        </w:rPr>
        <w:t xml:space="preserve">the app’s clinical logic is sound on every branch. The Oct 2024 Bexsero-update MMWR (mm7349a3) — which the earlier draft had not fetched — turned all the apparent MenB-4C "contradictions" into confirmations: the app follows the current 2024 schedule, and the 2020 table it seemed to contradict was simply superseded. What remains is citation tidy-up (swap a few whole-page chips for exact MMWR quotes) plus two genuine owner decisions (rows 15 and 28) and one code-trace (row 13).</w:t>
      </w:r>
    </w:p>
    <w:p>
      <w:pPr>
        <w:pStyle w:val="Heading1"/>
        <w:spacing w:after="80" w:before="200"/>
      </w:pPr>
      <w:r>
        <w:rPr>
          <w:b/>
          <w:bCs/>
          <w:color w:val="2F5496"/>
          <w:sz w:val="26"/>
          <w:szCs w:val="26"/>
        </w:rPr>
        <w:t xml:space="preserve">How to read this</w:t>
      </w:r>
    </w:p>
    <w:p>
      <w:pPr>
        <w:pStyle w:val="ListParagraph"/>
        <w:numPr>
          <w:ilvl w:val="0"/>
          <w:numId w:val="1"/>
        </w:numPr>
        <w:spacing w:after="40"/>
      </w:pPr>
      <w:r>
        <w:rPr>
          <w:b/>
          <w:bCs/>
          <w:i w:val="false"/>
          <w:iCs w:val="false"/>
          <w:sz w:val="19"/>
          <w:szCs w:val="19"/>
        </w:rPr>
        <w:t xml:space="preserve">Amber rows </w:t>
      </w:r>
      <w:r>
        <w:rPr>
          <w:b w:val="false"/>
          <w:bCs w:val="false"/>
          <w:i w:val="false"/>
          <w:iCs w:val="false"/>
          <w:sz w:val="19"/>
          <w:szCs w:val="19"/>
        </w:rPr>
        <w:t xml:space="preserve">need your review </w:t>
      </w:r>
      <w:r>
        <w:rPr>
          <w:b w:val="false"/>
          <w:bCs w:val="false"/>
          <w:i w:val="false"/>
          <w:iCs w:val="false"/>
          <w:sz w:val="19"/>
          <w:szCs w:val="19"/>
        </w:rPr>
        <w:t xml:space="preserve">(clinical judgment, a missing source, or a source that contradicts the app). </w:t>
      </w:r>
      <w:r>
        <w:rPr>
          <w:b/>
          <w:bCs/>
          <w:i w:val="false"/>
          <w:iCs w:val="false"/>
          <w:sz w:val="19"/>
          <w:szCs w:val="19"/>
        </w:rPr>
        <w:t xml:space="preserve">Grey/white rows </w:t>
      </w:r>
      <w:r>
        <w:rPr>
          <w:b w:val="false"/>
          <w:bCs w:val="false"/>
          <w:i w:val="false"/>
          <w:iCs w:val="false"/>
          <w:sz w:val="19"/>
          <w:szCs w:val="19"/>
        </w:rPr>
        <w:t xml:space="preserve">are already soundly sourced — the note says what, if anything, to drop to consolidate.</w:t>
      </w:r>
    </w:p>
    <w:p>
      <w:pPr>
        <w:pStyle w:val="ListParagraph"/>
        <w:numPr>
          <w:ilvl w:val="0"/>
          <w:numId w:val="1"/>
        </w:numPr>
        <w:spacing w:after="40"/>
      </w:pPr>
      <w:r>
        <w:rPr>
          <w:b/>
          <w:bCs/>
          <w:i w:val="false"/>
          <w:iCs w:val="false"/>
          <w:sz w:val="19"/>
          <w:szCs w:val="19"/>
        </w:rPr>
        <w:t xml:space="preserve">"Recommended source" </w:t>
      </w:r>
      <w:r>
        <w:rPr>
          <w:b w:val="false"/>
          <w:bCs w:val="false"/>
          <w:i w:val="false"/>
          <w:iCs w:val="false"/>
          <w:sz w:val="19"/>
          <w:szCs w:val="19"/>
        </w:rPr>
        <w:t xml:space="preserve">always prefers the two MMWRs over CDC schedule-note pages and immunize.org, per your consolidation rule.</w:t>
      </w:r>
    </w:p>
    <w:p>
      <w:pPr>
        <w:pStyle w:val="ListParagraph"/>
        <w:numPr>
          <w:ilvl w:val="0"/>
          <w:numId w:val="1"/>
        </w:numPr>
        <w:spacing w:after="40"/>
      </w:pPr>
      <w:r>
        <w:rPr>
          <w:b w:val="false"/>
          <w:bCs w:val="false"/>
          <w:i w:val="false"/>
          <w:iCs w:val="false"/>
          <w:sz w:val="19"/>
          <w:szCs w:val="19"/>
        </w:rPr>
        <w:t xml:space="preserve">Two source documents carry almost everything: </w:t>
      </w:r>
      <w:r>
        <w:rPr>
          <w:b/>
          <w:bCs/>
          <w:i w:val="false"/>
          <w:iCs w:val="false"/>
          <w:sz w:val="19"/>
          <w:szCs w:val="19"/>
        </w:rPr>
        <w:t xml:space="preserve">ACIP 2020 MMWR</w:t>
      </w:r>
      <w:r>
        <w:rPr>
          <w:b w:val="false"/>
          <w:bCs w:val="false"/>
          <w:i w:val="false"/>
          <w:iCs w:val="false"/>
          <w:sz w:val="19"/>
          <w:szCs w:val="19"/>
        </w:rPr>
        <w:t xml:space="preserve"> (PMC7527029) and </w:t>
      </w:r>
      <w:r>
        <w:rPr>
          <w:b/>
          <w:bCs/>
          <w:i w:val="false"/>
          <w:iCs w:val="false"/>
          <w:sz w:val="19"/>
          <w:szCs w:val="19"/>
        </w:rPr>
        <w:t xml:space="preserve">ACIP 2025 MMWR</w:t>
      </w:r>
      <w:r>
        <w:rPr>
          <w:b w:val="false"/>
          <w:bCs w:val="false"/>
          <w:i w:val="false"/>
          <w:iCs w:val="false"/>
          <w:sz w:val="19"/>
          <w:szCs w:val="19"/>
        </w:rPr>
        <w:t xml:space="preserve"> (PMC12782235). Full URLs at the bottom.</w:t>
      </w:r>
    </w:p>
    <w:p>
      <w:pPr>
        <w:pStyle w:val="Heading1"/>
        <w:spacing w:after="80" w:before="200"/>
      </w:pPr>
      <w:r>
        <w:rPr>
          <w:b/>
          <w:bCs/>
          <w:color w:val="2F5496"/>
          <w:sz w:val="26"/>
          <w:szCs w:val="26"/>
        </w:rPr>
        <w:t xml:space="preserve">The consolidation opportunity (the headline)</w:t>
      </w:r>
    </w:p>
    <w:p>
      <w:pPr>
        <w:spacing w:after="80"/>
      </w:pPr>
      <w:r>
        <w:rPr>
          <w:b w:val="false"/>
          <w:bCs w:val="false"/>
          <w:i w:val="false"/>
          <w:iCs w:val="false"/>
          <w:sz w:val="19"/>
          <w:szCs w:val="19"/>
        </w:rPr>
        <w:t xml:space="preserve">THREE MMWRs now carry essentially every clinical claim: </w:t>
      </w:r>
      <w:r>
        <w:rPr>
          <w:b/>
          <w:bCs/>
          <w:i w:val="false"/>
          <w:iCs w:val="false"/>
          <w:sz w:val="19"/>
          <w:szCs w:val="19"/>
        </w:rPr>
        <w:t xml:space="preserve">2020 (PMC7527029)</w:t>
      </w:r>
      <w:r>
        <w:rPr>
          <w:b w:val="false"/>
          <w:bCs w:val="false"/>
          <w:i w:val="false"/>
          <w:iCs w:val="false"/>
          <w:sz w:val="19"/>
          <w:szCs w:val="19"/>
        </w:rPr>
        <w:t xml:space="preserve"> for the routine schedule, high-risk MenACWY, infant series and booster age-split; </w:t>
      </w:r>
      <w:r>
        <w:rPr>
          <w:b/>
          <w:bCs/>
          <w:i w:val="false"/>
          <w:iCs w:val="false"/>
          <w:sz w:val="19"/>
          <w:szCs w:val="19"/>
        </w:rPr>
        <w:t xml:space="preserve">Oct 2024 (mm7349a3)</w:t>
      </w:r>
      <w:r>
        <w:rPr>
          <w:b w:val="false"/>
          <w:bCs w:val="false"/>
          <w:i w:val="false"/>
          <w:iCs w:val="false"/>
          <w:sz w:val="19"/>
          <w:szCs w:val="19"/>
        </w:rPr>
        <w:t xml:space="preserve"> for ALL MenB-4C schedules (healthy 2-dose 0/6, high-risk 3-dose 0/1–2/6, rescue and accelerated); and </w:t>
      </w:r>
      <w:r>
        <w:rPr>
          <w:b/>
          <w:bCs/>
          <w:i w:val="false"/>
          <w:iCs w:val="false"/>
          <w:sz w:val="19"/>
          <w:szCs w:val="19"/>
        </w:rPr>
        <w:t xml:space="preserve">2025 (PMC12782235)</w:t>
      </w:r>
      <w:r>
        <w:rPr>
          <w:b w:val="false"/>
          <w:bCs w:val="false"/>
          <w:i w:val="false"/>
          <w:iCs w:val="false"/>
          <w:sz w:val="19"/>
          <w:szCs w:val="19"/>
        </w:rPr>
        <w:t xml:space="preserve"> whose BOX restates every current indication + the MenB high-risk booster cadence in clean sentences.</w:t>
      </w:r>
    </w:p>
    <w:p>
      <w:pPr>
        <w:pStyle w:val="Heading2"/>
        <w:spacing w:after="60" w:before="160"/>
      </w:pPr>
      <w:r>
        <w:rPr>
          <w:b/>
          <w:bCs/>
          <w:color w:val="1F4E79"/>
          <w:sz w:val="22"/>
          <w:szCs w:val="22"/>
        </w:rPr>
        <w:t xml:space="preserve">Sources you can now DROP entirely (each use is a verbatim restatement of an MMWR sentence)</w:t>
      </w:r>
    </w:p>
    <w:p>
      <w:pPr>
        <w:pStyle w:val="ListParagraph"/>
        <w:numPr>
          <w:ilvl w:val="0"/>
          <w:numId w:val="1"/>
        </w:numPr>
        <w:spacing w:after="40"/>
      </w:pPr>
      <w:r>
        <w:rPr>
          <w:b/>
          <w:bCs/>
          <w:i w:val="false"/>
          <w:iCs w:val="false"/>
          <w:sz w:val="19"/>
          <w:szCs w:val="19"/>
        </w:rPr>
        <w:t xml:space="preserve">CDC Child/Adolescent MenACWY Notes, CDC MenB Notes, CDC Adult Notes</w:t>
      </w:r>
      <w:r>
        <w:rPr>
          <w:b w:val="false"/>
          <w:bCs w:val="false"/>
          <w:i w:val="false"/>
          <w:iCs w:val="false"/>
          <w:sz w:val="19"/>
          <w:szCs w:val="19"/>
        </w:rPr>
        <w:t xml:space="preserve"> — every appearance duplicates an MMWR sentence now quotable from 2020, 2024 or 2025.</w:t>
      </w:r>
    </w:p>
    <w:p>
      <w:pPr>
        <w:pStyle w:val="ListParagraph"/>
        <w:numPr>
          <w:ilvl w:val="0"/>
          <w:numId w:val="1"/>
        </w:numPr>
        <w:spacing w:after="40"/>
      </w:pPr>
      <w:r>
        <w:rPr>
          <w:b/>
          <w:bCs/>
          <w:i w:val="false"/>
          <w:iCs w:val="false"/>
          <w:sz w:val="19"/>
          <w:szCs w:val="19"/>
        </w:rPr>
        <w:t xml:space="preserve">"CDC Meningococcal Recommendations" (whole-page) — ALL uses</w:t>
      </w:r>
      <w:r>
        <w:rPr>
          <w:b w:val="false"/>
          <w:bCs w:val="false"/>
          <w:i w:val="false"/>
          <w:iCs w:val="false"/>
          <w:sz w:val="19"/>
          <w:szCs w:val="19"/>
        </w:rPr>
        <w:t xml:space="preserve">. Its three jobs are now exact MMWR quotes: MenACWY booster age-split (2020 tables), MenB-4C high-risk 3-dose (mm7349a3), and MenB high-risk booster cadence (2025 Box). With mm7349a3 in hand, this page is fully replaceable.</w:t>
      </w:r>
    </w:p>
    <w:p>
      <w:pPr>
        <w:pStyle w:val="Heading2"/>
        <w:spacing w:after="60" w:before="160"/>
      </w:pPr>
      <w:r>
        <w:rPr>
          <w:b/>
          <w:bCs/>
          <w:color w:val="1F4E79"/>
          <w:sz w:val="22"/>
          <w:szCs w:val="22"/>
        </w:rPr>
        <w:t xml:space="preserve">Sources you should KEEP (no MMWR equivalent exists)</w:t>
      </w:r>
    </w:p>
    <w:p>
      <w:pPr>
        <w:pStyle w:val="ListParagraph"/>
        <w:numPr>
          <w:ilvl w:val="0"/>
          <w:numId w:val="1"/>
        </w:numPr>
        <w:spacing w:after="40"/>
      </w:pPr>
      <w:r>
        <w:rPr>
          <w:b/>
          <w:bCs/>
          <w:i w:val="false"/>
          <w:iCs w:val="false"/>
          <w:sz w:val="19"/>
          <w:szCs w:val="19"/>
        </w:rPr>
        <w:t xml:space="preserve">CDC Complement-Inhibitor Guidance</w:t>
      </w:r>
      <w:r>
        <w:rPr>
          <w:b w:val="false"/>
          <w:bCs w:val="false"/>
          <w:i w:val="false"/>
          <w:iCs w:val="false"/>
          <w:sz w:val="19"/>
          <w:szCs w:val="19"/>
        </w:rPr>
        <w:t xml:space="preserve"> — specialised management for eculizumab / ravulizumab patients.</w:t>
      </w:r>
    </w:p>
    <w:p>
      <w:pPr>
        <w:pStyle w:val="ListParagraph"/>
        <w:numPr>
          <w:ilvl w:val="0"/>
          <w:numId w:val="1"/>
        </w:numPr>
        <w:spacing w:after="40"/>
      </w:pPr>
      <w:r>
        <w:rPr>
          <w:b/>
          <w:bCs/>
          <w:i w:val="false"/>
          <w:iCs w:val="false"/>
          <w:sz w:val="19"/>
          <w:szCs w:val="19"/>
        </w:rPr>
        <w:t xml:space="preserve">immunize.org "Ask the Experts"</w:t>
      </w:r>
      <w:r>
        <w:rPr>
          <w:b w:val="false"/>
          <w:bCs w:val="false"/>
          <w:i w:val="false"/>
          <w:iCs w:val="false"/>
          <w:sz w:val="19"/>
          <w:szCs w:val="19"/>
        </w:rPr>
        <w:t xml:space="preserve"> — the two practical-judgment rows (unconfirmed-date college dose; early dose-2 rescue), PLUS the homeless/halfway-house Q&amp;A you chose for the ≥22y "not indicated" row (row 28).</w:t>
      </w:r>
    </w:p>
    <w:p>
      <w:pPr>
        <w:pStyle w:val="Heading1"/>
        <w:spacing w:after="80" w:before="200"/>
      </w:pPr>
      <w:r>
        <w:rPr>
          <w:b/>
          <w:bCs/>
          <w:color w:val="2F5496"/>
          <w:sz w:val="26"/>
          <w:szCs w:val="26"/>
        </w:rPr>
        <w:t xml:space="preserve">Where each earlier flag landed</w:t>
      </w:r>
    </w:p>
    <w:p>
      <w:pPr>
        <w:pStyle w:val="Heading2"/>
        <w:spacing w:after="60" w:before="160"/>
      </w:pPr>
      <w:r>
        <w:rPr>
          <w:b/>
          <w:bCs/>
          <w:color w:val="1F4E79"/>
          <w:sz w:val="22"/>
          <w:szCs w:val="22"/>
        </w:rPr>
        <w:t xml:space="preserve">Now RESOLVED with the sources you supplied (no decision needed — just cite &amp; drop the old chip)</w:t>
      </w:r>
    </w:p>
    <w:p>
      <w:pPr>
        <w:pStyle w:val="ListParagraph"/>
        <w:numPr>
          <w:ilvl w:val="0"/>
          <w:numId w:val="1"/>
        </w:numPr>
        <w:spacing w:after="40"/>
      </w:pPr>
      <w:r>
        <w:rPr>
          <w:b/>
          <w:bCs/>
          <w:i w:val="false"/>
          <w:iCs w:val="false"/>
          <w:sz w:val="19"/>
          <w:szCs w:val="19"/>
        </w:rPr>
        <w:t xml:space="preserve">Rows 7, 30, 31 — MenB-4C high-risk 3-dose: </w:t>
      </w:r>
      <w:r>
        <w:rPr>
          <w:b w:val="false"/>
          <w:bCs w:val="false"/>
          <w:i w:val="false"/>
          <w:iCs w:val="false"/>
          <w:sz w:val="19"/>
          <w:szCs w:val="19"/>
        </w:rPr>
        <w:t xml:space="preserve">confirmed correct by mm7349a3 ("…3-dose series at 0, 1–2, and 6 months to persons aged ≥10 years who are at increased risk"), which supersedes the 2020 2-dose table. Cite mm7349a3; drop CDC page chip.</w:t>
      </w:r>
    </w:p>
    <w:p>
      <w:pPr>
        <w:pStyle w:val="ListParagraph"/>
        <w:numPr>
          <w:ilvl w:val="0"/>
          <w:numId w:val="1"/>
        </w:numPr>
        <w:spacing w:after="40"/>
      </w:pPr>
      <w:r>
        <w:rPr>
          <w:b/>
          <w:bCs/>
          <w:i w:val="false"/>
          <w:iCs w:val="false"/>
          <w:sz w:val="19"/>
          <w:szCs w:val="19"/>
        </w:rPr>
        <w:t xml:space="preserve">Rows 12, 34 — healthy 2-dose "≥6 months apart" for 4C (+ rescue): </w:t>
      </w:r>
      <w:r>
        <w:rPr>
          <w:b w:val="false"/>
          <w:bCs w:val="false"/>
          <w:i w:val="false"/>
          <w:iCs w:val="false"/>
          <w:sz w:val="19"/>
          <w:szCs w:val="19"/>
        </w:rPr>
        <w:t xml:space="preserve">confirmed by mm7349a3 ("…2-dose series at 0 and 6 months…"; rescue: dose 2 early → third dose ≥4 months later). Cite mm7349a3.</w:t>
      </w:r>
    </w:p>
    <w:p>
      <w:pPr>
        <w:pStyle w:val="ListParagraph"/>
        <w:numPr>
          <w:ilvl w:val="0"/>
          <w:numId w:val="1"/>
        </w:numPr>
        <w:spacing w:after="40"/>
      </w:pPr>
      <w:r>
        <w:rPr>
          <w:b/>
          <w:bCs/>
          <w:i w:val="false"/>
          <w:iCs w:val="false"/>
          <w:sz w:val="19"/>
          <w:szCs w:val="19"/>
        </w:rPr>
        <w:t xml:space="preserve">Row 36 — healthy accelerated 3-dose: </w:t>
      </w:r>
      <w:r>
        <w:rPr>
          <w:b w:val="false"/>
          <w:bCs w:val="false"/>
          <w:i w:val="false"/>
          <w:iCs w:val="false"/>
          <w:sz w:val="19"/>
          <w:szCs w:val="19"/>
        </w:rPr>
        <w:t xml:space="preserve">explicitly authorised by mm7349a3 for rapid protection, both families. Cite mm7349a3 (your immunize.org Trumenba/university fallback is not needed).</w:t>
      </w:r>
    </w:p>
    <w:p>
      <w:pPr>
        <w:pStyle w:val="ListParagraph"/>
        <w:numPr>
          <w:ilvl w:val="0"/>
          <w:numId w:val="1"/>
        </w:numPr>
        <w:spacing w:after="40"/>
      </w:pPr>
      <w:r>
        <w:rPr>
          <w:b/>
          <w:bCs/>
          <w:i w:val="false"/>
          <w:iCs w:val="false"/>
          <w:sz w:val="19"/>
          <w:szCs w:val="19"/>
        </w:rPr>
        <w:t xml:space="preserve">Row 28 — ≥22y "not routinely indicated": </w:t>
      </w:r>
      <w:r>
        <w:rPr>
          <w:b w:val="false"/>
          <w:bCs w:val="false"/>
          <w:i w:val="false"/>
          <w:iCs w:val="false"/>
          <w:sz w:val="19"/>
          <w:szCs w:val="19"/>
        </w:rPr>
        <w:t xml:space="preserve">your immunize.org homeless/halfway Q&amp;A settles it — catch-up runs only "through age 21 years," so ≥22y healthy = neither routine nor catch-up. Cite that page + the 2020 catch-up sentence.</w:t>
      </w:r>
    </w:p>
    <w:p>
      <w:pPr>
        <w:pStyle w:val="ListParagraph"/>
        <w:numPr>
          <w:ilvl w:val="0"/>
          <w:numId w:val="1"/>
        </w:numPr>
        <w:spacing w:after="40"/>
      </w:pPr>
      <w:r>
        <w:rPr>
          <w:b/>
          <w:bCs/>
          <w:i w:val="false"/>
          <w:iCs w:val="false"/>
          <w:sz w:val="19"/>
          <w:szCs w:val="19"/>
        </w:rPr>
        <w:t xml:space="preserve">Rows 27, 33 — precise-quote swaps: </w:t>
      </w:r>
      <w:r>
        <w:rPr>
          <w:b w:val="false"/>
          <w:bCs w:val="false"/>
          <w:i w:val="false"/>
          <w:iCs w:val="false"/>
          <w:sz w:val="19"/>
          <w:szCs w:val="19"/>
        </w:rPr>
        <w:t xml:space="preserve">row 27 → the 19–21y catch-up sentence; row 33 → the "first dose after the 16th birthday needs no booster" sentence (a DIFFERENT sentence — see the rows). Both exist verbatim in the 2020 MMWR.</w:t>
      </w:r>
    </w:p>
    <w:p>
      <w:pPr>
        <w:pStyle w:val="Heading2"/>
        <w:spacing w:after="60" w:before="160"/>
      </w:pPr>
      <w:r>
        <w:rPr>
          <w:b/>
          <w:bCs/>
          <w:color w:val="1F4E79"/>
          <w:sz w:val="22"/>
          <w:szCs w:val="22"/>
        </w:rPr>
        <w:t xml:space="preserve">Owner decisions recorded 2026-07-24</w:t>
      </w:r>
    </w:p>
    <w:p>
      <w:pPr>
        <w:pStyle w:val="ListParagraph"/>
        <w:numPr>
          <w:ilvl w:val="0"/>
          <w:numId w:val="1"/>
        </w:numPr>
        <w:spacing w:after="40"/>
      </w:pPr>
      <w:r>
        <w:rPr>
          <w:b/>
          <w:bCs/>
          <w:i w:val="false"/>
          <w:iCs w:val="false"/>
          <w:sz w:val="19"/>
          <w:szCs w:val="19"/>
        </w:rPr>
        <w:t xml:space="preserve">Row 15 — DECIDED: </w:t>
      </w:r>
      <w:r>
        <w:rPr>
          <w:b w:val="false"/>
          <w:bCs w:val="false"/>
          <w:i w:val="false"/>
          <w:iCs w:val="false"/>
          <w:sz w:val="19"/>
          <w:szCs w:val="19"/>
        </w:rPr>
        <w:t xml:space="preserve">transient one-and-done indications (military recruit, first-year college resident, A/C/W/Y outbreak) will be shown as "exposure/outbreak", not "risk-based". Implementation follow-up (separate from citation wiring): touches the rec() status enum + UI mapping; decide whether travel/microbiologist (exposure-driven but boosted) share the label.</w:t>
      </w:r>
    </w:p>
    <w:p>
      <w:pPr>
        <w:pStyle w:val="Heading2"/>
        <w:spacing w:after="60" w:before="160"/>
      </w:pPr>
      <w:r>
        <w:rPr>
          <w:b/>
          <w:bCs/>
          <w:color w:val="1F4E79"/>
          <w:sz w:val="22"/>
          <w:szCs w:val="22"/>
        </w:rPr>
        <w:t xml:space="preserve">Still open (1 confirm + 1 code check)</w:t>
      </w:r>
    </w:p>
    <w:p>
      <w:pPr>
        <w:pStyle w:val="ListParagraph"/>
        <w:numPr>
          <w:ilvl w:val="0"/>
          <w:numId w:val="1"/>
        </w:numPr>
        <w:spacing w:after="40"/>
      </w:pPr>
      <w:r>
        <w:rPr>
          <w:b/>
          <w:bCs/>
          <w:i w:val="false"/>
          <w:iCs w:val="false"/>
          <w:sz w:val="19"/>
          <w:szCs w:val="19"/>
        </w:rPr>
        <w:t xml:space="preserve">Row 28 — confirm the source choice: </w:t>
      </w:r>
      <w:r>
        <w:rPr>
          <w:b w:val="false"/>
          <w:bCs w:val="false"/>
          <w:i w:val="false"/>
          <w:iCs w:val="false"/>
          <w:sz w:val="19"/>
          <w:szCs w:val="19"/>
        </w:rPr>
        <w:t xml:space="preserve">immunize.org is a "whole-page chip" per your own convention (no stable deep-link sentence). Fine to use here; just confirm you are happy citing immunize.org rather than leaving ≥22y uncited.</w:t>
      </w:r>
    </w:p>
    <w:p>
      <w:pPr>
        <w:pStyle w:val="ListParagraph"/>
        <w:numPr>
          <w:ilvl w:val="0"/>
          <w:numId w:val="1"/>
        </w:numPr>
        <w:spacing w:after="40"/>
      </w:pPr>
      <w:r>
        <w:rPr>
          <w:b/>
          <w:bCs/>
          <w:i w:val="false"/>
          <w:iCs w:val="false"/>
          <w:sz w:val="19"/>
          <w:szCs w:val="19"/>
        </w:rPr>
        <w:t xml:space="preserve">Row 13 — code trace, not a citation: </w:t>
      </w:r>
      <w:r>
        <w:rPr>
          <w:b w:val="false"/>
          <w:bCs w:val="false"/>
          <w:i w:val="false"/>
          <w:iCs w:val="false"/>
          <w:sz w:val="19"/>
          <w:szCs w:val="19"/>
        </w:rPr>
        <w:t xml:space="preserve">confirm recommend.js handles the college-dorm "&gt;5 years since 16th birthday" sub-case (from the handoff) before closing the row.</w:t>
      </w:r>
    </w:p>
    <w:p>
      <w:pPr>
        <w:pStyle w:val="Heading1"/>
        <w:spacing w:after="80" w:before="200"/>
      </w:pPr>
      <w:r>
        <w:rPr>
          <w:b/>
          <w:bCs/>
          <w:color w:val="2F5496"/>
          <w:sz w:val="26"/>
          <w:szCs w:val="26"/>
        </w:rPr>
        <w:t xml:space="preserve">The full branch-by-branch audit</w:t>
      </w:r>
    </w:p>
    <w:p>
      <w:pPr>
        <w:spacing w:after="80"/>
      </w:pPr>
      <w:r>
        <w:rPr>
          <w:b w:val="false"/>
          <w:bCs w:val="false"/>
          <w:i/>
          <w:iCs/>
          <w:sz w:val="19"/>
          <w:szCs w:val="19"/>
        </w:rPr>
        <w:t xml:space="preserve">36 recommendation branches, in the order of your coverage table.</w:t>
      </w:r>
    </w:p>
    <w:tbl>
      <w:tblPr>
        <w:tblW w:type="dxa" w:w="14400"/>
        <w:tblBorders>
          <w:top w:val="single" w:color="AAAAAA" w:sz="2"/>
          <w:left w:val="single" w:color="AAAAAA" w:sz="2"/>
          <w:bottom w:val="single" w:color="AAAAAA" w:sz="2"/>
          <w:right w:val="single" w:color="AAAAAA" w:sz="2"/>
          <w:insideH w:val="single" w:color="CCCCCC" w:sz="2"/>
          <w:insideV w:val="single" w:color="CCCCCC" w:sz="2"/>
        </w:tblBorders>
      </w:tblPr>
      <w:tblGrid>
        <w:gridCol w:w="460"/>
        <w:gridCol w:w="2900"/>
        <w:gridCol w:w="2340"/>
        <w:gridCol w:w="5900"/>
        <w:gridCol w:w="2800"/>
      </w:tblGrid>
      <w:tr>
        <w:trPr>
          <w:tblHeader/>
        </w:trPr>
        <w:tc>
          <w:tcPr>
            <w:tcW w:type="dxa" w:w="460"/>
            <w:shd w:fill="2F5496" w:color="auto" w:val="clear"/>
            <w:tcMar>
              <w:top w:type="dxa" w:w="60"/>
              <w:left w:type="dxa" w:w="70"/>
              <w:bottom w:type="dxa" w:w="60"/>
              <w:right w:type="dxa" w:w="70"/>
            </w:tcMar>
          </w:tcPr>
          <w:p>
            <w:r>
              <w:rPr>
                <w:b/>
                <w:bCs/>
                <w:color w:val="FFFFFF"/>
                <w:sz w:val="18"/>
                <w:szCs w:val="18"/>
              </w:rPr>
              <w:t xml:space="preserve">#</w:t>
            </w:r>
          </w:p>
        </w:tc>
        <w:tc>
          <w:tcPr>
            <w:tcW w:type="dxa" w:w="2900"/>
            <w:shd w:fill="2F5496" w:color="auto" w:val="clear"/>
            <w:tcMar>
              <w:top w:type="dxa" w:w="60"/>
              <w:left w:type="dxa" w:w="70"/>
              <w:bottom w:type="dxa" w:w="60"/>
              <w:right w:type="dxa" w:w="70"/>
            </w:tcMar>
          </w:tcPr>
          <w:p>
            <w:r>
              <w:rPr>
                <w:b/>
                <w:bCs/>
                <w:color w:val="FFFFFF"/>
                <w:sz w:val="18"/>
                <w:szCs w:val="18"/>
              </w:rPr>
              <w:t xml:space="preserve">Vaccine / Recommendation</w:t>
            </w:r>
          </w:p>
        </w:tc>
        <w:tc>
          <w:tcPr>
            <w:tcW w:type="dxa" w:w="2340"/>
            <w:shd w:fill="2F5496" w:color="auto" w:val="clear"/>
            <w:tcMar>
              <w:top w:type="dxa" w:w="60"/>
              <w:left w:type="dxa" w:w="70"/>
              <w:bottom w:type="dxa" w:w="60"/>
              <w:right w:type="dxa" w:w="70"/>
            </w:tcMar>
          </w:tcPr>
          <w:p>
            <w:r>
              <w:rPr>
                <w:b/>
                <w:bCs/>
                <w:color w:val="FFFFFF"/>
                <w:sz w:val="18"/>
                <w:szCs w:val="18"/>
              </w:rPr>
              <w:t xml:space="preserve">Current citation</w:t>
            </w:r>
          </w:p>
        </w:tc>
        <w:tc>
          <w:tcPr>
            <w:tcW w:type="dxa" w:w="5900"/>
            <w:shd w:fill="2F5496" w:color="auto" w:val="clear"/>
            <w:tcMar>
              <w:top w:type="dxa" w:w="60"/>
              <w:left w:type="dxa" w:w="70"/>
              <w:bottom w:type="dxa" w:w="60"/>
              <w:right w:type="dxa" w:w="70"/>
            </w:tcMar>
          </w:tcPr>
          <w:p>
            <w:r>
              <w:rPr>
                <w:b/>
                <w:bCs/>
                <w:color w:val="FFFFFF"/>
                <w:sz w:val="18"/>
                <w:szCs w:val="18"/>
              </w:rPr>
              <w:t xml:space="preserve">Recommended (consolidated) source + exact quote</w:t>
            </w:r>
          </w:p>
        </w:tc>
        <w:tc>
          <w:tcPr>
            <w:tcW w:type="dxa" w:w="2800"/>
            <w:shd w:fill="2F5496" w:color="auto" w:val="clear"/>
            <w:tcMar>
              <w:top w:type="dxa" w:w="60"/>
              <w:left w:type="dxa" w:w="70"/>
              <w:bottom w:type="dxa" w:w="60"/>
              <w:right w:type="dxa" w:w="70"/>
            </w:tcMar>
          </w:tcPr>
          <w:p>
            <w:r>
              <w:rPr>
                <w:b/>
                <w:bCs/>
                <w:color w:val="FFFFFF"/>
                <w:sz w:val="18"/>
                <w:szCs w:val="18"/>
              </w:rPr>
              <w:t xml:space="preserve">Review needed / missing nuance</w:t>
            </w:r>
          </w:p>
        </w:tc>
      </w:tr>
      <w:tr>
        <w:tc>
          <w:tcPr>
            <w:tcW w:type="dxa" w:w="460"/>
            <w:shd w:fill="FFFFFF" w:color="auto" w:val="clear"/>
            <w:tcMar>
              <w:top w:type="dxa" w:w="40"/>
              <w:left w:type="dxa" w:w="70"/>
              <w:bottom w:type="dxa" w:w="40"/>
              <w:right w:type="dxa" w:w="70"/>
            </w:tcMar>
          </w:tcPr>
          <w:p>
            <w:pPr>
              <w:spacing w:after="40"/>
            </w:pPr>
            <w:r>
              <w:rPr>
                <w:b/>
                <w:bCs/>
                <w:i w:val="false"/>
                <w:iCs w:val="false"/>
                <w:sz w:val="17"/>
                <w:szCs w:val="17"/>
              </w:rPr>
              <w:t xml:space="preserve">1</w:t>
            </w:r>
          </w:p>
        </w:tc>
        <w:tc>
          <w:tcPr>
            <w:tcW w:type="dxa" w:w="2900"/>
            <w:shd w:fill="FFFFFF"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risk-based — Dose 1 of 2 (high-risk primary series)</w:t>
            </w:r>
          </w:p>
        </w:tc>
        <w:tc>
          <w:tcPr>
            <w:tcW w:type="dxa" w:w="234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 CDC Meningococcal Recommendations</w:t>
            </w:r>
          </w:p>
        </w:tc>
        <w:tc>
          <w:tcPr>
            <w:tcW w:type="dxa" w:w="5900"/>
            <w:shd w:fill="FFFFFF"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“MenACWY-D or MenACWY-CRM or MenACWY-TT: 2 doses ≥8 wks apart (Table 2)”</w:t>
            </w:r>
          </w:p>
          <w:p>
            <w:pPr>
              <w:spacing w:after="40"/>
            </w:pPr>
            <w:r>
              <w:rPr>
                <w:b w:val="false"/>
                <w:bCs w:val="false"/>
                <w:i/>
                <w:iCs/>
                <w:color w:val="555555"/>
                <w:sz w:val="17"/>
                <w:szCs w:val="17"/>
              </w:rPr>
              <w:t xml:space="preserve">Booster split already cited: "Aged &lt;7 yrs: Single dose at 3 yrs…" / "Aged ≥7 yrs: Single dose at 5 yrs…"</w:t>
            </w:r>
          </w:p>
        </w:tc>
        <w:tc>
          <w:tcPr>
            <w:tcW w:type="dxa" w:w="280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Consolidate: drop the "CDC Meningococcal Recommendations" chip — the &lt;7y/≥7y booster split is verbatim in the 2020 MMWR tables (quotes already wired), so the CDC page is redundant here.</w:t>
            </w:r>
          </w:p>
        </w:tc>
      </w:tr>
      <w:tr>
        <w:tc>
          <w:tcPr>
            <w:tcW w:type="dxa" w:w="460"/>
            <w:shd w:fill="E9E9E9" w:color="auto" w:val="clear"/>
            <w:tcMar>
              <w:top w:type="dxa" w:w="40"/>
              <w:left w:type="dxa" w:w="70"/>
              <w:bottom w:type="dxa" w:w="40"/>
              <w:right w:type="dxa" w:w="70"/>
            </w:tcMar>
          </w:tcPr>
          <w:p>
            <w:pPr>
              <w:spacing w:after="40"/>
            </w:pPr>
            <w:r>
              <w:rPr>
                <w:b/>
                <w:bCs/>
                <w:i w:val="false"/>
                <w:iCs w:val="false"/>
                <w:sz w:val="17"/>
                <w:szCs w:val="17"/>
              </w:rPr>
              <w:t xml:space="preserve">2</w:t>
            </w:r>
          </w:p>
        </w:tc>
        <w:tc>
          <w:tcPr>
            <w:tcW w:type="dxa" w:w="2900"/>
            <w:shd w:fill="E9E9E9" w:color="auto" w:val="clear"/>
            <w:tcMar>
              <w:top w:type="dxa" w:w="40"/>
              <w:left w:type="dxa" w:w="70"/>
              <w:bottom w:type="dxa" w:w="40"/>
              <w:right w:type="dxa" w:w="70"/>
            </w:tcMar>
          </w:tcPr>
          <w:p>
            <w:pPr>
              <w:spacing w:after="40"/>
            </w:pPr>
            <w:r>
              <w:rPr>
                <w:b/>
                <w:bCs/>
                <w:i w:val="false"/>
                <w:iCs w:val="false"/>
                <w:sz w:val="17"/>
                <w:szCs w:val="17"/>
              </w:rPr>
              <w:t xml:space="preserve">MenB</w:t>
            </w:r>
          </w:p>
          <w:p>
            <w:pPr>
              <w:spacing w:after="40"/>
            </w:pPr>
            <w:r>
              <w:rPr>
                <w:b w:val="false"/>
                <w:bCs w:val="false"/>
                <w:i w:val="false"/>
                <w:iCs w:val="false"/>
                <w:sz w:val="17"/>
                <w:szCs w:val="17"/>
              </w:rPr>
              <w:t xml:space="preserve">not-indicated — Not yet age-eligible (high-risk, age &lt;10)</w:t>
            </w:r>
          </w:p>
        </w:tc>
        <w:tc>
          <w:tcPr>
            <w:tcW w:type="dxa" w:w="234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w:t>
            </w:r>
          </w:p>
        </w:tc>
        <w:tc>
          <w:tcPr>
            <w:tcW w:type="dxa" w:w="5900"/>
            <w:shd w:fill="E9E9E9"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“MenB vaccines are licensed in the United States only for persons aged 10–25 years (Table 2 footnote)”</w:t>
            </w:r>
          </w:p>
          <w:p>
            <w:pPr>
              <w:spacing w:after="40"/>
            </w:pPr>
            <w:r>
              <w:rPr>
                <w:b w:val="false"/>
                <w:bCs w:val="false"/>
                <w:i/>
                <w:iCs/>
                <w:color w:val="555555"/>
                <w:sz w:val="17"/>
                <w:szCs w:val="17"/>
              </w:rPr>
              <w:t xml:space="preserve">"No recommendations for use of MenB vaccines in this population" (Table 2, &lt;10y row)</w:t>
            </w:r>
          </w:p>
        </w:tc>
        <w:tc>
          <w:tcPr>
            <w:tcW w:type="dxa" w:w="2800"/>
            <w:shd w:fill="E9E9E9" w:color="auto" w:val="clear"/>
            <w:tcMar>
              <w:top w:type="dxa" w:w="40"/>
              <w:left w:type="dxa" w:w="70"/>
              <w:bottom w:type="dxa" w:w="40"/>
              <w:right w:type="dxa" w:w="70"/>
            </w:tcMar>
          </w:tcPr>
          <w:p>
            <w:pPr>
              <w:spacing w:after="40"/>
            </w:pPr>
            <w:r>
              <w:rPr>
                <w:b w:val="false"/>
                <w:bCs w:val="false"/>
                <w:i w:val="false"/>
                <w:iCs w:val="false"/>
                <w:color w:val="0B7A0B"/>
                <w:sz w:val="17"/>
                <w:szCs w:val="17"/>
              </w:rPr>
              <w:t xml:space="preserve">—  no change needed</w:t>
            </w:r>
          </w:p>
        </w:tc>
      </w:tr>
      <w:tr>
        <w:tc>
          <w:tcPr>
            <w:tcW w:type="dxa" w:w="460"/>
            <w:shd w:fill="FFFFFF" w:color="auto" w:val="clear"/>
            <w:tcMar>
              <w:top w:type="dxa" w:w="40"/>
              <w:left w:type="dxa" w:w="70"/>
              <w:bottom w:type="dxa" w:w="40"/>
              <w:right w:type="dxa" w:w="70"/>
            </w:tcMar>
          </w:tcPr>
          <w:p>
            <w:pPr>
              <w:spacing w:after="40"/>
            </w:pPr>
            <w:r>
              <w:rPr>
                <w:b/>
                <w:bCs/>
                <w:i w:val="false"/>
                <w:iCs w:val="false"/>
                <w:sz w:val="17"/>
                <w:szCs w:val="17"/>
              </w:rPr>
              <w:t xml:space="preserve">3</w:t>
            </w:r>
          </w:p>
        </w:tc>
        <w:tc>
          <w:tcPr>
            <w:tcW w:type="dxa" w:w="2900"/>
            <w:shd w:fill="FFFFFF"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risk-based — Dose 2 of 2 (high-risk primary series)</w:t>
            </w:r>
          </w:p>
        </w:tc>
        <w:tc>
          <w:tcPr>
            <w:tcW w:type="dxa" w:w="234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w:t>
            </w:r>
          </w:p>
        </w:tc>
        <w:tc>
          <w:tcPr>
            <w:tcW w:type="dxa" w:w="5900"/>
            <w:shd w:fill="FFFFFF"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“…provided that an 8-week minimum interval between doses is maintained”</w:t>
            </w:r>
          </w:p>
          <w:p>
            <w:pPr>
              <w:spacing w:after="40"/>
            </w:pPr>
            <w:r>
              <w:rPr>
                <w:b w:val="false"/>
                <w:bCs w:val="false"/>
                <w:i/>
                <w:iCs/>
                <w:color w:val="555555"/>
                <w:sz w:val="17"/>
                <w:szCs w:val="17"/>
              </w:rPr>
              <w:t xml:space="preserve">"2 doses ≥8 wks apart" (Table 2)</w:t>
            </w:r>
          </w:p>
        </w:tc>
        <w:tc>
          <w:tcPr>
            <w:tcW w:type="dxa" w:w="2800"/>
            <w:shd w:fill="FFFFFF" w:color="auto" w:val="clear"/>
            <w:tcMar>
              <w:top w:type="dxa" w:w="40"/>
              <w:left w:type="dxa" w:w="70"/>
              <w:bottom w:type="dxa" w:w="40"/>
              <w:right w:type="dxa" w:w="70"/>
            </w:tcMar>
          </w:tcPr>
          <w:p>
            <w:pPr>
              <w:spacing w:after="40"/>
            </w:pPr>
            <w:r>
              <w:rPr>
                <w:b w:val="false"/>
                <w:bCs w:val="false"/>
                <w:i w:val="false"/>
                <w:iCs w:val="false"/>
                <w:color w:val="0B7A0B"/>
                <w:sz w:val="17"/>
                <w:szCs w:val="17"/>
              </w:rPr>
              <w:t xml:space="preserve">—  no change needed</w:t>
            </w:r>
          </w:p>
        </w:tc>
      </w:tr>
      <w:tr>
        <w:tc>
          <w:tcPr>
            <w:tcW w:type="dxa" w:w="460"/>
            <w:shd w:fill="E9E9E9" w:color="auto" w:val="clear"/>
            <w:tcMar>
              <w:top w:type="dxa" w:w="40"/>
              <w:left w:type="dxa" w:w="70"/>
              <w:bottom w:type="dxa" w:w="40"/>
              <w:right w:type="dxa" w:w="70"/>
            </w:tcMar>
          </w:tcPr>
          <w:p>
            <w:pPr>
              <w:spacing w:after="40"/>
            </w:pPr>
            <w:r>
              <w:rPr>
                <w:b/>
                <w:bCs/>
                <w:i w:val="false"/>
                <w:iCs w:val="false"/>
                <w:sz w:val="17"/>
                <w:szCs w:val="17"/>
              </w:rPr>
              <w:t xml:space="preserve">4</w:t>
            </w:r>
          </w:p>
        </w:tc>
        <w:tc>
          <w:tcPr>
            <w:tcW w:type="dxa" w:w="2900"/>
            <w:shd w:fill="E9E9E9"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risk-based — Booster (dose 3, first booster, 3 years after primary)</w:t>
            </w:r>
          </w:p>
        </w:tc>
        <w:tc>
          <w:tcPr>
            <w:tcW w:type="dxa" w:w="234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 CDC Meningococcal Recommendations</w:t>
            </w:r>
          </w:p>
        </w:tc>
        <w:tc>
          <w:tcPr>
            <w:tcW w:type="dxa" w:w="5900"/>
            <w:shd w:fill="E9E9E9"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“Aged &lt;7 yrs: Single dose at 3 yrs after primary vaccination and every 5 yrs thereafter (Table 2)”</w:t>
            </w:r>
          </w:p>
        </w:tc>
        <w:tc>
          <w:tcPr>
            <w:tcW w:type="dxa" w:w="280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Consolidate: drop the "CDC Meningococcal Recommendations" chip — the 3-year (&lt;7y) rule is a verbatim MMWR quote.</w:t>
            </w:r>
          </w:p>
        </w:tc>
      </w:tr>
      <w:tr>
        <w:tc>
          <w:tcPr>
            <w:tcW w:type="dxa" w:w="460"/>
            <w:shd w:fill="FFFFFF" w:color="auto" w:val="clear"/>
            <w:tcMar>
              <w:top w:type="dxa" w:w="40"/>
              <w:left w:type="dxa" w:w="70"/>
              <w:bottom w:type="dxa" w:w="40"/>
              <w:right w:type="dxa" w:w="70"/>
            </w:tcMar>
          </w:tcPr>
          <w:p>
            <w:pPr>
              <w:spacing w:after="40"/>
            </w:pPr>
            <w:r>
              <w:rPr>
                <w:b/>
                <w:bCs/>
                <w:i w:val="false"/>
                <w:iCs w:val="false"/>
                <w:sz w:val="17"/>
                <w:szCs w:val="17"/>
              </w:rPr>
              <w:t xml:space="preserve">5</w:t>
            </w:r>
          </w:p>
        </w:tc>
        <w:tc>
          <w:tcPr>
            <w:tcW w:type="dxa" w:w="2900"/>
            <w:shd w:fill="FFFFFF"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risk-based — Booster (dose 3, first booster, 5 years after primary)</w:t>
            </w:r>
          </w:p>
        </w:tc>
        <w:tc>
          <w:tcPr>
            <w:tcW w:type="dxa" w:w="234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 CDC Meningococcal Recommendations</w:t>
            </w:r>
          </w:p>
        </w:tc>
        <w:tc>
          <w:tcPr>
            <w:tcW w:type="dxa" w:w="5900"/>
            <w:shd w:fill="FFFFFF"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“Aged ≥7 yrs: Single dose at 5 yrs after primary vaccination and every 5 yrs thereafter (Table 2)”</w:t>
            </w:r>
          </w:p>
        </w:tc>
        <w:tc>
          <w:tcPr>
            <w:tcW w:type="dxa" w:w="280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Consolidate: drop the "CDC Meningococcal Recommendations" chip — the 5-year (≥7y) rule is a verbatim MMWR quote.</w:t>
            </w:r>
          </w:p>
        </w:tc>
      </w:tr>
      <w:tr>
        <w:tc>
          <w:tcPr>
            <w:tcW w:type="dxa" w:w="460"/>
            <w:shd w:fill="E9E9E9" w:color="auto" w:val="clear"/>
            <w:tcMar>
              <w:top w:type="dxa" w:w="40"/>
              <w:left w:type="dxa" w:w="70"/>
              <w:bottom w:type="dxa" w:w="40"/>
              <w:right w:type="dxa" w:w="70"/>
            </w:tcMar>
          </w:tcPr>
          <w:p>
            <w:pPr>
              <w:spacing w:after="40"/>
            </w:pPr>
            <w:r>
              <w:rPr>
                <w:b/>
                <w:bCs/>
                <w:i w:val="false"/>
                <w:iCs w:val="false"/>
                <w:sz w:val="17"/>
                <w:szCs w:val="17"/>
              </w:rPr>
              <w:t xml:space="preserve">6</w:t>
            </w:r>
          </w:p>
        </w:tc>
        <w:tc>
          <w:tcPr>
            <w:tcW w:type="dxa" w:w="2900"/>
            <w:shd w:fill="E9E9E9"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risk-based — Booster (dose 4, every 5 years)</w:t>
            </w:r>
          </w:p>
        </w:tc>
        <w:tc>
          <w:tcPr>
            <w:tcW w:type="dxa" w:w="234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w:t>
            </w:r>
          </w:p>
        </w:tc>
        <w:tc>
          <w:tcPr>
            <w:tcW w:type="dxa" w:w="5900"/>
            <w:shd w:fill="E9E9E9"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“…and every 5 yrs thereafter (Table 2 booster row)”</w:t>
            </w:r>
          </w:p>
        </w:tc>
        <w:tc>
          <w:tcPr>
            <w:tcW w:type="dxa" w:w="2800"/>
            <w:shd w:fill="E9E9E9" w:color="auto" w:val="clear"/>
            <w:tcMar>
              <w:top w:type="dxa" w:w="40"/>
              <w:left w:type="dxa" w:w="70"/>
              <w:bottom w:type="dxa" w:w="40"/>
              <w:right w:type="dxa" w:w="70"/>
            </w:tcMar>
          </w:tcPr>
          <w:p>
            <w:pPr>
              <w:spacing w:after="40"/>
            </w:pPr>
            <w:r>
              <w:rPr>
                <w:b w:val="false"/>
                <w:bCs w:val="false"/>
                <w:i w:val="false"/>
                <w:iCs w:val="false"/>
                <w:color w:val="0B7A0B"/>
                <w:sz w:val="17"/>
                <w:szCs w:val="17"/>
              </w:rPr>
              <w:t xml:space="preserve">—  no change needed</w:t>
            </w:r>
          </w:p>
        </w:tc>
      </w:tr>
      <w:tr>
        <w:tc>
          <w:tcPr>
            <w:tcW w:type="dxa" w:w="460"/>
            <w:shd w:fill="FFFFFF" w:color="auto" w:val="clear"/>
            <w:tcMar>
              <w:top w:type="dxa" w:w="40"/>
              <w:left w:type="dxa" w:w="70"/>
              <w:bottom w:type="dxa" w:w="40"/>
              <w:right w:type="dxa" w:w="70"/>
            </w:tcMar>
          </w:tcPr>
          <w:p>
            <w:pPr>
              <w:spacing w:after="40"/>
            </w:pPr>
            <w:r>
              <w:rPr>
                <w:b/>
                <w:bCs/>
                <w:i w:val="false"/>
                <w:iCs w:val="false"/>
                <w:sz w:val="17"/>
                <w:szCs w:val="17"/>
              </w:rPr>
              <w:t xml:space="preserve">7</w:t>
            </w:r>
          </w:p>
        </w:tc>
        <w:tc>
          <w:tcPr>
            <w:tcW w:type="dxa" w:w="2900"/>
            <w:shd w:fill="FFFFFF" w:color="auto" w:val="clear"/>
            <w:tcMar>
              <w:top w:type="dxa" w:w="40"/>
              <w:left w:type="dxa" w:w="70"/>
              <w:bottom w:type="dxa" w:w="40"/>
              <w:right w:type="dxa" w:w="70"/>
            </w:tcMar>
          </w:tcPr>
          <w:p>
            <w:pPr>
              <w:spacing w:after="40"/>
            </w:pPr>
            <w:r>
              <w:rPr>
                <w:b/>
                <w:bCs/>
                <w:i w:val="false"/>
                <w:iCs w:val="false"/>
                <w:sz w:val="17"/>
                <w:szCs w:val="17"/>
              </w:rPr>
              <w:t xml:space="preserve">MenB</w:t>
            </w:r>
          </w:p>
          <w:p>
            <w:pPr>
              <w:spacing w:after="40"/>
            </w:pPr>
            <w:r>
              <w:rPr>
                <w:b w:val="false"/>
                <w:bCs w:val="false"/>
                <w:i w:val="false"/>
                <w:iCs w:val="false"/>
                <w:sz w:val="17"/>
                <w:szCs w:val="17"/>
              </w:rPr>
              <w:t xml:space="preserve">risk-based — Dose 1 of 3 (high-risk series)</w:t>
            </w:r>
          </w:p>
        </w:tc>
        <w:tc>
          <w:tcPr>
            <w:tcW w:type="dxa" w:w="234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 CDC Complement-Inhibitor Guidance; CDC Meningococcal Recommendations</w:t>
            </w:r>
          </w:p>
        </w:tc>
        <w:tc>
          <w:tcPr>
            <w:tcW w:type="dxa" w:w="5900"/>
            <w:shd w:fill="FFFFFF" w:color="auto" w:val="clear"/>
            <w:tcMar>
              <w:top w:type="dxa" w:w="40"/>
              <w:left w:type="dxa" w:w="70"/>
              <w:bottom w:type="dxa" w:w="40"/>
              <w:right w:type="dxa" w:w="70"/>
            </w:tcMar>
          </w:tcPr>
          <w:p>
            <w:pPr>
              <w:spacing w:after="40"/>
            </w:pPr>
            <w:r>
              <w:rPr>
                <w:b/>
                <w:bCs/>
                <w:i w:val="false"/>
                <w:iCs w:val="false"/>
                <w:color w:val="1F4E79"/>
                <w:sz w:val="17"/>
                <w:szCs w:val="17"/>
              </w:rPr>
              <w:t xml:space="preserve">ACIP Oct 2024 MMWR — mm7349a3 (73(49);1124)</w:t>
            </w:r>
          </w:p>
          <w:p>
            <w:pPr>
              <w:spacing w:after="40"/>
            </w:pPr>
            <w:r>
              <w:rPr>
                <w:b w:val="false"/>
                <w:bCs w:val="false"/>
                <w:i/>
                <w:iCs/>
                <w:sz w:val="17"/>
                <w:szCs w:val="17"/>
              </w:rPr>
              <w:t xml:space="preserve">“ACIP recommends that MenB-4C be administered as a 3-dose series at 0, 1–2, and 6 months to persons aged ≥10 years who are at increased risk for serogroup B meningococcal disease”</w:t>
            </w:r>
          </w:p>
          <w:p>
            <w:pPr>
              <w:spacing w:after="40"/>
            </w:pPr>
            <w:r>
              <w:rPr>
                <w:b w:val="false"/>
                <w:bCs w:val="false"/>
                <w:i/>
                <w:iCs/>
                <w:color w:val="555555"/>
                <w:sz w:val="17"/>
                <w:szCs w:val="17"/>
              </w:rPr>
              <w:t xml:space="preserve">This report … supersede[s] previous ACIP recommendations for use of MenB-4C published in 2020 (so the older "2-dose 4C" table no longer applies).</w:t>
            </w:r>
          </w:p>
        </w:tc>
        <w:tc>
          <w:tcPr>
            <w:tcW w:type="dxa" w:w="280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RESOLVED — the app is CORRECT. The Oct 2024 update (mm7349a3) makes MenB-4C high-risk a 3-dose 0/1–2/6 series for BOTH families, exactly as the app does, and explicitly supersedes the 2020 "2-dose 4C" table. Action: cite mm7349a3 and DROP the "CDC Meningococcal Recommendations" chip. Keep CDC Complement-Inhibitor Guidance for eculizumab/ravulizumab patients.</w:t>
            </w:r>
          </w:p>
        </w:tc>
      </w:tr>
      <w:tr>
        <w:tc>
          <w:tcPr>
            <w:tcW w:type="dxa" w:w="460"/>
            <w:shd w:fill="E9E9E9" w:color="auto" w:val="clear"/>
            <w:tcMar>
              <w:top w:type="dxa" w:w="40"/>
              <w:left w:type="dxa" w:w="70"/>
              <w:bottom w:type="dxa" w:w="40"/>
              <w:right w:type="dxa" w:w="70"/>
            </w:tcMar>
          </w:tcPr>
          <w:p>
            <w:pPr>
              <w:spacing w:after="40"/>
            </w:pPr>
            <w:r>
              <w:rPr>
                <w:b/>
                <w:bCs/>
                <w:i w:val="false"/>
                <w:iCs w:val="false"/>
                <w:sz w:val="17"/>
                <w:szCs w:val="17"/>
              </w:rPr>
              <w:t xml:space="preserve">8</w:t>
            </w:r>
          </w:p>
        </w:tc>
        <w:tc>
          <w:tcPr>
            <w:tcW w:type="dxa" w:w="2900"/>
            <w:shd w:fill="E9E9E9"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risk-based — 1 dose (ongoing-risk: travel / microbiologist)</w:t>
            </w:r>
          </w:p>
        </w:tc>
        <w:tc>
          <w:tcPr>
            <w:tcW w:type="dxa" w:w="234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 CDC Meningococcal Recommendations</w:t>
            </w:r>
          </w:p>
        </w:tc>
        <w:tc>
          <w:tcPr>
            <w:tcW w:type="dxa" w:w="5900"/>
            <w:shd w:fill="E9E9E9" w:color="auto" w:val="clear"/>
            <w:tcMar>
              <w:top w:type="dxa" w:w="40"/>
              <w:left w:type="dxa" w:w="70"/>
              <w:bottom w:type="dxa" w:w="40"/>
              <w:right w:type="dxa" w:w="70"/>
            </w:tcMar>
          </w:tcPr>
          <w:p>
            <w:pPr>
              <w:spacing w:after="40"/>
            </w:pPr>
            <w:r>
              <w:rPr>
                <w:b/>
                <w:bCs/>
                <w:i w:val="false"/>
                <w:iCs w:val="false"/>
                <w:color w:val="1F4E79"/>
                <w:sz w:val="17"/>
                <w:szCs w:val="17"/>
              </w:rPr>
              <w:t xml:space="preserve">ACIP 2025 MMWR — PMC12782235 (indication) + ACIP 2020 MMWR — PMC7527029 (booster)</w:t>
            </w:r>
          </w:p>
          <w:p>
            <w:pPr>
              <w:spacing w:after="40"/>
            </w:pPr>
            <w:r>
              <w:rPr>
                <w:b w:val="false"/>
                <w:bCs w:val="false"/>
                <w:i/>
                <w:iCs/>
                <w:sz w:val="17"/>
                <w:szCs w:val="17"/>
              </w:rPr>
              <w:t xml:space="preserve">“2025 indication list (Box): travel to hyperendemic/epidemic countries; "Microbiologists routinely exposed to Neisseria meningitidis isolates"”</w:t>
            </w:r>
          </w:p>
          <w:p>
            <w:pPr>
              <w:spacing w:after="40"/>
            </w:pPr>
            <w:r>
              <w:rPr>
                <w:b w:val="false"/>
                <w:bCs w:val="false"/>
                <w:i/>
                <w:iCs/>
                <w:color w:val="555555"/>
                <w:sz w:val="17"/>
                <w:szCs w:val="17"/>
              </w:rPr>
              <w:t xml:space="preserve">Booster cadence: "…every 5 yrs thereafter" (2020 Table 3)</w:t>
            </w:r>
          </w:p>
        </w:tc>
        <w:tc>
          <w:tcPr>
            <w:tcW w:type="dxa" w:w="280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Minor: "1 dose now, revaccinate every 5 years" is assembled from the indication list + the booster table, not one single sentence. Can drop the CDC page chip in favour of the two MMWRs.</w:t>
            </w:r>
          </w:p>
        </w:tc>
      </w:tr>
      <w:tr>
        <w:tc>
          <w:tcPr>
            <w:tcW w:type="dxa" w:w="460"/>
            <w:shd w:fill="FFFFFF" w:color="auto" w:val="clear"/>
            <w:tcMar>
              <w:top w:type="dxa" w:w="40"/>
              <w:left w:type="dxa" w:w="70"/>
              <w:bottom w:type="dxa" w:w="40"/>
              <w:right w:type="dxa" w:w="70"/>
            </w:tcMar>
          </w:tcPr>
          <w:p>
            <w:pPr>
              <w:spacing w:after="40"/>
            </w:pPr>
            <w:r>
              <w:rPr>
                <w:b/>
                <w:bCs/>
                <w:i w:val="false"/>
                <w:iCs w:val="false"/>
                <w:sz w:val="17"/>
                <w:szCs w:val="17"/>
              </w:rPr>
              <w:t xml:space="preserve">9</w:t>
            </w:r>
          </w:p>
        </w:tc>
        <w:tc>
          <w:tcPr>
            <w:tcW w:type="dxa" w:w="2900"/>
            <w:shd w:fill="FFFFFF" w:color="auto" w:val="clear"/>
            <w:tcMar>
              <w:top w:type="dxa" w:w="40"/>
              <w:left w:type="dxa" w:w="70"/>
              <w:bottom w:type="dxa" w:w="40"/>
              <w:right w:type="dxa" w:w="70"/>
            </w:tcMar>
          </w:tcPr>
          <w:p>
            <w:pPr>
              <w:spacing w:after="40"/>
            </w:pPr>
            <w:r>
              <w:rPr>
                <w:b/>
                <w:bCs/>
                <w:i w:val="false"/>
                <w:iCs w:val="false"/>
                <w:sz w:val="17"/>
                <w:szCs w:val="17"/>
              </w:rPr>
              <w:t xml:space="preserve">MenB</w:t>
            </w:r>
          </w:p>
          <w:p>
            <w:pPr>
              <w:spacing w:after="40"/>
            </w:pPr>
            <w:r>
              <w:rPr>
                <w:b w:val="false"/>
                <w:bCs w:val="false"/>
                <w:i w:val="false"/>
                <w:iCs w:val="false"/>
                <w:sz w:val="17"/>
                <w:szCs w:val="17"/>
              </w:rPr>
              <w:t xml:space="preserve">not-indicated — Not routinely indicated (healthy, outside 16–23y)</w:t>
            </w:r>
          </w:p>
        </w:tc>
        <w:tc>
          <w:tcPr>
            <w:tcW w:type="dxa" w:w="234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 CDC Meningococcal Recommendations; CDC MenB Notes</w:t>
            </w:r>
          </w:p>
        </w:tc>
        <w:tc>
          <w:tcPr>
            <w:tcW w:type="dxa" w:w="5900"/>
            <w:shd w:fill="FFFFFF" w:color="auto" w:val="clear"/>
            <w:tcMar>
              <w:top w:type="dxa" w:w="40"/>
              <w:left w:type="dxa" w:w="70"/>
              <w:bottom w:type="dxa" w:w="40"/>
              <w:right w:type="dxa" w:w="70"/>
            </w:tcMar>
          </w:tcPr>
          <w:p>
            <w:pPr>
              <w:spacing w:after="40"/>
            </w:pPr>
            <w:r>
              <w:rPr>
                <w:b/>
                <w:bCs/>
                <w:i w:val="false"/>
                <w:iCs w:val="false"/>
                <w:color w:val="1F4E79"/>
                <w:sz w:val="17"/>
                <w:szCs w:val="17"/>
              </w:rPr>
              <w:t xml:space="preserve">ACIP 2025 MMWR — PMC12782235</w:t>
            </w:r>
          </w:p>
          <w:p>
            <w:pPr>
              <w:spacing w:after="40"/>
            </w:pPr>
            <w:r>
              <w:rPr>
                <w:b w:val="false"/>
                <w:bCs w:val="false"/>
                <w:i/>
                <w:iCs/>
                <w:sz w:val="17"/>
                <w:szCs w:val="17"/>
              </w:rPr>
              <w:t xml:space="preserve">“Healthy persons aged 16–23 years: Vaccination with a 2-dose MenB series on the basis of shared clinical decision-making, with 16–18 years the preferred age for MenB vaccination (Box)”</w:t>
            </w:r>
          </w:p>
        </w:tc>
        <w:tc>
          <w:tcPr>
            <w:tcW w:type="dxa" w:w="280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Consolidate: drop BOTH "CDC Meningococcal Recommendations" and "CDC MenB Notes" chips — the 2025 MMWR Box states the window in one clean sentence.</w:t>
            </w:r>
          </w:p>
        </w:tc>
      </w:tr>
      <w:tr>
        <w:tc>
          <w:tcPr>
            <w:tcW w:type="dxa" w:w="460"/>
            <w:shd w:fill="E9E9E9" w:color="auto" w:val="clear"/>
            <w:tcMar>
              <w:top w:type="dxa" w:w="40"/>
              <w:left w:type="dxa" w:w="70"/>
              <w:bottom w:type="dxa" w:w="40"/>
              <w:right w:type="dxa" w:w="70"/>
            </w:tcMar>
          </w:tcPr>
          <w:p>
            <w:pPr>
              <w:spacing w:after="40"/>
            </w:pPr>
            <w:r>
              <w:rPr>
                <w:b/>
                <w:bCs/>
                <w:i w:val="false"/>
                <w:iCs w:val="false"/>
                <w:sz w:val="17"/>
                <w:szCs w:val="17"/>
              </w:rPr>
              <w:t xml:space="preserve">10</w:t>
            </w:r>
          </w:p>
        </w:tc>
        <w:tc>
          <w:tcPr>
            <w:tcW w:type="dxa" w:w="2900"/>
            <w:shd w:fill="E9E9E9"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risk-based — Booster (dose 2, every 5 years) [travel/microbiologist]</w:t>
            </w:r>
          </w:p>
        </w:tc>
        <w:tc>
          <w:tcPr>
            <w:tcW w:type="dxa" w:w="234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 CDC Meningococcal Recommendations</w:t>
            </w:r>
          </w:p>
        </w:tc>
        <w:tc>
          <w:tcPr>
            <w:tcW w:type="dxa" w:w="5900"/>
            <w:shd w:fill="E9E9E9"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“…every 5 yrs thereafter (Table 3 booster row)”</w:t>
            </w:r>
          </w:p>
        </w:tc>
        <w:tc>
          <w:tcPr>
            <w:tcW w:type="dxa" w:w="280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Consolidate: drop the CDC page chip.</w:t>
            </w:r>
          </w:p>
        </w:tc>
      </w:tr>
      <w:tr>
        <w:tc>
          <w:tcPr>
            <w:tcW w:type="dxa" w:w="460"/>
            <w:shd w:fill="FFFFFF" w:color="auto" w:val="clear"/>
            <w:tcMar>
              <w:top w:type="dxa" w:w="40"/>
              <w:left w:type="dxa" w:w="70"/>
              <w:bottom w:type="dxa" w:w="40"/>
              <w:right w:type="dxa" w:w="70"/>
            </w:tcMar>
          </w:tcPr>
          <w:p>
            <w:pPr>
              <w:spacing w:after="40"/>
            </w:pPr>
            <w:r>
              <w:rPr>
                <w:b/>
                <w:bCs/>
                <w:i w:val="false"/>
                <w:iCs w:val="false"/>
                <w:sz w:val="17"/>
                <w:szCs w:val="17"/>
              </w:rPr>
              <w:t xml:space="preserve">11</w:t>
            </w:r>
          </w:p>
        </w:tc>
        <w:tc>
          <w:tcPr>
            <w:tcW w:type="dxa" w:w="2900"/>
            <w:shd w:fill="FFFFFF"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complete — Complete (dose given at ≥16y) [college]</w:t>
            </w:r>
          </w:p>
        </w:tc>
        <w:tc>
          <w:tcPr>
            <w:tcW w:type="dxa" w:w="234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w:t>
            </w:r>
          </w:p>
        </w:tc>
        <w:tc>
          <w:tcPr>
            <w:tcW w:type="dxa" w:w="5900"/>
            <w:shd w:fill="FFFFFF"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“ACIP recommends a single dose of MenACWY at age 11 or 12 years followed by a booster dose administered at age 16 years”</w:t>
            </w:r>
          </w:p>
        </w:tc>
        <w:tc>
          <w:tcPr>
            <w:tcW w:type="dxa" w:w="2800"/>
            <w:shd w:fill="FFFFFF" w:color="auto" w:val="clear"/>
            <w:tcMar>
              <w:top w:type="dxa" w:w="40"/>
              <w:left w:type="dxa" w:w="70"/>
              <w:bottom w:type="dxa" w:w="40"/>
              <w:right w:type="dxa" w:w="70"/>
            </w:tcMar>
          </w:tcPr>
          <w:p>
            <w:pPr>
              <w:spacing w:after="40"/>
            </w:pPr>
            <w:r>
              <w:rPr>
                <w:b w:val="false"/>
                <w:bCs w:val="false"/>
                <w:i w:val="false"/>
                <w:iCs w:val="false"/>
                <w:color w:val="0B7A0B"/>
                <w:sz w:val="17"/>
                <w:szCs w:val="17"/>
              </w:rPr>
              <w:t xml:space="preserve">—  no change needed</w:t>
            </w:r>
          </w:p>
        </w:tc>
      </w:tr>
      <w:tr>
        <w:tc>
          <w:tcPr>
            <w:tcW w:type="dxa" w:w="460"/>
            <w:shd w:fill="E9E9E9" w:color="auto" w:val="clear"/>
            <w:tcMar>
              <w:top w:type="dxa" w:w="40"/>
              <w:left w:type="dxa" w:w="70"/>
              <w:bottom w:type="dxa" w:w="40"/>
              <w:right w:type="dxa" w:w="70"/>
            </w:tcMar>
          </w:tcPr>
          <w:p>
            <w:pPr>
              <w:spacing w:after="40"/>
            </w:pPr>
            <w:r>
              <w:rPr>
                <w:b/>
                <w:bCs/>
                <w:i w:val="false"/>
                <w:iCs w:val="false"/>
                <w:sz w:val="17"/>
                <w:szCs w:val="17"/>
              </w:rPr>
              <w:t xml:space="preserve">12</w:t>
            </w:r>
          </w:p>
        </w:tc>
        <w:tc>
          <w:tcPr>
            <w:tcW w:type="dxa" w:w="2900"/>
            <w:shd w:fill="E9E9E9" w:color="auto" w:val="clear"/>
            <w:tcMar>
              <w:top w:type="dxa" w:w="40"/>
              <w:left w:type="dxa" w:w="70"/>
              <w:bottom w:type="dxa" w:w="40"/>
              <w:right w:type="dxa" w:w="70"/>
            </w:tcMar>
          </w:tcPr>
          <w:p>
            <w:pPr>
              <w:spacing w:after="40"/>
            </w:pPr>
            <w:r>
              <w:rPr>
                <w:b/>
                <w:bCs/>
                <w:i w:val="false"/>
                <w:iCs w:val="false"/>
                <w:sz w:val="17"/>
                <w:szCs w:val="17"/>
              </w:rPr>
              <w:t xml:space="preserve">MenB</w:t>
            </w:r>
          </w:p>
          <w:p>
            <w:pPr>
              <w:spacing w:after="40"/>
            </w:pPr>
            <w:r>
              <w:rPr>
                <w:b w:val="false"/>
                <w:bCs w:val="false"/>
                <w:i w:val="false"/>
                <w:iCs w:val="false"/>
                <w:sz w:val="17"/>
                <w:szCs w:val="17"/>
              </w:rPr>
              <w:t xml:space="preserve">shared-decision — Dose 1 of 2 (shared clinical decision)</w:t>
            </w:r>
          </w:p>
        </w:tc>
        <w:tc>
          <w:tcPr>
            <w:tcW w:type="dxa" w:w="234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 CDC MenB Notes; Penmenvy MMWR 2026;75(1)</w:t>
            </w:r>
          </w:p>
        </w:tc>
        <w:tc>
          <w:tcPr>
            <w:tcW w:type="dxa" w:w="5900"/>
            <w:shd w:fill="E9E9E9" w:color="auto" w:val="clear"/>
            <w:tcMar>
              <w:top w:type="dxa" w:w="40"/>
              <w:left w:type="dxa" w:w="70"/>
              <w:bottom w:type="dxa" w:w="40"/>
              <w:right w:type="dxa" w:w="70"/>
            </w:tcMar>
          </w:tcPr>
          <w:p>
            <w:pPr>
              <w:spacing w:after="40"/>
            </w:pPr>
            <w:r>
              <w:rPr>
                <w:b/>
                <w:bCs/>
                <w:i w:val="false"/>
                <w:iCs w:val="false"/>
                <w:color w:val="1F4E79"/>
                <w:sz w:val="17"/>
                <w:szCs w:val="17"/>
              </w:rPr>
              <w:t xml:space="preserve">ACIP Oct 2024 MMWR — mm7349a3 (73(49);1124)</w:t>
            </w:r>
          </w:p>
          <w:p>
            <w:pPr>
              <w:spacing w:after="40"/>
            </w:pPr>
            <w:r>
              <w:rPr>
                <w:b w:val="false"/>
                <w:bCs w:val="false"/>
                <w:i/>
                <w:iCs/>
                <w:sz w:val="17"/>
                <w:szCs w:val="17"/>
              </w:rPr>
              <w:t xml:space="preserve">“ACIP recommends that MenB-4C be administered to healthy adolescents and young adults aged 16–23 years as a 2-dose series at 0 and 6 months for the prevention of serogroup B meningococcal disease, based on shared clinical decision-making”</w:t>
            </w:r>
          </w:p>
          <w:p>
            <w:pPr>
              <w:spacing w:after="40"/>
            </w:pPr>
            <w:r>
              <w:rPr>
                <w:b w:val="false"/>
                <w:bCs w:val="false"/>
                <w:i/>
                <w:iCs/>
                <w:color w:val="555555"/>
                <w:sz w:val="17"/>
                <w:szCs w:val="17"/>
              </w:rPr>
              <w:t xml:space="preserve">Preferred-age wording is cleanest in the 2025 MMWR Box: "…with 16–18 years the preferred age for MenB vaccination."</w:t>
            </w:r>
          </w:p>
        </w:tc>
        <w:tc>
          <w:tcPr>
            <w:tcW w:type="dxa" w:w="280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RESOLVED — the app note ("2 doses ≥6 months apart, applies to both Bexsero and Trumenba") is CORRECT and now fully sourced: mm7349a3 sets the 4C healthy interval at 0 and 6 months (it was ≥1 month in the 2020 table). Cite mm7349a3 for the schedule (+ 2025 Box for the preferred age). Drop the CDC MenB Notes chip.</w:t>
            </w:r>
          </w:p>
        </w:tc>
      </w:tr>
      <w:tr>
        <w:tc>
          <w:tcPr>
            <w:tcW w:type="dxa" w:w="460"/>
            <w:shd w:fill="FCE4C4" w:color="auto" w:val="clear"/>
            <w:tcMar>
              <w:top w:type="dxa" w:w="40"/>
              <w:left w:type="dxa" w:w="70"/>
              <w:bottom w:type="dxa" w:w="40"/>
              <w:right w:type="dxa" w:w="70"/>
            </w:tcMar>
          </w:tcPr>
          <w:p>
            <w:pPr>
              <w:spacing w:after="40"/>
            </w:pPr>
            <w:r>
              <w:rPr>
                <w:b/>
                <w:bCs/>
                <w:i w:val="false"/>
                <w:iCs w:val="false"/>
                <w:sz w:val="17"/>
                <w:szCs w:val="17"/>
              </w:rPr>
              <w:t xml:space="preserve">13</w:t>
            </w:r>
          </w:p>
        </w:tc>
        <w:tc>
          <w:tcPr>
            <w:tcW w:type="dxa" w:w="2900"/>
            <w:shd w:fill="FCE4C4"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risk-based — 1 dose (booster at ≥16y) [college, prior dose &lt;16y]</w:t>
            </w:r>
          </w:p>
        </w:tc>
        <w:tc>
          <w:tcPr>
            <w:tcW w:type="dxa" w:w="2340"/>
            <w:shd w:fill="FCE4C4"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 (+ immunize.org for the unconfirmed-date variant)</w:t>
            </w:r>
          </w:p>
        </w:tc>
        <w:tc>
          <w:tcPr>
            <w:tcW w:type="dxa" w:w="5900"/>
            <w:shd w:fill="FCE4C4"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“Adolescents who receive a first dose after their 16th birthday do not need a booster dose unless they become at increased risk for meningococcal disease”</w:t>
            </w:r>
          </w:p>
        </w:tc>
        <w:tc>
          <w:tcPr>
            <w:tcW w:type="dxa" w:w="2800"/>
            <w:shd w:fill="FCE4C4" w:color="auto" w:val="clear"/>
            <w:tcMar>
              <w:top w:type="dxa" w:w="40"/>
              <w:left w:type="dxa" w:w="70"/>
              <w:bottom w:type="dxa" w:w="40"/>
              <w:right w:type="dxa" w:w="70"/>
            </w:tcMar>
          </w:tcPr>
          <w:p>
            <w:pPr>
              <w:spacing w:after="40"/>
            </w:pPr>
            <w:r>
              <w:rPr>
                <w:b w:val="false"/>
                <w:bCs w:val="false"/>
                <w:i w:val="false"/>
                <w:iCs w:val="false"/>
                <w:sz w:val="17"/>
                <w:szCs w:val="17"/>
              </w:rPr>
              <w:t xml:space="preserve">NO CITATION CHANGE NEEDED — the 2020 MMWR adolescent-schedule sentence stands, and immunize.org stays ONLY on the unconfirmed-date sub-branch (a "does this old dose count" judgment). THE ONE ACTION HERE IS CODE, NOT A CITATION: the handoff’s college-dorm "&gt;5 years since 16th birthday" sub-case (p2018.pdf lists it) was never traced in recommend.js — confirm it is handled (it may fall through to a generic branch) before you treat this row as closed.</w:t>
            </w:r>
          </w:p>
        </w:tc>
      </w:tr>
      <w:tr>
        <w:tc>
          <w:tcPr>
            <w:tcW w:type="dxa" w:w="460"/>
            <w:shd w:fill="E9E9E9" w:color="auto" w:val="clear"/>
            <w:tcMar>
              <w:top w:type="dxa" w:w="40"/>
              <w:left w:type="dxa" w:w="70"/>
              <w:bottom w:type="dxa" w:w="40"/>
              <w:right w:type="dxa" w:w="70"/>
            </w:tcMar>
          </w:tcPr>
          <w:p>
            <w:pPr>
              <w:spacing w:after="40"/>
            </w:pPr>
            <w:r>
              <w:rPr>
                <w:b/>
                <w:bCs/>
                <w:i w:val="false"/>
                <w:iCs w:val="false"/>
                <w:sz w:val="17"/>
                <w:szCs w:val="17"/>
              </w:rPr>
              <w:t xml:space="preserve">14</w:t>
            </w:r>
          </w:p>
        </w:tc>
        <w:tc>
          <w:tcPr>
            <w:tcW w:type="dxa" w:w="2900"/>
            <w:shd w:fill="E9E9E9"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risk-based — 1 dose (military / college / A-C-W-Y outbreak, no history)</w:t>
            </w:r>
          </w:p>
        </w:tc>
        <w:tc>
          <w:tcPr>
            <w:tcW w:type="dxa" w:w="234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w:t>
            </w:r>
          </w:p>
        </w:tc>
        <w:tc>
          <w:tcPr>
            <w:tcW w:type="dxa" w:w="5900"/>
            <w:shd w:fill="E9E9E9" w:color="auto" w:val="clear"/>
            <w:tcMar>
              <w:top w:type="dxa" w:w="40"/>
              <w:left w:type="dxa" w:w="70"/>
              <w:bottom w:type="dxa" w:w="40"/>
              <w:right w:type="dxa" w:w="70"/>
            </w:tcMar>
          </w:tcPr>
          <w:p>
            <w:pPr>
              <w:spacing w:after="40"/>
            </w:pPr>
            <w:r>
              <w:rPr>
                <w:b/>
                <w:bCs/>
                <w:i w:val="false"/>
                <w:iCs w:val="false"/>
                <w:color w:val="1F4E79"/>
                <w:sz w:val="17"/>
                <w:szCs w:val="17"/>
              </w:rPr>
              <w:t xml:space="preserve">ACIP 2025 MMWR — PMC12782235</w:t>
            </w:r>
          </w:p>
          <w:p>
            <w:pPr>
              <w:spacing w:after="40"/>
            </w:pPr>
            <w:r>
              <w:rPr>
                <w:b w:val="false"/>
                <w:bCs w:val="false"/>
                <w:i/>
                <w:iCs/>
                <w:sz w:val="17"/>
                <w:szCs w:val="17"/>
              </w:rPr>
              <w:t xml:space="preserve">“Military recruits  •  First-year college students who live in residential housing, if not previously vaccinated  •  Persons at increased risk during an outbreak of meningococcal disease caused by serogroup A, C, W, or Y (Box)”</w:t>
            </w:r>
          </w:p>
        </w:tc>
        <w:tc>
          <w:tcPr>
            <w:tcW w:type="dxa" w:w="280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See row 15 — the "single dose, no booster" grouping is the owner’s open "item 2" question.</w:t>
            </w:r>
          </w:p>
        </w:tc>
      </w:tr>
      <w:tr>
        <w:tc>
          <w:tcPr>
            <w:tcW w:type="dxa" w:w="460"/>
            <w:shd w:fill="FFFFFF" w:color="auto" w:val="clear"/>
            <w:tcMar>
              <w:top w:type="dxa" w:w="40"/>
              <w:left w:type="dxa" w:w="70"/>
              <w:bottom w:type="dxa" w:w="40"/>
              <w:right w:type="dxa" w:w="70"/>
            </w:tcMar>
          </w:tcPr>
          <w:p>
            <w:pPr>
              <w:spacing w:after="40"/>
            </w:pPr>
            <w:r>
              <w:rPr>
                <w:b/>
                <w:bCs/>
                <w:i w:val="false"/>
                <w:iCs w:val="false"/>
                <w:sz w:val="17"/>
                <w:szCs w:val="17"/>
              </w:rPr>
              <w:t xml:space="preserve">15</w:t>
            </w:r>
          </w:p>
        </w:tc>
        <w:tc>
          <w:tcPr>
            <w:tcW w:type="dxa" w:w="2900"/>
            <w:shd w:fill="FFFFFF"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complete — Complete (prior dose satisfies single-dose indication)</w:t>
            </w:r>
          </w:p>
        </w:tc>
        <w:tc>
          <w:tcPr>
            <w:tcW w:type="dxa" w:w="234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w:t>
            </w:r>
          </w:p>
        </w:tc>
        <w:tc>
          <w:tcPr>
            <w:tcW w:type="dxa" w:w="5900"/>
            <w:shd w:fill="FFFFFF" w:color="auto" w:val="clear"/>
            <w:tcMar>
              <w:top w:type="dxa" w:w="40"/>
              <w:left w:type="dxa" w:w="70"/>
              <w:bottom w:type="dxa" w:w="40"/>
              <w:right w:type="dxa" w:w="70"/>
            </w:tcMar>
          </w:tcPr>
          <w:p>
            <w:pPr>
              <w:spacing w:after="40"/>
            </w:pPr>
            <w:r>
              <w:rPr>
                <w:b/>
                <w:bCs/>
                <w:i w:val="false"/>
                <w:iCs w:val="false"/>
                <w:color w:val="1F4E79"/>
                <w:sz w:val="17"/>
                <w:szCs w:val="17"/>
              </w:rPr>
              <w:t xml:space="preserve">ACIP 2025 MMWR — PMC12782235</w:t>
            </w:r>
          </w:p>
          <w:p>
            <w:pPr>
              <w:spacing w:after="40"/>
            </w:pPr>
            <w:r>
              <w:rPr>
                <w:b w:val="false"/>
                <w:bCs w:val="false"/>
                <w:i/>
                <w:iCs/>
                <w:sz w:val="17"/>
                <w:szCs w:val="17"/>
              </w:rPr>
              <w:t xml:space="preserve">“(same Box indication list as row 14: military recruits; A/C/W/Y outbreak)”</w:t>
            </w:r>
          </w:p>
        </w:tc>
        <w:tc>
          <w:tcPr>
            <w:tcW w:type="dxa" w:w="280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DECIDED (owner, 2026-07-24) — clinical logic and citation are already correct; this is a labelling change. The transient one-and-done indications (military recruit, first-year college resident, serogroup A/C/W/Y outbreak) should be shown as "exposure/outbreak" rather than "risk-based", so a clinician does not read them like the ongoing-medical-risk series (asplenia/complement/HIV) that needs a 2-dose primary + lifelong boosters. IMPLEMENTATION FOLLOW-UP (separate from citation wiring): this touches the rec() `status` enum (currently due | catchup | risk-based | shared-decision | complete | not-indicated | deferred) and its downstream UI colour/label mapping — verify all five... (MeningoVax has fewer) surfaces. Open sub-question for that session: travel + microbiologist are ALSO exposure-driven but DO get 5-yr boosters (the single+boost class) — decide whether they share the new "exposure" label or stay "risk-based". Minor clinical edge: a service member who REMAINS at risk could warrant boosters; app currently treats military as one-and-done.</w:t>
            </w:r>
          </w:p>
        </w:tc>
      </w:tr>
      <w:tr>
        <w:tc>
          <w:tcPr>
            <w:tcW w:type="dxa" w:w="460"/>
            <w:shd w:fill="E9E9E9" w:color="auto" w:val="clear"/>
            <w:tcMar>
              <w:top w:type="dxa" w:w="40"/>
              <w:left w:type="dxa" w:w="70"/>
              <w:bottom w:type="dxa" w:w="40"/>
              <w:right w:type="dxa" w:w="70"/>
            </w:tcMar>
          </w:tcPr>
          <w:p>
            <w:pPr>
              <w:spacing w:after="40"/>
            </w:pPr>
            <w:r>
              <w:rPr>
                <w:b/>
                <w:bCs/>
                <w:i w:val="false"/>
                <w:iCs w:val="false"/>
                <w:sz w:val="17"/>
                <w:szCs w:val="17"/>
              </w:rPr>
              <w:t xml:space="preserve">16</w:t>
            </w:r>
          </w:p>
        </w:tc>
        <w:tc>
          <w:tcPr>
            <w:tcW w:type="dxa" w:w="2900"/>
            <w:shd w:fill="E9E9E9"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risk-based — Dose 1 of 4 (infant high-risk, 2–6mo)</w:t>
            </w:r>
          </w:p>
        </w:tc>
        <w:tc>
          <w:tcPr>
            <w:tcW w:type="dxa" w:w="234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w:t>
            </w:r>
          </w:p>
        </w:tc>
        <w:tc>
          <w:tcPr>
            <w:tcW w:type="dxa" w:w="5900"/>
            <w:shd w:fill="E9E9E9"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“4 doses at 2, 4, 6, and 12 mos (Table 2, MenACWY-CRM infant)”</w:t>
            </w:r>
          </w:p>
        </w:tc>
        <w:tc>
          <w:tcPr>
            <w:tcW w:type="dxa" w:w="280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Only the 2020 MMWR carries the granular infant schedule (the 2025 Box says only "dosing schedule varies by age"). Keep 2020.</w:t>
            </w:r>
          </w:p>
        </w:tc>
      </w:tr>
      <w:tr>
        <w:tc>
          <w:tcPr>
            <w:tcW w:type="dxa" w:w="460"/>
            <w:shd w:fill="FFFFFF" w:color="auto" w:val="clear"/>
            <w:tcMar>
              <w:top w:type="dxa" w:w="40"/>
              <w:left w:type="dxa" w:w="70"/>
              <w:bottom w:type="dxa" w:w="40"/>
              <w:right w:type="dxa" w:w="70"/>
            </w:tcMar>
          </w:tcPr>
          <w:p>
            <w:pPr>
              <w:spacing w:after="40"/>
            </w:pPr>
            <w:r>
              <w:rPr>
                <w:b/>
                <w:bCs/>
                <w:i w:val="false"/>
                <w:iCs w:val="false"/>
                <w:sz w:val="17"/>
                <w:szCs w:val="17"/>
              </w:rPr>
              <w:t xml:space="preserve">17</w:t>
            </w:r>
          </w:p>
        </w:tc>
        <w:tc>
          <w:tcPr>
            <w:tcW w:type="dxa" w:w="2900"/>
            <w:shd w:fill="FFFFFF"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risk-based — Dose 1 of 2 + booster (infant high-risk 7–11mo)</w:t>
            </w:r>
          </w:p>
        </w:tc>
        <w:tc>
          <w:tcPr>
            <w:tcW w:type="dxa" w:w="234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w:t>
            </w:r>
          </w:p>
        </w:tc>
        <w:tc>
          <w:tcPr>
            <w:tcW w:type="dxa" w:w="5900"/>
            <w:shd w:fill="FFFFFF"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“2 doses (second dose ≥12 wks after the first dose and after the 1st birthday) (Table 2)”</w:t>
            </w:r>
          </w:p>
        </w:tc>
        <w:tc>
          <w:tcPr>
            <w:tcW w:type="dxa" w:w="2800"/>
            <w:shd w:fill="FFFFFF" w:color="auto" w:val="clear"/>
            <w:tcMar>
              <w:top w:type="dxa" w:w="40"/>
              <w:left w:type="dxa" w:w="70"/>
              <w:bottom w:type="dxa" w:w="40"/>
              <w:right w:type="dxa" w:w="70"/>
            </w:tcMar>
          </w:tcPr>
          <w:p>
            <w:pPr>
              <w:spacing w:after="40"/>
            </w:pPr>
            <w:r>
              <w:rPr>
                <w:b w:val="false"/>
                <w:bCs w:val="false"/>
                <w:i w:val="false"/>
                <w:iCs w:val="false"/>
                <w:color w:val="0B7A0B"/>
                <w:sz w:val="17"/>
                <w:szCs w:val="17"/>
              </w:rPr>
              <w:t xml:space="preserve">—  no change needed</w:t>
            </w:r>
          </w:p>
        </w:tc>
      </w:tr>
      <w:tr>
        <w:tc>
          <w:tcPr>
            <w:tcW w:type="dxa" w:w="460"/>
            <w:shd w:fill="E9E9E9" w:color="auto" w:val="clear"/>
            <w:tcMar>
              <w:top w:type="dxa" w:w="40"/>
              <w:left w:type="dxa" w:w="70"/>
              <w:bottom w:type="dxa" w:w="40"/>
              <w:right w:type="dxa" w:w="70"/>
            </w:tcMar>
          </w:tcPr>
          <w:p>
            <w:pPr>
              <w:spacing w:after="40"/>
            </w:pPr>
            <w:r>
              <w:rPr>
                <w:b/>
                <w:bCs/>
                <w:i w:val="false"/>
                <w:iCs w:val="false"/>
                <w:sz w:val="17"/>
                <w:szCs w:val="17"/>
              </w:rPr>
              <w:t xml:space="preserve">18</w:t>
            </w:r>
          </w:p>
        </w:tc>
        <w:tc>
          <w:tcPr>
            <w:tcW w:type="dxa" w:w="2900"/>
            <w:shd w:fill="E9E9E9"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risk-based — Dose 1 of 2 (high-risk 12–23mo)</w:t>
            </w:r>
          </w:p>
        </w:tc>
        <w:tc>
          <w:tcPr>
            <w:tcW w:type="dxa" w:w="234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w:t>
            </w:r>
          </w:p>
        </w:tc>
        <w:tc>
          <w:tcPr>
            <w:tcW w:type="dxa" w:w="5900"/>
            <w:shd w:fill="E9E9E9"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“2 doses (second dose ≥12 wks after the first dose and after the 1st birthday)”</w:t>
            </w:r>
          </w:p>
          <w:p>
            <w:pPr>
              <w:spacing w:after="40"/>
            </w:pPr>
            <w:r>
              <w:rPr>
                <w:b w:val="false"/>
                <w:bCs w:val="false"/>
                <w:i/>
                <w:iCs/>
                <w:color w:val="555555"/>
                <w:sz w:val="17"/>
                <w:szCs w:val="17"/>
              </w:rPr>
              <w:t xml:space="preserve">"Aged &lt;7 yrs: Single dose at 3 yrs after primary vaccination and every 5 yrs thereafter"</w:t>
            </w:r>
          </w:p>
        </w:tc>
        <w:tc>
          <w:tcPr>
            <w:tcW w:type="dxa" w:w="2800"/>
            <w:shd w:fill="E9E9E9" w:color="auto" w:val="clear"/>
            <w:tcMar>
              <w:top w:type="dxa" w:w="40"/>
              <w:left w:type="dxa" w:w="70"/>
              <w:bottom w:type="dxa" w:w="40"/>
              <w:right w:type="dxa" w:w="70"/>
            </w:tcMar>
          </w:tcPr>
          <w:p>
            <w:pPr>
              <w:spacing w:after="40"/>
            </w:pPr>
            <w:r>
              <w:rPr>
                <w:b w:val="false"/>
                <w:bCs w:val="false"/>
                <w:i w:val="false"/>
                <w:iCs w:val="false"/>
                <w:color w:val="0B7A0B"/>
                <w:sz w:val="17"/>
                <w:szCs w:val="17"/>
              </w:rPr>
              <w:t xml:space="preserve">—  no change needed</w:t>
            </w:r>
          </w:p>
        </w:tc>
      </w:tr>
      <w:tr>
        <w:tc>
          <w:tcPr>
            <w:tcW w:type="dxa" w:w="460"/>
            <w:shd w:fill="FFFFFF" w:color="auto" w:val="clear"/>
            <w:tcMar>
              <w:top w:type="dxa" w:w="40"/>
              <w:left w:type="dxa" w:w="70"/>
              <w:bottom w:type="dxa" w:w="40"/>
              <w:right w:type="dxa" w:w="70"/>
            </w:tcMar>
          </w:tcPr>
          <w:p>
            <w:pPr>
              <w:spacing w:after="40"/>
            </w:pPr>
            <w:r>
              <w:rPr>
                <w:b/>
                <w:bCs/>
                <w:i w:val="false"/>
                <w:iCs w:val="false"/>
                <w:sz w:val="17"/>
                <w:szCs w:val="17"/>
              </w:rPr>
              <w:t xml:space="preserve">19</w:t>
            </w:r>
          </w:p>
        </w:tc>
        <w:tc>
          <w:tcPr>
            <w:tcW w:type="dxa" w:w="2900"/>
            <w:shd w:fill="FFFFFF"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risk-based — Dose 3 of 3 (infant high-risk, 3-dose shortcut)</w:t>
            </w:r>
          </w:p>
        </w:tc>
        <w:tc>
          <w:tcPr>
            <w:tcW w:type="dxa" w:w="234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w:t>
            </w:r>
          </w:p>
        </w:tc>
        <w:tc>
          <w:tcPr>
            <w:tcW w:type="dxa" w:w="5900"/>
            <w:shd w:fill="FFFFFF"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“2 doses (second dose ≥12 wks after the first dose and after the 1st birthday)”</w:t>
            </w:r>
          </w:p>
        </w:tc>
        <w:tc>
          <w:tcPr>
            <w:tcW w:type="dxa" w:w="280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Minor: the "3-dose shortcut" (D2 given ≥7mo lets the series finish in 3) is an interpretation of the catch-up interval rules, not a single labelled MMWR sentence. Quote supports the interval; the shortcut logic itself is derived.</w:t>
            </w:r>
          </w:p>
        </w:tc>
      </w:tr>
      <w:tr>
        <w:tc>
          <w:tcPr>
            <w:tcW w:type="dxa" w:w="460"/>
            <w:shd w:fill="E9E9E9" w:color="auto" w:val="clear"/>
            <w:tcMar>
              <w:top w:type="dxa" w:w="40"/>
              <w:left w:type="dxa" w:w="70"/>
              <w:bottom w:type="dxa" w:w="40"/>
              <w:right w:type="dxa" w:w="70"/>
            </w:tcMar>
          </w:tcPr>
          <w:p>
            <w:pPr>
              <w:spacing w:after="40"/>
            </w:pPr>
            <w:r>
              <w:rPr>
                <w:b/>
                <w:bCs/>
                <w:i w:val="false"/>
                <w:iCs w:val="false"/>
                <w:sz w:val="17"/>
                <w:szCs w:val="17"/>
              </w:rPr>
              <w:t xml:space="preserve">20</w:t>
            </w:r>
          </w:p>
        </w:tc>
        <w:tc>
          <w:tcPr>
            <w:tcW w:type="dxa" w:w="2900"/>
            <w:shd w:fill="E9E9E9"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risk-based — Booster (dose 5, every 5 years) [infant series]</w:t>
            </w:r>
          </w:p>
        </w:tc>
        <w:tc>
          <w:tcPr>
            <w:tcW w:type="dxa" w:w="234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w:t>
            </w:r>
          </w:p>
        </w:tc>
        <w:tc>
          <w:tcPr>
            <w:tcW w:type="dxa" w:w="5900"/>
            <w:shd w:fill="E9E9E9"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“…and every 5 yrs thereafter (Table 2 booster row)”</w:t>
            </w:r>
          </w:p>
        </w:tc>
        <w:tc>
          <w:tcPr>
            <w:tcW w:type="dxa" w:w="2800"/>
            <w:shd w:fill="E9E9E9" w:color="auto" w:val="clear"/>
            <w:tcMar>
              <w:top w:type="dxa" w:w="40"/>
              <w:left w:type="dxa" w:w="70"/>
              <w:bottom w:type="dxa" w:w="40"/>
              <w:right w:type="dxa" w:w="70"/>
            </w:tcMar>
          </w:tcPr>
          <w:p>
            <w:pPr>
              <w:spacing w:after="40"/>
            </w:pPr>
            <w:r>
              <w:rPr>
                <w:b w:val="false"/>
                <w:bCs w:val="false"/>
                <w:i w:val="false"/>
                <w:iCs w:val="false"/>
                <w:color w:val="0B7A0B"/>
                <w:sz w:val="17"/>
                <w:szCs w:val="17"/>
              </w:rPr>
              <w:t xml:space="preserve">—  no change needed</w:t>
            </w:r>
          </w:p>
        </w:tc>
      </w:tr>
      <w:tr>
        <w:tc>
          <w:tcPr>
            <w:tcW w:type="dxa" w:w="460"/>
            <w:shd w:fill="FFFFFF" w:color="auto" w:val="clear"/>
            <w:tcMar>
              <w:top w:type="dxa" w:w="40"/>
              <w:left w:type="dxa" w:w="70"/>
              <w:bottom w:type="dxa" w:w="40"/>
              <w:right w:type="dxa" w:w="70"/>
            </w:tcMar>
          </w:tcPr>
          <w:p>
            <w:pPr>
              <w:spacing w:after="40"/>
            </w:pPr>
            <w:r>
              <w:rPr>
                <w:b/>
                <w:bCs/>
                <w:i w:val="false"/>
                <w:iCs w:val="false"/>
                <w:sz w:val="17"/>
                <w:szCs w:val="17"/>
              </w:rPr>
              <w:t xml:space="preserve">21</w:t>
            </w:r>
          </w:p>
        </w:tc>
        <w:tc>
          <w:tcPr>
            <w:tcW w:type="dxa" w:w="2900"/>
            <w:shd w:fill="FFFFFF"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risk-based — Dose 2 (infant high-risk series continuation)</w:t>
            </w:r>
          </w:p>
        </w:tc>
        <w:tc>
          <w:tcPr>
            <w:tcW w:type="dxa" w:w="234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w:t>
            </w:r>
          </w:p>
        </w:tc>
        <w:tc>
          <w:tcPr>
            <w:tcW w:type="dxa" w:w="5900"/>
            <w:shd w:fill="FFFFFF"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“4 doses at 2, 4, 6, and 12 mos / 2 doses (second dose ≥12 wks after the first dose and after the 1st birthday)”</w:t>
            </w:r>
          </w:p>
        </w:tc>
        <w:tc>
          <w:tcPr>
            <w:tcW w:type="dxa" w:w="2800"/>
            <w:shd w:fill="FFFFFF" w:color="auto" w:val="clear"/>
            <w:tcMar>
              <w:top w:type="dxa" w:w="40"/>
              <w:left w:type="dxa" w:w="70"/>
              <w:bottom w:type="dxa" w:w="40"/>
              <w:right w:type="dxa" w:w="70"/>
            </w:tcMar>
          </w:tcPr>
          <w:p>
            <w:pPr>
              <w:spacing w:after="40"/>
            </w:pPr>
            <w:r>
              <w:rPr>
                <w:b w:val="false"/>
                <w:bCs w:val="false"/>
                <w:i w:val="false"/>
                <w:iCs w:val="false"/>
                <w:color w:val="0B7A0B"/>
                <w:sz w:val="17"/>
                <w:szCs w:val="17"/>
              </w:rPr>
              <w:t xml:space="preserve">—  no change needed</w:t>
            </w:r>
          </w:p>
        </w:tc>
      </w:tr>
      <w:tr>
        <w:tc>
          <w:tcPr>
            <w:tcW w:type="dxa" w:w="460"/>
            <w:shd w:fill="E9E9E9" w:color="auto" w:val="clear"/>
            <w:tcMar>
              <w:top w:type="dxa" w:w="40"/>
              <w:left w:type="dxa" w:w="70"/>
              <w:bottom w:type="dxa" w:w="40"/>
              <w:right w:type="dxa" w:w="70"/>
            </w:tcMar>
          </w:tcPr>
          <w:p>
            <w:pPr>
              <w:spacing w:after="40"/>
            </w:pPr>
            <w:r>
              <w:rPr>
                <w:b/>
                <w:bCs/>
                <w:i w:val="false"/>
                <w:iCs w:val="false"/>
                <w:sz w:val="17"/>
                <w:szCs w:val="17"/>
              </w:rPr>
              <w:t xml:space="preserve">22</w:t>
            </w:r>
          </w:p>
        </w:tc>
        <w:tc>
          <w:tcPr>
            <w:tcW w:type="dxa" w:w="2900"/>
            <w:shd w:fill="E9E9E9"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not-indicated — Not yet due (age &lt;11)</w:t>
            </w:r>
          </w:p>
        </w:tc>
        <w:tc>
          <w:tcPr>
            <w:tcW w:type="dxa" w:w="234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w:t>
            </w:r>
          </w:p>
        </w:tc>
        <w:tc>
          <w:tcPr>
            <w:tcW w:type="dxa" w:w="5900"/>
            <w:shd w:fill="E9E9E9"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“ACIP recommends a single dose of MenACWY at age 11 or 12 years followed by a booster dose administered at age 16 years”</w:t>
            </w:r>
          </w:p>
          <w:p>
            <w:pPr>
              <w:spacing w:after="40"/>
            </w:pPr>
            <w:r>
              <w:rPr>
                <w:b w:val="false"/>
                <w:bCs w:val="false"/>
                <w:i/>
                <w:iCs/>
                <w:color w:val="555555"/>
                <w:sz w:val="17"/>
                <w:szCs w:val="17"/>
              </w:rPr>
              <w:t xml:space="preserve">2025 alt: "Routine vaccination with a single dose for all persons aged 11–12 years, with a booster dose at age 16 years"</w:t>
            </w:r>
          </w:p>
        </w:tc>
        <w:tc>
          <w:tcPr>
            <w:tcW w:type="dxa" w:w="2800"/>
            <w:shd w:fill="E9E9E9" w:color="auto" w:val="clear"/>
            <w:tcMar>
              <w:top w:type="dxa" w:w="40"/>
              <w:left w:type="dxa" w:w="70"/>
              <w:bottom w:type="dxa" w:w="40"/>
              <w:right w:type="dxa" w:w="70"/>
            </w:tcMar>
          </w:tcPr>
          <w:p>
            <w:pPr>
              <w:spacing w:after="40"/>
            </w:pPr>
            <w:r>
              <w:rPr>
                <w:b w:val="false"/>
                <w:bCs w:val="false"/>
                <w:i w:val="false"/>
                <w:iCs w:val="false"/>
                <w:color w:val="0B7A0B"/>
                <w:sz w:val="17"/>
                <w:szCs w:val="17"/>
              </w:rPr>
              <w:t xml:space="preserve">—  no change needed</w:t>
            </w:r>
          </w:p>
        </w:tc>
      </w:tr>
      <w:tr>
        <w:tc>
          <w:tcPr>
            <w:tcW w:type="dxa" w:w="460"/>
            <w:shd w:fill="FFFFFF" w:color="auto" w:val="clear"/>
            <w:tcMar>
              <w:top w:type="dxa" w:w="40"/>
              <w:left w:type="dxa" w:w="70"/>
              <w:bottom w:type="dxa" w:w="40"/>
              <w:right w:type="dxa" w:w="70"/>
            </w:tcMar>
          </w:tcPr>
          <w:p>
            <w:pPr>
              <w:spacing w:after="40"/>
            </w:pPr>
            <w:r>
              <w:rPr>
                <w:b/>
                <w:bCs/>
                <w:i w:val="false"/>
                <w:iCs w:val="false"/>
                <w:sz w:val="17"/>
                <w:szCs w:val="17"/>
              </w:rPr>
              <w:t xml:space="preserve">23</w:t>
            </w:r>
          </w:p>
        </w:tc>
        <w:tc>
          <w:tcPr>
            <w:tcW w:type="dxa" w:w="2900"/>
            <w:shd w:fill="FFFFFF" w:color="auto" w:val="clear"/>
            <w:tcMar>
              <w:top w:type="dxa" w:w="40"/>
              <w:left w:type="dxa" w:w="70"/>
              <w:bottom w:type="dxa" w:w="40"/>
              <w:right w:type="dxa" w:w="70"/>
            </w:tcMar>
          </w:tcPr>
          <w:p>
            <w:pPr>
              <w:spacing w:after="40"/>
            </w:pPr>
            <w:r>
              <w:rPr>
                <w:b/>
                <w:bCs/>
                <w:i w:val="false"/>
                <w:iCs w:val="false"/>
                <w:sz w:val="17"/>
                <w:szCs w:val="17"/>
              </w:rPr>
              <w:t xml:space="preserve">MenB</w:t>
            </w:r>
          </w:p>
          <w:p>
            <w:pPr>
              <w:spacing w:after="40"/>
            </w:pPr>
            <w:r>
              <w:rPr>
                <w:b w:val="false"/>
                <w:bCs w:val="false"/>
                <w:i w:val="false"/>
                <w:iCs w:val="false"/>
                <w:sz w:val="17"/>
                <w:szCs w:val="17"/>
              </w:rPr>
              <w:t xml:space="preserve">not-indicated — Not indicated (age &lt;10, no risk)</w:t>
            </w:r>
          </w:p>
        </w:tc>
        <w:tc>
          <w:tcPr>
            <w:tcW w:type="dxa" w:w="234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CDC MenB Notes  (whole-page chip only — no MMWR)</w:t>
            </w:r>
          </w:p>
        </w:tc>
        <w:tc>
          <w:tcPr>
            <w:tcW w:type="dxa" w:w="5900"/>
            <w:shd w:fill="FFFFFF"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“MenB vaccines are licensed in the United States only for persons aged 10–25 years (Table 2 footnote)”</w:t>
            </w:r>
          </w:p>
        </w:tc>
        <w:tc>
          <w:tcPr>
            <w:tcW w:type="dxa" w:w="280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Consolidate: replace the lone "CDC MenB Notes" whole-page chip with the exact 2020 MMWR licensure sentence.</w:t>
            </w:r>
          </w:p>
        </w:tc>
      </w:tr>
      <w:tr>
        <w:tc>
          <w:tcPr>
            <w:tcW w:type="dxa" w:w="460"/>
            <w:shd w:fill="E9E9E9" w:color="auto" w:val="clear"/>
            <w:tcMar>
              <w:top w:type="dxa" w:w="40"/>
              <w:left w:type="dxa" w:w="70"/>
              <w:bottom w:type="dxa" w:w="40"/>
              <w:right w:type="dxa" w:w="70"/>
            </w:tcMar>
          </w:tcPr>
          <w:p>
            <w:pPr>
              <w:spacing w:after="40"/>
            </w:pPr>
            <w:r>
              <w:rPr>
                <w:b/>
                <w:bCs/>
                <w:i w:val="false"/>
                <w:iCs w:val="false"/>
                <w:sz w:val="17"/>
                <w:szCs w:val="17"/>
              </w:rPr>
              <w:t xml:space="preserve">24</w:t>
            </w:r>
          </w:p>
        </w:tc>
        <w:tc>
          <w:tcPr>
            <w:tcW w:type="dxa" w:w="2900"/>
            <w:shd w:fill="E9E9E9"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due — Dose 1 (routine, 11–12y)</w:t>
            </w:r>
          </w:p>
        </w:tc>
        <w:tc>
          <w:tcPr>
            <w:tcW w:type="dxa" w:w="234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w:t>
            </w:r>
          </w:p>
        </w:tc>
        <w:tc>
          <w:tcPr>
            <w:tcW w:type="dxa" w:w="5900"/>
            <w:shd w:fill="E9E9E9"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“ACIP recommends a single dose of MenACWY at age 11 or 12 years followed by a booster dose administered at age 16 years”</w:t>
            </w:r>
          </w:p>
        </w:tc>
        <w:tc>
          <w:tcPr>
            <w:tcW w:type="dxa" w:w="2800"/>
            <w:shd w:fill="E9E9E9" w:color="auto" w:val="clear"/>
            <w:tcMar>
              <w:top w:type="dxa" w:w="40"/>
              <w:left w:type="dxa" w:w="70"/>
              <w:bottom w:type="dxa" w:w="40"/>
              <w:right w:type="dxa" w:w="70"/>
            </w:tcMar>
          </w:tcPr>
          <w:p>
            <w:pPr>
              <w:spacing w:after="40"/>
            </w:pPr>
            <w:r>
              <w:rPr>
                <w:b w:val="false"/>
                <w:bCs w:val="false"/>
                <w:i w:val="false"/>
                <w:iCs w:val="false"/>
                <w:color w:val="0B7A0B"/>
                <w:sz w:val="17"/>
                <w:szCs w:val="17"/>
              </w:rPr>
              <w:t xml:space="preserve">—  no change needed</w:t>
            </w:r>
          </w:p>
        </w:tc>
      </w:tr>
      <w:tr>
        <w:tc>
          <w:tcPr>
            <w:tcW w:type="dxa" w:w="460"/>
            <w:shd w:fill="FFFFFF" w:color="auto" w:val="clear"/>
            <w:tcMar>
              <w:top w:type="dxa" w:w="40"/>
              <w:left w:type="dxa" w:w="70"/>
              <w:bottom w:type="dxa" w:w="40"/>
              <w:right w:type="dxa" w:w="70"/>
            </w:tcMar>
          </w:tcPr>
          <w:p>
            <w:pPr>
              <w:spacing w:after="40"/>
            </w:pPr>
            <w:r>
              <w:rPr>
                <w:b/>
                <w:bCs/>
                <w:i w:val="false"/>
                <w:iCs w:val="false"/>
                <w:sz w:val="17"/>
                <w:szCs w:val="17"/>
              </w:rPr>
              <w:t xml:space="preserve">25</w:t>
            </w:r>
          </w:p>
        </w:tc>
        <w:tc>
          <w:tcPr>
            <w:tcW w:type="dxa" w:w="2900"/>
            <w:shd w:fill="FFFFFF"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complete — Booster due at 16y</w:t>
            </w:r>
          </w:p>
        </w:tc>
        <w:tc>
          <w:tcPr>
            <w:tcW w:type="dxa" w:w="234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w:t>
            </w:r>
          </w:p>
        </w:tc>
        <w:tc>
          <w:tcPr>
            <w:tcW w:type="dxa" w:w="5900"/>
            <w:shd w:fill="FFFFFF"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“ACIP recommends a single dose of MenACWY at age 11 or 12 years followed by a booster dose administered at age 16 years”</w:t>
            </w:r>
          </w:p>
        </w:tc>
        <w:tc>
          <w:tcPr>
            <w:tcW w:type="dxa" w:w="2800"/>
            <w:shd w:fill="FFFFFF" w:color="auto" w:val="clear"/>
            <w:tcMar>
              <w:top w:type="dxa" w:w="40"/>
              <w:left w:type="dxa" w:w="70"/>
              <w:bottom w:type="dxa" w:w="40"/>
              <w:right w:type="dxa" w:w="70"/>
            </w:tcMar>
          </w:tcPr>
          <w:p>
            <w:pPr>
              <w:spacing w:after="40"/>
            </w:pPr>
            <w:r>
              <w:rPr>
                <w:b w:val="false"/>
                <w:bCs w:val="false"/>
                <w:i w:val="false"/>
                <w:iCs w:val="false"/>
                <w:color w:val="0B7A0B"/>
                <w:sz w:val="17"/>
                <w:szCs w:val="17"/>
              </w:rPr>
              <w:t xml:space="preserve">—  no change needed</w:t>
            </w:r>
          </w:p>
        </w:tc>
      </w:tr>
      <w:tr>
        <w:tc>
          <w:tcPr>
            <w:tcW w:type="dxa" w:w="460"/>
            <w:shd w:fill="E9E9E9" w:color="auto" w:val="clear"/>
            <w:tcMar>
              <w:top w:type="dxa" w:w="40"/>
              <w:left w:type="dxa" w:w="70"/>
              <w:bottom w:type="dxa" w:w="40"/>
              <w:right w:type="dxa" w:w="70"/>
            </w:tcMar>
          </w:tcPr>
          <w:p>
            <w:pPr>
              <w:spacing w:after="40"/>
            </w:pPr>
            <w:r>
              <w:rPr>
                <w:b/>
                <w:bCs/>
                <w:i w:val="false"/>
                <w:iCs w:val="false"/>
                <w:sz w:val="17"/>
                <w:szCs w:val="17"/>
              </w:rPr>
              <w:t xml:space="preserve">26</w:t>
            </w:r>
          </w:p>
        </w:tc>
        <w:tc>
          <w:tcPr>
            <w:tcW w:type="dxa" w:w="2900"/>
            <w:shd w:fill="E9E9E9"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due — Booster (16y)</w:t>
            </w:r>
          </w:p>
        </w:tc>
        <w:tc>
          <w:tcPr>
            <w:tcW w:type="dxa" w:w="234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w:t>
            </w:r>
          </w:p>
        </w:tc>
        <w:tc>
          <w:tcPr>
            <w:tcW w:type="dxa" w:w="5900"/>
            <w:shd w:fill="E9E9E9"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“ACIP recommends a single dose of MenACWY at age 11 or 12 years followed by a booster dose administered at age 16 years”</w:t>
            </w:r>
          </w:p>
        </w:tc>
        <w:tc>
          <w:tcPr>
            <w:tcW w:type="dxa" w:w="2800"/>
            <w:shd w:fill="E9E9E9" w:color="auto" w:val="clear"/>
            <w:tcMar>
              <w:top w:type="dxa" w:w="40"/>
              <w:left w:type="dxa" w:w="70"/>
              <w:bottom w:type="dxa" w:w="40"/>
              <w:right w:type="dxa" w:w="70"/>
            </w:tcMar>
          </w:tcPr>
          <w:p>
            <w:pPr>
              <w:spacing w:after="40"/>
            </w:pPr>
            <w:r>
              <w:rPr>
                <w:b w:val="false"/>
                <w:bCs w:val="false"/>
                <w:i w:val="false"/>
                <w:iCs w:val="false"/>
                <w:color w:val="0B7A0B"/>
                <w:sz w:val="17"/>
                <w:szCs w:val="17"/>
              </w:rPr>
              <w:t xml:space="preserve">—  no change needed</w:t>
            </w:r>
          </w:p>
        </w:tc>
      </w:tr>
      <w:tr>
        <w:tc>
          <w:tcPr>
            <w:tcW w:type="dxa" w:w="460"/>
            <w:shd w:fill="FFFFFF" w:color="auto" w:val="clear"/>
            <w:tcMar>
              <w:top w:type="dxa" w:w="40"/>
              <w:left w:type="dxa" w:w="70"/>
              <w:bottom w:type="dxa" w:w="40"/>
              <w:right w:type="dxa" w:w="70"/>
            </w:tcMar>
          </w:tcPr>
          <w:p>
            <w:pPr>
              <w:spacing w:after="40"/>
            </w:pPr>
            <w:r>
              <w:rPr>
                <w:b/>
                <w:bCs/>
                <w:i w:val="false"/>
                <w:iCs w:val="false"/>
                <w:sz w:val="17"/>
                <w:szCs w:val="17"/>
              </w:rPr>
              <w:t xml:space="preserve">27</w:t>
            </w:r>
          </w:p>
        </w:tc>
        <w:tc>
          <w:tcPr>
            <w:tcW w:type="dxa" w:w="2900"/>
            <w:shd w:fill="FFFFFF"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catchup — Dose 1 of 1 (catch-up, 19–21y)</w:t>
            </w:r>
          </w:p>
        </w:tc>
        <w:tc>
          <w:tcPr>
            <w:tcW w:type="dxa" w:w="234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 (currently quotes the 11–12y routine sentence)</w:t>
            </w:r>
          </w:p>
        </w:tc>
        <w:tc>
          <w:tcPr>
            <w:tcW w:type="dxa" w:w="5900"/>
            <w:shd w:fill="FFFFFF"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“Persons aged 19–21 years who have not received a dose after their 16th birthday can receive a single MenACWY dose as part of catch-up vaccination”</w:t>
            </w:r>
          </w:p>
        </w:tc>
        <w:tc>
          <w:tcPr>
            <w:tcW w:type="dxa" w:w="280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THE SPECIFIC CHANGE: this branch’s inline [N] hover-quote currently links to the routine "single dose at 11–12y + booster at 16y" sentence, which does not describe a 19–21y catch-up dose. Add a new refs.js CITATIONS entry (e.g. acwyCatchup1921) whose quote is the sentence at left, and point this branch’s noteCite at it instead. No dosing-logic change — only the hover-quote/deep-link becomes an exact match.</w:t>
            </w:r>
          </w:p>
        </w:tc>
      </w:tr>
      <w:tr>
        <w:tc>
          <w:tcPr>
            <w:tcW w:type="dxa" w:w="460"/>
            <w:shd w:fill="FCE4C4" w:color="auto" w:val="clear"/>
            <w:tcMar>
              <w:top w:type="dxa" w:w="40"/>
              <w:left w:type="dxa" w:w="70"/>
              <w:bottom w:type="dxa" w:w="40"/>
              <w:right w:type="dxa" w:w="70"/>
            </w:tcMar>
          </w:tcPr>
          <w:p>
            <w:pPr>
              <w:spacing w:after="40"/>
            </w:pPr>
            <w:r>
              <w:rPr>
                <w:b/>
                <w:bCs/>
                <w:i w:val="false"/>
                <w:iCs w:val="false"/>
                <w:sz w:val="17"/>
                <w:szCs w:val="17"/>
              </w:rPr>
              <w:t xml:space="preserve">28</w:t>
            </w:r>
          </w:p>
        </w:tc>
        <w:tc>
          <w:tcPr>
            <w:tcW w:type="dxa" w:w="2900"/>
            <w:shd w:fill="FCE4C4"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not-indicated — Not routinely indicated (≥22y healthy, no risk)</w:t>
            </w:r>
          </w:p>
        </w:tc>
        <w:tc>
          <w:tcPr>
            <w:tcW w:type="dxa" w:w="2340"/>
            <w:shd w:fill="FCE4C4"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w:t>
            </w:r>
          </w:p>
        </w:tc>
        <w:tc>
          <w:tcPr>
            <w:tcW w:type="dxa" w:w="5900"/>
            <w:shd w:fill="FCE4C4" w:color="auto" w:val="clear"/>
            <w:tcMar>
              <w:top w:type="dxa" w:w="40"/>
              <w:left w:type="dxa" w:w="70"/>
              <w:bottom w:type="dxa" w:w="40"/>
              <w:right w:type="dxa" w:w="70"/>
            </w:tcMar>
          </w:tcPr>
          <w:p>
            <w:pPr>
              <w:spacing w:after="40"/>
            </w:pPr>
            <w:r>
              <w:rPr>
                <w:b/>
                <w:bCs/>
                <w:i w:val="false"/>
                <w:iCs w:val="false"/>
                <w:color w:val="1F4E79"/>
                <w:sz w:val="17"/>
                <w:szCs w:val="17"/>
              </w:rPr>
              <w:t xml:space="preserve">immunize.org Ask the Experts (homeless/halfway-house Q&amp;A)  +  ACIP 2020 MMWR — PMC7527029</w:t>
            </w:r>
          </w:p>
          <w:p>
            <w:pPr>
              <w:spacing w:after="40"/>
            </w:pPr>
            <w:r>
              <w:rPr>
                <w:b w:val="false"/>
                <w:bCs w:val="false"/>
                <w:i/>
                <w:iCs/>
                <w:sz w:val="17"/>
                <w:szCs w:val="17"/>
              </w:rPr>
              <w:t xml:space="preserve">“immunize.org: "People age 19 through 21 years are not recommended routinely to receive MenACWY. MenACWY may be administered through age 21 years as a catch-up vaccination for those who have not received a dose after their 16th birthday."”</w:t>
            </w:r>
          </w:p>
          <w:p>
            <w:pPr>
              <w:spacing w:after="40"/>
            </w:pPr>
            <w:r>
              <w:rPr>
                <w:b w:val="false"/>
                <w:bCs w:val="false"/>
                <w:i/>
                <w:iCs/>
                <w:color w:val="555555"/>
                <w:sz w:val="17"/>
                <w:szCs w:val="17"/>
              </w:rPr>
              <w:t xml:space="preserve">2020 MMWR support: "Persons aged 19–21 years who have not received a dose after their 16th birthday can receive a single MenACWY dose as part of catch-up vaccination."</w:t>
            </w:r>
          </w:p>
        </w:tc>
        <w:tc>
          <w:tcPr>
            <w:tcW w:type="dxa" w:w="2800"/>
            <w:shd w:fill="FCE4C4" w:color="auto" w:val="clear"/>
            <w:tcMar>
              <w:top w:type="dxa" w:w="40"/>
              <w:left w:type="dxa" w:w="70"/>
              <w:bottom w:type="dxa" w:w="40"/>
              <w:right w:type="dxa" w:w="70"/>
            </w:tcMar>
          </w:tcPr>
          <w:p>
            <w:pPr>
              <w:spacing w:after="40"/>
            </w:pPr>
            <w:r>
              <w:rPr>
                <w:b w:val="false"/>
                <w:bCs w:val="false"/>
                <w:i w:val="false"/>
                <w:iCs w:val="false"/>
                <w:sz w:val="17"/>
                <w:szCs w:val="17"/>
              </w:rPr>
              <w:t xml:space="preserve">RESOLVED with the source you chose — the immunize.org Q&amp;A states plainly that catch-up runs only "through age 21 years." So beyond 21 (i.e. ≥22y), a healthy person with no risk gets neither a routine nor a catch-up dose. Cite the immunize.org page (whole-page chip, per your convention) with the 2020 MMWR catch-up sentence as the MMWR backing. Note: this is the old "row 5" question — now answerable without labelling anything a bare inference.</w:t>
            </w:r>
          </w:p>
        </w:tc>
      </w:tr>
      <w:tr>
        <w:tc>
          <w:tcPr>
            <w:tcW w:type="dxa" w:w="460"/>
            <w:shd w:fill="FFFFFF" w:color="auto" w:val="clear"/>
            <w:tcMar>
              <w:top w:type="dxa" w:w="40"/>
              <w:left w:type="dxa" w:w="70"/>
              <w:bottom w:type="dxa" w:w="40"/>
              <w:right w:type="dxa" w:w="70"/>
            </w:tcMar>
          </w:tcPr>
          <w:p>
            <w:pPr>
              <w:spacing w:after="40"/>
            </w:pPr>
            <w:r>
              <w:rPr>
                <w:b/>
                <w:bCs/>
                <w:i w:val="false"/>
                <w:iCs w:val="false"/>
                <w:sz w:val="17"/>
                <w:szCs w:val="17"/>
              </w:rPr>
              <w:t xml:space="preserve">29</w:t>
            </w:r>
          </w:p>
        </w:tc>
        <w:tc>
          <w:tcPr>
            <w:tcW w:type="dxa" w:w="2900"/>
            <w:shd w:fill="FFFFFF" w:color="auto" w:val="clear"/>
            <w:tcMar>
              <w:top w:type="dxa" w:w="40"/>
              <w:left w:type="dxa" w:w="70"/>
              <w:bottom w:type="dxa" w:w="40"/>
              <w:right w:type="dxa" w:w="70"/>
            </w:tcMar>
          </w:tcPr>
          <w:p>
            <w:pPr>
              <w:spacing w:after="40"/>
            </w:pPr>
            <w:r>
              <w:rPr>
                <w:b/>
                <w:bCs/>
                <w:i w:val="false"/>
                <w:iCs w:val="false"/>
                <w:sz w:val="17"/>
                <w:szCs w:val="17"/>
              </w:rPr>
              <w:t xml:space="preserve">MenB</w:t>
            </w:r>
          </w:p>
          <w:p>
            <w:pPr>
              <w:spacing w:after="40"/>
            </w:pPr>
            <w:r>
              <w:rPr>
                <w:b w:val="false"/>
                <w:bCs w:val="false"/>
                <w:i w:val="false"/>
                <w:iCs w:val="false"/>
                <w:sz w:val="17"/>
                <w:szCs w:val="17"/>
              </w:rPr>
              <w:t xml:space="preserve">deferred — Defer during pregnancy</w:t>
            </w:r>
          </w:p>
        </w:tc>
        <w:tc>
          <w:tcPr>
            <w:tcW w:type="dxa" w:w="234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CDC Adult Notes; CDC MenB Notes  (+ inline 2020 quote)</w:t>
            </w:r>
          </w:p>
        </w:tc>
        <w:tc>
          <w:tcPr>
            <w:tcW w:type="dxa" w:w="5900"/>
            <w:shd w:fill="FFFFFF"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 or ACIP 2025 MMWR — PMC12782235</w:t>
            </w:r>
          </w:p>
          <w:p>
            <w:pPr>
              <w:spacing w:after="40"/>
            </w:pPr>
            <w:r>
              <w:rPr>
                <w:b w:val="false"/>
                <w:bCs w:val="false"/>
                <w:i/>
                <w:iCs/>
                <w:sz w:val="17"/>
                <w:szCs w:val="17"/>
              </w:rPr>
              <w:t xml:space="preserve">“2020: "vaccination with MenB should be deferred unless the woman is at increased risk and, after consultation with her health care provider, the benefits of vaccination are considered to outweigh the potential risks"”</w:t>
            </w:r>
          </w:p>
          <w:p>
            <w:pPr>
              <w:spacing w:after="40"/>
            </w:pPr>
            <w:r>
              <w:rPr>
                <w:b w:val="false"/>
                <w:bCs w:val="false"/>
                <w:i/>
                <w:iCs/>
                <w:color w:val="555555"/>
                <w:sz w:val="17"/>
                <w:szCs w:val="17"/>
              </w:rPr>
              <w:t xml:space="preserve">2025: "vaccination with MenB during pregnancy should be deferred until after pregnancy unless an increased risk for acquiring meningococcal disease exists…"</w:t>
            </w:r>
          </w:p>
        </w:tc>
        <w:tc>
          <w:tcPr>
            <w:tcW w:type="dxa" w:w="280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Consolidate: drop BOTH "CDC Adult Notes" and "CDC MenB Notes" whole-page chips — a verbatim MMWR pregnancy-deferral sentence already covers this (either the 2020 one already wired, or the cleaner 2025 one).</w:t>
            </w:r>
          </w:p>
        </w:tc>
      </w:tr>
      <w:tr>
        <w:tc>
          <w:tcPr>
            <w:tcW w:type="dxa" w:w="460"/>
            <w:shd w:fill="E9E9E9" w:color="auto" w:val="clear"/>
            <w:tcMar>
              <w:top w:type="dxa" w:w="40"/>
              <w:left w:type="dxa" w:w="70"/>
              <w:bottom w:type="dxa" w:w="40"/>
              <w:right w:type="dxa" w:w="70"/>
            </w:tcMar>
          </w:tcPr>
          <w:p>
            <w:pPr>
              <w:spacing w:after="40"/>
            </w:pPr>
            <w:r>
              <w:rPr>
                <w:b/>
                <w:bCs/>
                <w:i w:val="false"/>
                <w:iCs w:val="false"/>
                <w:sz w:val="17"/>
                <w:szCs w:val="17"/>
              </w:rPr>
              <w:t xml:space="preserve">30</w:t>
            </w:r>
          </w:p>
        </w:tc>
        <w:tc>
          <w:tcPr>
            <w:tcW w:type="dxa" w:w="2900"/>
            <w:shd w:fill="E9E9E9" w:color="auto" w:val="clear"/>
            <w:tcMar>
              <w:top w:type="dxa" w:w="40"/>
              <w:left w:type="dxa" w:w="70"/>
              <w:bottom w:type="dxa" w:w="40"/>
              <w:right w:type="dxa" w:w="70"/>
            </w:tcMar>
          </w:tcPr>
          <w:p>
            <w:pPr>
              <w:spacing w:after="40"/>
            </w:pPr>
            <w:r>
              <w:rPr>
                <w:b/>
                <w:bCs/>
                <w:i w:val="false"/>
                <w:iCs w:val="false"/>
                <w:sz w:val="17"/>
                <w:szCs w:val="17"/>
              </w:rPr>
              <w:t xml:space="preserve">MenB</w:t>
            </w:r>
          </w:p>
          <w:p>
            <w:pPr>
              <w:spacing w:after="40"/>
            </w:pPr>
            <w:r>
              <w:rPr>
                <w:b w:val="false"/>
                <w:bCs w:val="false"/>
                <w:i w:val="false"/>
                <w:iCs w:val="false"/>
                <w:sz w:val="17"/>
                <w:szCs w:val="17"/>
              </w:rPr>
              <w:t xml:space="preserve">risk-based — Dose 2 of 3 (high-risk, 4C)</w:t>
            </w:r>
          </w:p>
        </w:tc>
        <w:tc>
          <w:tcPr>
            <w:tcW w:type="dxa" w:w="234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 CDC Meningococcal Recommendations</w:t>
            </w:r>
          </w:p>
        </w:tc>
        <w:tc>
          <w:tcPr>
            <w:tcW w:type="dxa" w:w="5900"/>
            <w:shd w:fill="E9E9E9" w:color="auto" w:val="clear"/>
            <w:tcMar>
              <w:top w:type="dxa" w:w="40"/>
              <w:left w:type="dxa" w:w="70"/>
              <w:bottom w:type="dxa" w:w="40"/>
              <w:right w:type="dxa" w:w="70"/>
            </w:tcMar>
          </w:tcPr>
          <w:p>
            <w:pPr>
              <w:spacing w:after="40"/>
            </w:pPr>
            <w:r>
              <w:rPr>
                <w:b/>
                <w:bCs/>
                <w:i w:val="false"/>
                <w:iCs w:val="false"/>
                <w:color w:val="1F4E79"/>
                <w:sz w:val="17"/>
                <w:szCs w:val="17"/>
              </w:rPr>
              <w:t xml:space="preserve">ACIP Oct 2024 MMWR — mm7349a3 (73(49);1124)</w:t>
            </w:r>
          </w:p>
          <w:p>
            <w:pPr>
              <w:spacing w:after="40"/>
            </w:pPr>
            <w:r>
              <w:rPr>
                <w:b w:val="false"/>
                <w:bCs w:val="false"/>
                <w:i/>
                <w:iCs/>
                <w:sz w:val="17"/>
                <w:szCs w:val="17"/>
              </w:rPr>
              <w:t xml:space="preserve">“ACIP recommends that MenB-4C be administered as a 3-dose series at 0, 1–2, and 6 months to persons aged ≥10 years who are at increased risk for serogroup B meningococcal disease”</w:t>
            </w:r>
          </w:p>
        </w:tc>
        <w:tc>
          <w:tcPr>
            <w:tcW w:type="dxa" w:w="280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RESOLVED (see row 7) — the 3-dose 4C high-risk series is confirmed by mm7349a3. Cite mm7349a3; drop the CDC page chip.</w:t>
            </w:r>
          </w:p>
        </w:tc>
      </w:tr>
      <w:tr>
        <w:tc>
          <w:tcPr>
            <w:tcW w:type="dxa" w:w="460"/>
            <w:shd w:fill="FFFFFF" w:color="auto" w:val="clear"/>
            <w:tcMar>
              <w:top w:type="dxa" w:w="40"/>
              <w:left w:type="dxa" w:w="70"/>
              <w:bottom w:type="dxa" w:w="40"/>
              <w:right w:type="dxa" w:w="70"/>
            </w:tcMar>
          </w:tcPr>
          <w:p>
            <w:pPr>
              <w:spacing w:after="40"/>
            </w:pPr>
            <w:r>
              <w:rPr>
                <w:b/>
                <w:bCs/>
                <w:i w:val="false"/>
                <w:iCs w:val="false"/>
                <w:sz w:val="17"/>
                <w:szCs w:val="17"/>
              </w:rPr>
              <w:t xml:space="preserve">31</w:t>
            </w:r>
          </w:p>
        </w:tc>
        <w:tc>
          <w:tcPr>
            <w:tcW w:type="dxa" w:w="2900"/>
            <w:shd w:fill="FFFFFF" w:color="auto" w:val="clear"/>
            <w:tcMar>
              <w:top w:type="dxa" w:w="40"/>
              <w:left w:type="dxa" w:w="70"/>
              <w:bottom w:type="dxa" w:w="40"/>
              <w:right w:type="dxa" w:w="70"/>
            </w:tcMar>
          </w:tcPr>
          <w:p>
            <w:pPr>
              <w:spacing w:after="40"/>
            </w:pPr>
            <w:r>
              <w:rPr>
                <w:b/>
                <w:bCs/>
                <w:i w:val="false"/>
                <w:iCs w:val="false"/>
                <w:sz w:val="17"/>
                <w:szCs w:val="17"/>
              </w:rPr>
              <w:t xml:space="preserve">MenB</w:t>
            </w:r>
          </w:p>
          <w:p>
            <w:pPr>
              <w:spacing w:after="40"/>
            </w:pPr>
            <w:r>
              <w:rPr>
                <w:b w:val="false"/>
                <w:bCs w:val="false"/>
                <w:i w:val="false"/>
                <w:iCs w:val="false"/>
                <w:sz w:val="17"/>
                <w:szCs w:val="17"/>
              </w:rPr>
              <w:t xml:space="preserve">risk-based — Dose 3 of 3 (high-risk, 4C)</w:t>
            </w:r>
          </w:p>
        </w:tc>
        <w:tc>
          <w:tcPr>
            <w:tcW w:type="dxa" w:w="234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 CDC Meningococcal Recommendations</w:t>
            </w:r>
          </w:p>
        </w:tc>
        <w:tc>
          <w:tcPr>
            <w:tcW w:type="dxa" w:w="5900"/>
            <w:shd w:fill="FFFFFF" w:color="auto" w:val="clear"/>
            <w:tcMar>
              <w:top w:type="dxa" w:w="40"/>
              <w:left w:type="dxa" w:w="70"/>
              <w:bottom w:type="dxa" w:w="40"/>
              <w:right w:type="dxa" w:w="70"/>
            </w:tcMar>
          </w:tcPr>
          <w:p>
            <w:pPr>
              <w:spacing w:after="40"/>
            </w:pPr>
            <w:r>
              <w:rPr>
                <w:b/>
                <w:bCs/>
                <w:i w:val="false"/>
                <w:iCs w:val="false"/>
                <w:color w:val="1F4E79"/>
                <w:sz w:val="17"/>
                <w:szCs w:val="17"/>
              </w:rPr>
              <w:t xml:space="preserve">ACIP Oct 2024 MMWR — mm7349a3 (73(49);1124)</w:t>
            </w:r>
          </w:p>
          <w:p>
            <w:pPr>
              <w:spacing w:after="40"/>
            </w:pPr>
            <w:r>
              <w:rPr>
                <w:b w:val="false"/>
                <w:bCs w:val="false"/>
                <w:i/>
                <w:iCs/>
                <w:sz w:val="17"/>
                <w:szCs w:val="17"/>
              </w:rPr>
              <w:t xml:space="preserve">“ACIP recommends that MenB-4C be administered as a 3-dose series at 0, 1–2, and 6 months to persons aged ≥10 years who are at increased risk for serogroup B meningococcal disease”</w:t>
            </w:r>
          </w:p>
          <w:p>
            <w:pPr>
              <w:spacing w:after="40"/>
            </w:pPr>
            <w:r>
              <w:rPr>
                <w:b w:val="false"/>
                <w:bCs w:val="false"/>
                <w:i/>
                <w:iCs/>
                <w:color w:val="555555"/>
                <w:sz w:val="17"/>
                <w:szCs w:val="17"/>
              </w:rPr>
              <w:t xml:space="preserve">Dose-3 interval detail: "a third dose is not needed if the second dose was administered ≥6 months after the first dose."</w:t>
            </w:r>
          </w:p>
        </w:tc>
        <w:tc>
          <w:tcPr>
            <w:tcW w:type="dxa" w:w="280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RESOLVED (see row 7) — cite mm7349a3; drop the CDC page chip.</w:t>
            </w:r>
          </w:p>
        </w:tc>
      </w:tr>
      <w:tr>
        <w:tc>
          <w:tcPr>
            <w:tcW w:type="dxa" w:w="460"/>
            <w:shd w:fill="E9E9E9" w:color="auto" w:val="clear"/>
            <w:tcMar>
              <w:top w:type="dxa" w:w="40"/>
              <w:left w:type="dxa" w:w="70"/>
              <w:bottom w:type="dxa" w:w="40"/>
              <w:right w:type="dxa" w:w="70"/>
            </w:tcMar>
          </w:tcPr>
          <w:p>
            <w:pPr>
              <w:spacing w:after="40"/>
            </w:pPr>
            <w:r>
              <w:rPr>
                <w:b/>
                <w:bCs/>
                <w:i w:val="false"/>
                <w:iCs w:val="false"/>
                <w:sz w:val="17"/>
                <w:szCs w:val="17"/>
              </w:rPr>
              <w:t xml:space="preserve">32</w:t>
            </w:r>
          </w:p>
        </w:tc>
        <w:tc>
          <w:tcPr>
            <w:tcW w:type="dxa" w:w="2900"/>
            <w:shd w:fill="E9E9E9" w:color="auto" w:val="clear"/>
            <w:tcMar>
              <w:top w:type="dxa" w:w="40"/>
              <w:left w:type="dxa" w:w="70"/>
              <w:bottom w:type="dxa" w:w="40"/>
              <w:right w:type="dxa" w:w="70"/>
            </w:tcMar>
          </w:tcPr>
          <w:p>
            <w:pPr>
              <w:spacing w:after="40"/>
            </w:pPr>
            <w:r>
              <w:rPr>
                <w:b/>
                <w:bCs/>
                <w:i w:val="false"/>
                <w:iCs w:val="false"/>
                <w:sz w:val="17"/>
                <w:szCs w:val="17"/>
              </w:rPr>
              <w:t xml:space="preserve">MenB</w:t>
            </w:r>
          </w:p>
          <w:p>
            <w:pPr>
              <w:spacing w:after="40"/>
            </w:pPr>
            <w:r>
              <w:rPr>
                <w:b w:val="false"/>
                <w:bCs w:val="false"/>
                <w:i w:val="false"/>
                <w:iCs w:val="false"/>
                <w:sz w:val="17"/>
                <w:szCs w:val="17"/>
              </w:rPr>
              <w:t xml:space="preserve">risk-based — Booster (dose 4, 1 year after primary)</w:t>
            </w:r>
          </w:p>
        </w:tc>
        <w:tc>
          <w:tcPr>
            <w:tcW w:type="dxa" w:w="234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 CDC Meningococcal Recommendations</w:t>
            </w:r>
          </w:p>
        </w:tc>
        <w:tc>
          <w:tcPr>
            <w:tcW w:type="dxa" w:w="5900"/>
            <w:shd w:fill="E9E9E9" w:color="auto" w:val="clear"/>
            <w:tcMar>
              <w:top w:type="dxa" w:w="40"/>
              <w:left w:type="dxa" w:w="70"/>
              <w:bottom w:type="dxa" w:w="40"/>
              <w:right w:type="dxa" w:w="70"/>
            </w:tcMar>
          </w:tcPr>
          <w:p>
            <w:pPr>
              <w:spacing w:after="40"/>
            </w:pPr>
            <w:r>
              <w:rPr>
                <w:b/>
                <w:bCs/>
                <w:i w:val="false"/>
                <w:iCs w:val="false"/>
                <w:color w:val="1F4E79"/>
                <w:sz w:val="17"/>
                <w:szCs w:val="17"/>
              </w:rPr>
              <w:t xml:space="preserve">ACIP 2025 MMWR — PMC12782235</w:t>
            </w:r>
          </w:p>
          <w:p>
            <w:pPr>
              <w:spacing w:after="40"/>
            </w:pPr>
            <w:r>
              <w:rPr>
                <w:b w:val="false"/>
                <w:bCs w:val="false"/>
                <w:i/>
                <w:iCs/>
                <w:sz w:val="17"/>
                <w:szCs w:val="17"/>
              </w:rPr>
              <w:t xml:space="preserve">“…the first booster dose should be given 1 year after the primary series, with additional boosters every 2–3 years if the risk remains (Box)”</w:t>
            </w:r>
          </w:p>
          <w:p>
            <w:pPr>
              <w:spacing w:after="40"/>
            </w:pPr>
            <w:r>
              <w:rPr>
                <w:b w:val="false"/>
                <w:bCs w:val="false"/>
                <w:i/>
                <w:iCs/>
                <w:color w:val="555555"/>
                <w:sz w:val="17"/>
                <w:szCs w:val="17"/>
              </w:rPr>
              <w:t xml:space="preserve">2020 alt: "Single dose at 1 yr after completion of primary vaccination and every 2–3 yrs thereafter"</w:t>
            </w:r>
          </w:p>
        </w:tc>
        <w:tc>
          <w:tcPr>
            <w:tcW w:type="dxa" w:w="280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Consolidate: drop the "CDC Meningococcal Recommendations" chip — the 1-year / every-2–3-year cadence is now a clean verbatim MMWR sentence (2025 Box, or the 2020 table).</w:t>
            </w:r>
          </w:p>
        </w:tc>
      </w:tr>
      <w:tr>
        <w:tc>
          <w:tcPr>
            <w:tcW w:type="dxa" w:w="460"/>
            <w:shd w:fill="FFFFFF" w:color="auto" w:val="clear"/>
            <w:tcMar>
              <w:top w:type="dxa" w:w="40"/>
              <w:left w:type="dxa" w:w="70"/>
              <w:bottom w:type="dxa" w:w="40"/>
              <w:right w:type="dxa" w:w="70"/>
            </w:tcMar>
          </w:tcPr>
          <w:p>
            <w:pPr>
              <w:spacing w:after="40"/>
            </w:pPr>
            <w:r>
              <w:rPr>
                <w:b/>
                <w:bCs/>
                <w:i w:val="false"/>
                <w:iCs w:val="false"/>
                <w:sz w:val="17"/>
                <w:szCs w:val="17"/>
              </w:rPr>
              <w:t xml:space="preserve">33</w:t>
            </w:r>
          </w:p>
        </w:tc>
        <w:tc>
          <w:tcPr>
            <w:tcW w:type="dxa" w:w="2900"/>
            <w:shd w:fill="FFFFFF" w:color="auto" w:val="clear"/>
            <w:tcMar>
              <w:top w:type="dxa" w:w="40"/>
              <w:left w:type="dxa" w:w="70"/>
              <w:bottom w:type="dxa" w:w="40"/>
              <w:right w:type="dxa" w:w="70"/>
            </w:tcMar>
          </w:tcPr>
          <w:p>
            <w:pPr>
              <w:spacing w:after="40"/>
            </w:pPr>
            <w:r>
              <w:rPr>
                <w:b/>
                <w:bCs/>
                <w:i w:val="false"/>
                <w:iCs w:val="false"/>
                <w:sz w:val="17"/>
                <w:szCs w:val="17"/>
              </w:rPr>
              <w:t xml:space="preserve">MenACWY</w:t>
            </w:r>
          </w:p>
          <w:p>
            <w:pPr>
              <w:spacing w:after="40"/>
            </w:pPr>
            <w:r>
              <w:rPr>
                <w:b w:val="false"/>
                <w:bCs w:val="false"/>
                <w:i w:val="false"/>
                <w:iCs w:val="false"/>
                <w:sz w:val="17"/>
                <w:szCs w:val="17"/>
              </w:rPr>
              <w:t xml:space="preserve">catchup — Dose 1 (catch-up, ≥16y, no booster needed)</w:t>
            </w:r>
          </w:p>
        </w:tc>
        <w:tc>
          <w:tcPr>
            <w:tcW w:type="dxa" w:w="234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ACIP 2020 MMWR</w:t>
            </w:r>
          </w:p>
        </w:tc>
        <w:tc>
          <w:tcPr>
            <w:tcW w:type="dxa" w:w="5900"/>
            <w:shd w:fill="FFFFFF" w:color="auto" w:val="clear"/>
            <w:tcMar>
              <w:top w:type="dxa" w:w="40"/>
              <w:left w:type="dxa" w:w="70"/>
              <w:bottom w:type="dxa" w:w="40"/>
              <w:right w:type="dxa" w:w="70"/>
            </w:tcMar>
          </w:tcPr>
          <w:p>
            <w:pPr>
              <w:spacing w:after="40"/>
            </w:pPr>
            <w:r>
              <w:rPr>
                <w:b/>
                <w:bCs/>
                <w:i w:val="false"/>
                <w:iCs w:val="false"/>
                <w:color w:val="1F4E79"/>
                <w:sz w:val="17"/>
                <w:szCs w:val="17"/>
              </w:rPr>
              <w:t xml:space="preserve">ACIP 2020 MMWR — PMC7527029</w:t>
            </w:r>
          </w:p>
          <w:p>
            <w:pPr>
              <w:spacing w:after="40"/>
            </w:pPr>
            <w:r>
              <w:rPr>
                <w:b w:val="false"/>
                <w:bCs w:val="false"/>
                <w:i/>
                <w:iCs/>
                <w:sz w:val="17"/>
                <w:szCs w:val="17"/>
              </w:rPr>
              <w:t xml:space="preserve">“Adolescents who receive a first dose after their 16th birthday do not need a booster dose unless they become at increased risk for meningococcal disease”</w:t>
            </w:r>
          </w:p>
        </w:tc>
        <w:tc>
          <w:tcPr>
            <w:tcW w:type="dxa" w:w="280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THE SPECIFIC CHANGE: this branch claims "a first dose at ≥16y needs no booster" but its inline quote is the generic routine sentence, which does not say that. Point the noteCite at THIS sentence (a different one from row 27 — this is the "no booster if first dose after the 16th birthday" rule, which is the exact claim here). Add it as a new CITATIONS entry (e.g. acwyFirstDoseAfter16NoBooster). Logic unchanged; only the hover-quote becomes exact.</w:t>
            </w:r>
          </w:p>
        </w:tc>
      </w:tr>
      <w:tr>
        <w:tc>
          <w:tcPr>
            <w:tcW w:type="dxa" w:w="460"/>
            <w:shd w:fill="E9E9E9" w:color="auto" w:val="clear"/>
            <w:tcMar>
              <w:top w:type="dxa" w:w="40"/>
              <w:left w:type="dxa" w:w="70"/>
              <w:bottom w:type="dxa" w:w="40"/>
              <w:right w:type="dxa" w:w="70"/>
            </w:tcMar>
          </w:tcPr>
          <w:p>
            <w:pPr>
              <w:spacing w:after="40"/>
            </w:pPr>
            <w:r>
              <w:rPr>
                <w:b/>
                <w:bCs/>
                <w:i w:val="false"/>
                <w:iCs w:val="false"/>
                <w:sz w:val="17"/>
                <w:szCs w:val="17"/>
              </w:rPr>
              <w:t xml:space="preserve">34</w:t>
            </w:r>
          </w:p>
        </w:tc>
        <w:tc>
          <w:tcPr>
            <w:tcW w:type="dxa" w:w="2900"/>
            <w:shd w:fill="E9E9E9" w:color="auto" w:val="clear"/>
            <w:tcMar>
              <w:top w:type="dxa" w:w="40"/>
              <w:left w:type="dxa" w:w="70"/>
              <w:bottom w:type="dxa" w:w="40"/>
              <w:right w:type="dxa" w:w="70"/>
            </w:tcMar>
          </w:tcPr>
          <w:p>
            <w:pPr>
              <w:spacing w:after="40"/>
            </w:pPr>
            <w:r>
              <w:rPr>
                <w:b/>
                <w:bCs/>
                <w:i w:val="false"/>
                <w:iCs w:val="false"/>
                <w:sz w:val="17"/>
                <w:szCs w:val="17"/>
              </w:rPr>
              <w:t xml:space="preserve">MenB</w:t>
            </w:r>
          </w:p>
          <w:p>
            <w:pPr>
              <w:spacing w:after="40"/>
            </w:pPr>
            <w:r>
              <w:rPr>
                <w:b w:val="false"/>
                <w:bCs w:val="false"/>
                <w:i w:val="false"/>
                <w:iCs w:val="false"/>
                <w:sz w:val="17"/>
                <w:szCs w:val="17"/>
              </w:rPr>
              <w:t xml:space="preserve">shared-decision — Dose 2 of 2 (4C) [incl. early-dose-2 rescue]</w:t>
            </w:r>
          </w:p>
        </w:tc>
        <w:tc>
          <w:tcPr>
            <w:tcW w:type="dxa" w:w="234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CDC MenB Notes; Penmenvy MMWR 2026;75(1)</w:t>
            </w:r>
          </w:p>
        </w:tc>
        <w:tc>
          <w:tcPr>
            <w:tcW w:type="dxa" w:w="5900"/>
            <w:shd w:fill="E9E9E9" w:color="auto" w:val="clear"/>
            <w:tcMar>
              <w:top w:type="dxa" w:w="40"/>
              <w:left w:type="dxa" w:w="70"/>
              <w:bottom w:type="dxa" w:w="40"/>
              <w:right w:type="dxa" w:w="70"/>
            </w:tcMar>
          </w:tcPr>
          <w:p>
            <w:pPr>
              <w:spacing w:after="40"/>
            </w:pPr>
            <w:r>
              <w:rPr>
                <w:b/>
                <w:bCs/>
                <w:i w:val="false"/>
                <w:iCs w:val="false"/>
                <w:color w:val="1F4E79"/>
                <w:sz w:val="17"/>
                <w:szCs w:val="17"/>
              </w:rPr>
              <w:t xml:space="preserve">ACIP Oct 2024 MMWR — mm7349a3 (73(49);1124)</w:t>
            </w:r>
          </w:p>
          <w:p>
            <w:pPr>
              <w:spacing w:after="40"/>
            </w:pPr>
            <w:r>
              <w:rPr>
                <w:b w:val="false"/>
                <w:bCs w:val="false"/>
                <w:i/>
                <w:iCs/>
                <w:sz w:val="17"/>
                <w:szCs w:val="17"/>
              </w:rPr>
              <w:t xml:space="preserve">“the 2 doses should be separated by 6 months. If the second dose is administered &lt;6 months after the first dose, a third dose should be administered ≥4 months after the second dose”</w:t>
            </w:r>
          </w:p>
          <w:p>
            <w:pPr>
              <w:spacing w:after="40"/>
            </w:pPr>
            <w:r>
              <w:rPr>
                <w:b w:val="false"/>
                <w:bCs w:val="false"/>
                <w:i/>
                <w:iCs/>
                <w:color w:val="555555"/>
                <w:sz w:val="17"/>
                <w:szCs w:val="17"/>
              </w:rPr>
              <w:t xml:space="preserve">Also: "A second dose administered at an interval &gt;6 months after the first dose is valid and does not need to be repeated."</w:t>
            </w:r>
          </w:p>
        </w:tc>
        <w:tc>
          <w:tcPr>
            <w:tcW w:type="dxa" w:w="280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RESOLVED — mm7349a3 states the ≥6-month interval AND the rescue-dose rule (dose 2 early → third dose ≥4 months later) in one place, matching the app’s logic exactly. Cite mm7349a3; drop the CDC MenB Notes chip.</w:t>
            </w:r>
          </w:p>
        </w:tc>
      </w:tr>
      <w:tr>
        <w:tc>
          <w:tcPr>
            <w:tcW w:type="dxa" w:w="460"/>
            <w:shd w:fill="FFFFFF" w:color="auto" w:val="clear"/>
            <w:tcMar>
              <w:top w:type="dxa" w:w="40"/>
              <w:left w:type="dxa" w:w="70"/>
              <w:bottom w:type="dxa" w:w="40"/>
              <w:right w:type="dxa" w:w="70"/>
            </w:tcMar>
          </w:tcPr>
          <w:p>
            <w:pPr>
              <w:spacing w:after="40"/>
            </w:pPr>
            <w:r>
              <w:rPr>
                <w:b/>
                <w:bCs/>
                <w:i w:val="false"/>
                <w:iCs w:val="false"/>
                <w:sz w:val="17"/>
                <w:szCs w:val="17"/>
              </w:rPr>
              <w:t xml:space="preserve">35</w:t>
            </w:r>
          </w:p>
        </w:tc>
        <w:tc>
          <w:tcPr>
            <w:tcW w:type="dxa" w:w="2900"/>
            <w:shd w:fill="FFFFFF" w:color="auto" w:val="clear"/>
            <w:tcMar>
              <w:top w:type="dxa" w:w="40"/>
              <w:left w:type="dxa" w:w="70"/>
              <w:bottom w:type="dxa" w:w="40"/>
              <w:right w:type="dxa" w:w="70"/>
            </w:tcMar>
          </w:tcPr>
          <w:p>
            <w:pPr>
              <w:spacing w:after="40"/>
            </w:pPr>
            <w:r>
              <w:rPr>
                <w:b/>
                <w:bCs/>
                <w:i w:val="false"/>
                <w:iCs w:val="false"/>
                <w:sz w:val="17"/>
                <w:szCs w:val="17"/>
              </w:rPr>
              <w:t xml:space="preserve">MenB</w:t>
            </w:r>
          </w:p>
          <w:p>
            <w:pPr>
              <w:spacing w:after="40"/>
            </w:pPr>
            <w:r>
              <w:rPr>
                <w:b w:val="false"/>
                <w:bCs w:val="false"/>
                <w:i w:val="false"/>
                <w:iCs w:val="false"/>
                <w:sz w:val="17"/>
                <w:szCs w:val="17"/>
              </w:rPr>
              <w:t xml:space="preserve">complete — Complete (2-dose series)</w:t>
            </w:r>
          </w:p>
        </w:tc>
        <w:tc>
          <w:tcPr>
            <w:tcW w:type="dxa" w:w="234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CDC MenB Notes</w:t>
            </w:r>
          </w:p>
        </w:tc>
        <w:tc>
          <w:tcPr>
            <w:tcW w:type="dxa" w:w="5900"/>
            <w:shd w:fill="FFFFFF" w:color="auto" w:val="clear"/>
            <w:tcMar>
              <w:top w:type="dxa" w:w="40"/>
              <w:left w:type="dxa" w:w="70"/>
              <w:bottom w:type="dxa" w:w="40"/>
              <w:right w:type="dxa" w:w="70"/>
            </w:tcMar>
          </w:tcPr>
          <w:p>
            <w:pPr>
              <w:spacing w:after="40"/>
            </w:pPr>
            <w:r>
              <w:rPr>
                <w:b/>
                <w:bCs/>
                <w:i w:val="false"/>
                <w:iCs w:val="false"/>
                <w:color w:val="1F4E79"/>
                <w:sz w:val="17"/>
                <w:szCs w:val="17"/>
              </w:rPr>
              <w:t xml:space="preserve">ACIP 2025 MMWR — PMC12782235</w:t>
            </w:r>
          </w:p>
          <w:p>
            <w:pPr>
              <w:spacing w:after="40"/>
            </w:pPr>
            <w:r>
              <w:rPr>
                <w:b w:val="false"/>
                <w:bCs w:val="false"/>
                <w:i/>
                <w:iCs/>
                <w:sz w:val="17"/>
                <w:szCs w:val="17"/>
              </w:rPr>
              <w:t xml:space="preserve">“Healthy persons aged 16–23 years: Vaccination with a 2-dose MenB series on the basis of shared clinical decision-making… (Box)”</w:t>
            </w:r>
          </w:p>
        </w:tc>
        <w:tc>
          <w:tcPr>
            <w:tcW w:type="dxa" w:w="2800"/>
            <w:shd w:fill="FFFFFF" w:color="auto" w:val="clear"/>
            <w:tcMar>
              <w:top w:type="dxa" w:w="40"/>
              <w:left w:type="dxa" w:w="70"/>
              <w:bottom w:type="dxa" w:w="40"/>
              <w:right w:type="dxa" w:w="70"/>
            </w:tcMar>
          </w:tcPr>
          <w:p>
            <w:pPr>
              <w:spacing w:after="40"/>
            </w:pPr>
            <w:r>
              <w:rPr>
                <w:b w:val="false"/>
                <w:bCs w:val="false"/>
                <w:i w:val="false"/>
                <w:iCs w:val="false"/>
                <w:sz w:val="17"/>
                <w:szCs w:val="17"/>
              </w:rPr>
              <w:t xml:space="preserve">Consolidate: replace the lone "CDC MenB Notes" chip with the 2025 MMWR 2-dose sentence.</w:t>
            </w:r>
          </w:p>
        </w:tc>
      </w:tr>
      <w:tr>
        <w:tc>
          <w:tcPr>
            <w:tcW w:type="dxa" w:w="460"/>
            <w:shd w:fill="E9E9E9" w:color="auto" w:val="clear"/>
            <w:tcMar>
              <w:top w:type="dxa" w:w="40"/>
              <w:left w:type="dxa" w:w="70"/>
              <w:bottom w:type="dxa" w:w="40"/>
              <w:right w:type="dxa" w:w="70"/>
            </w:tcMar>
          </w:tcPr>
          <w:p>
            <w:pPr>
              <w:spacing w:after="40"/>
            </w:pPr>
            <w:r>
              <w:rPr>
                <w:b/>
                <w:bCs/>
                <w:i w:val="false"/>
                <w:iCs w:val="false"/>
                <w:sz w:val="17"/>
                <w:szCs w:val="17"/>
              </w:rPr>
              <w:t xml:space="preserve">36</w:t>
            </w:r>
          </w:p>
        </w:tc>
        <w:tc>
          <w:tcPr>
            <w:tcW w:type="dxa" w:w="2900"/>
            <w:shd w:fill="E9E9E9" w:color="auto" w:val="clear"/>
            <w:tcMar>
              <w:top w:type="dxa" w:w="40"/>
              <w:left w:type="dxa" w:w="70"/>
              <w:bottom w:type="dxa" w:w="40"/>
              <w:right w:type="dxa" w:w="70"/>
            </w:tcMar>
          </w:tcPr>
          <w:p>
            <w:pPr>
              <w:spacing w:after="40"/>
            </w:pPr>
            <w:r>
              <w:rPr>
                <w:b/>
                <w:bCs/>
                <w:i w:val="false"/>
                <w:iCs w:val="false"/>
                <w:sz w:val="17"/>
                <w:szCs w:val="17"/>
              </w:rPr>
              <w:t xml:space="preserve">MenB</w:t>
            </w:r>
          </w:p>
          <w:p>
            <w:pPr>
              <w:spacing w:after="40"/>
            </w:pPr>
            <w:r>
              <w:rPr>
                <w:b w:val="false"/>
                <w:bCs w:val="false"/>
                <w:i w:val="false"/>
                <w:iCs w:val="false"/>
                <w:sz w:val="17"/>
                <w:szCs w:val="17"/>
              </w:rPr>
              <w:t xml:space="preserve">complete — Complete (accelerated 3-dose series)</w:t>
            </w:r>
          </w:p>
        </w:tc>
        <w:tc>
          <w:tcPr>
            <w:tcW w:type="dxa" w:w="234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CDC MenB Notes</w:t>
            </w:r>
          </w:p>
        </w:tc>
        <w:tc>
          <w:tcPr>
            <w:tcW w:type="dxa" w:w="5900"/>
            <w:shd w:fill="E9E9E9" w:color="auto" w:val="clear"/>
            <w:tcMar>
              <w:top w:type="dxa" w:w="40"/>
              <w:left w:type="dxa" w:w="70"/>
              <w:bottom w:type="dxa" w:w="40"/>
              <w:right w:type="dxa" w:w="70"/>
            </w:tcMar>
          </w:tcPr>
          <w:p>
            <w:pPr>
              <w:spacing w:after="40"/>
            </w:pPr>
            <w:r>
              <w:rPr>
                <w:b/>
                <w:bCs/>
                <w:i w:val="false"/>
                <w:iCs w:val="false"/>
                <w:color w:val="1F4E79"/>
                <w:sz w:val="17"/>
                <w:szCs w:val="17"/>
              </w:rPr>
              <w:t xml:space="preserve">ACIP Oct 2024 MMWR — mm7349a3 (73(49);1124)</w:t>
            </w:r>
          </w:p>
          <w:p>
            <w:pPr>
              <w:spacing w:after="40"/>
            </w:pPr>
            <w:r>
              <w:rPr>
                <w:b w:val="false"/>
                <w:bCs w:val="false"/>
                <w:i/>
                <w:iCs/>
                <w:sz w:val="17"/>
                <w:szCs w:val="17"/>
              </w:rPr>
              <w:t xml:space="preserve">“Persons receiving a MenB vaccine based on shared clinical decision-making who desire more rapid protection against serogroup B (e.g., students initiating vaccination &lt;6 months before college entry) may receive the 3-dose series (0, 1–2, and 6 months) to optimize rapid protection. This guidance applies to both MenB-4C and MenB-FHbp.”</w:t>
            </w:r>
          </w:p>
        </w:tc>
        <w:tc>
          <w:tcPr>
            <w:tcW w:type="dxa" w:w="2800"/>
            <w:shd w:fill="E9E9E9" w:color="auto" w:val="clear"/>
            <w:tcMar>
              <w:top w:type="dxa" w:w="40"/>
              <w:left w:type="dxa" w:w="70"/>
              <w:bottom w:type="dxa" w:w="40"/>
              <w:right w:type="dxa" w:w="70"/>
            </w:tcMar>
          </w:tcPr>
          <w:p>
            <w:pPr>
              <w:spacing w:after="40"/>
            </w:pPr>
            <w:r>
              <w:rPr>
                <w:b w:val="false"/>
                <w:bCs w:val="false"/>
                <w:i w:val="false"/>
                <w:iCs w:val="false"/>
                <w:sz w:val="17"/>
                <w:szCs w:val="17"/>
              </w:rPr>
              <w:t xml:space="preserve">RESOLVED — mm7349a3 explicitly authorises the healthy accelerated 3-dose series for rapid protection, both families. Cite mm7349a3 (this is a cleaner MMWR source than the immunize.org Trumenba/university Q&amp;A you offered — that Q&amp;A works as a fallback but is not needed). Replace the CDC MenB Notes chip.</w:t>
            </w:r>
          </w:p>
        </w:tc>
      </w:tr>
    </w:tbl>
    <w:p>
      <w:pPr>
        <w:spacing w:after="120"/>
      </w:pPr>
      <w:r>
        <w:rPr>
          <w:sz w:val="2"/>
          <w:szCs w:val="2"/>
        </w:rPr>
        <w:t xml:space="preserve"/>
      </w:r>
    </w:p>
    <w:p>
      <w:pPr>
        <w:pStyle w:val="Heading1"/>
        <w:spacing w:after="80" w:before="200"/>
      </w:pPr>
      <w:r>
        <w:rPr>
          <w:b/>
          <w:bCs/>
          <w:color w:val="2F5496"/>
          <w:sz w:val="26"/>
          <w:szCs w:val="26"/>
        </w:rPr>
        <w:t xml:space="preserve">Source documents (all verified live 2026-07-24)</w:t>
      </w:r>
    </w:p>
    <w:p>
      <w:pPr>
        <w:pStyle w:val="ListParagraph"/>
        <w:numPr>
          <w:ilvl w:val="0"/>
          <w:numId w:val="1"/>
        </w:numPr>
        <w:spacing w:after="40"/>
      </w:pPr>
      <w:r>
        <w:rPr>
          <w:b/>
          <w:bCs/>
          <w:i w:val="false"/>
          <w:iCs w:val="false"/>
          <w:sz w:val="19"/>
          <w:szCs w:val="19"/>
        </w:rPr>
        <w:t xml:space="preserve">ACIP 2020 MMWR (RR-9): </w:t>
      </w:r>
      <w:r>
        <w:rPr>
          <w:b w:val="false"/>
          <w:bCs w:val="false"/>
          <w:i w:val="false"/>
          <w:iCs w:val="false"/>
          <w:sz w:val="19"/>
          <w:szCs w:val="19"/>
        </w:rPr>
        <w:t xml:space="preserve">https://pmc.ncbi.nlm.nih.gov/articles/PMC7527029/</w:t>
      </w:r>
    </w:p>
    <w:p>
      <w:pPr>
        <w:pStyle w:val="ListParagraph"/>
        <w:numPr>
          <w:ilvl w:val="0"/>
          <w:numId w:val="1"/>
        </w:numPr>
        <w:spacing w:after="40"/>
      </w:pPr>
      <w:r>
        <w:rPr>
          <w:b/>
          <w:bCs/>
          <w:i w:val="false"/>
          <w:iCs w:val="false"/>
          <w:sz w:val="19"/>
          <w:szCs w:val="19"/>
        </w:rPr>
        <w:t xml:space="preserve">ACIP Oct 2024 MMWR — Bexsero MenB-4C dosing update (73(49);1124): </w:t>
      </w:r>
      <w:r>
        <w:rPr>
          <w:b w:val="false"/>
          <w:bCs w:val="false"/>
          <w:i w:val="false"/>
          <w:iCs w:val="false"/>
          <w:sz w:val="19"/>
          <w:szCs w:val="19"/>
        </w:rPr>
        <w:t xml:space="preserve">https://www.cdc.gov/mmwr/volumes/73/wr/mm7349a3.htm  — resolves ALL MenB-4C schedule rows; supersedes the 2020 4C table.</w:t>
      </w:r>
    </w:p>
    <w:p>
      <w:pPr>
        <w:pStyle w:val="ListParagraph"/>
        <w:numPr>
          <w:ilvl w:val="0"/>
          <w:numId w:val="1"/>
        </w:numPr>
        <w:spacing w:after="40"/>
      </w:pPr>
      <w:r>
        <w:rPr>
          <w:b/>
          <w:bCs/>
          <w:i w:val="false"/>
          <w:iCs w:val="false"/>
          <w:sz w:val="19"/>
          <w:szCs w:val="19"/>
        </w:rPr>
        <w:t xml:space="preserve">ACIP 2025 MMWR (2026;75(1), GSK Penmenvy): </w:t>
      </w:r>
      <w:r>
        <w:rPr>
          <w:b w:val="false"/>
          <w:bCs w:val="false"/>
          <w:i w:val="false"/>
          <w:iCs w:val="false"/>
          <w:sz w:val="19"/>
          <w:szCs w:val="19"/>
        </w:rPr>
        <w:t xml:space="preserve">https://pmc.ncbi.nlm.nih.gov/articles/PMC12782235/</w:t>
      </w:r>
    </w:p>
    <w:p>
      <w:pPr>
        <w:pStyle w:val="ListParagraph"/>
        <w:numPr>
          <w:ilvl w:val="0"/>
          <w:numId w:val="1"/>
        </w:numPr>
        <w:spacing w:after="40"/>
      </w:pPr>
      <w:r>
        <w:rPr>
          <w:b/>
          <w:bCs/>
          <w:i w:val="false"/>
          <w:iCs w:val="false"/>
          <w:sz w:val="19"/>
          <w:szCs w:val="19"/>
        </w:rPr>
        <w:t xml:space="preserve">Pfizer Penbraya MMWR (2024;73(15)): </w:t>
      </w:r>
      <w:r>
        <w:rPr>
          <w:b w:val="false"/>
          <w:bCs w:val="false"/>
          <w:i w:val="false"/>
          <w:iCs w:val="false"/>
          <w:sz w:val="19"/>
          <w:szCs w:val="19"/>
        </w:rPr>
        <w:t xml:space="preserve">https://www.cdc.gov/mmwr/volumes/73/wr/mm7315a4.htm  — source for the Penbraya pentavalent card (unchanged).</w:t>
      </w:r>
    </w:p>
    <w:p>
      <w:pPr>
        <w:pStyle w:val="ListParagraph"/>
        <w:numPr>
          <w:ilvl w:val="0"/>
          <w:numId w:val="1"/>
        </w:numPr>
        <w:spacing w:after="40"/>
      </w:pPr>
      <w:r>
        <w:rPr>
          <w:b/>
          <w:bCs/>
          <w:i w:val="false"/>
          <w:iCs w:val="false"/>
          <w:sz w:val="19"/>
          <w:szCs w:val="19"/>
        </w:rPr>
        <w:t xml:space="preserve">immunize.org — ≥22y row (row 28): </w:t>
      </w:r>
      <w:r>
        <w:rPr>
          <w:b w:val="false"/>
          <w:bCs w:val="false"/>
          <w:i w:val="false"/>
          <w:iCs w:val="false"/>
          <w:sz w:val="19"/>
          <w:szCs w:val="19"/>
        </w:rPr>
        <w:t xml:space="preserve">https://www.immunize.org/ask-experts/are-there-recommendations-for-meningococcal-acwy-vaccination-for-people-who-reside-in-homeless-shelters-or-halfway-houses-in-addition-can-you-comment-on-general-vaccination-recommendations-for-peopl/</w:t>
      </w:r>
    </w:p>
    <w:p>
      <w:pPr>
        <w:pStyle w:val="ListParagraph"/>
        <w:numPr>
          <w:ilvl w:val="0"/>
          <w:numId w:val="1"/>
        </w:numPr>
        <w:spacing w:after="40"/>
      </w:pPr>
      <w:r>
        <w:rPr>
          <w:b/>
          <w:bCs/>
          <w:i w:val="false"/>
          <w:iCs w:val="false"/>
          <w:sz w:val="19"/>
          <w:szCs w:val="19"/>
        </w:rPr>
        <w:t xml:space="preserve">Keep as-is: </w:t>
      </w:r>
      <w:r>
        <w:rPr>
          <w:b w:val="false"/>
          <w:bCs w:val="false"/>
          <w:i w:val="false"/>
          <w:iCs w:val="false"/>
          <w:sz w:val="19"/>
          <w:szCs w:val="19"/>
        </w:rPr>
        <w:t xml:space="preserve">CDC Complement-Inhibitor Guidance; immunize.org Ask the Experts (MenACWY / MenB) for the two practical-judgment rows.</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2026-07-24T17:09:11.092Z</dcterms:created>
  <dcterms:modified xsi:type="dcterms:W3CDTF">2026-07-24T17:09:11.098Z</dcterms:modified>
</cp:coreProperties>
</file>

<file path=docProps/custom.xml><?xml version="1.0" encoding="utf-8"?>
<Properties xmlns="http://schemas.openxmlformats.org/officeDocument/2006/custom-properties" xmlns:vt="http://schemas.openxmlformats.org/officeDocument/2006/docPropsVTypes"/>
</file>