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rPr>
        <w:t>Videojuego educativo para la concientización del cáncer en jóvenes</w:t>
      </w:r>
    </w:p>
    <w:p>
      <w:pPr>
        <w:spacing w:line="480" w:lineRule="auto"/>
        <w:jc w:val="center"/>
      </w:pPr>
      <w:r>
        <w:t>Juan José Coime Solís</w:t>
      </w:r>
    </w:p>
    <w:p>
      <w:pPr>
        <w:spacing w:line="480" w:lineRule="auto"/>
      </w:pPr>
      <w:r>
        <w:rPr>
          <w:b/>
        </w:rPr>
        <w:t>Abstract</w:t>
      </w:r>
    </w:p>
    <w:p>
      <w:pPr>
        <w:spacing w:line="480" w:lineRule="auto"/>
        <w:ind w:firstLine="720"/>
      </w:pPr>
      <w:r>
        <w:rPr>
          <w:b w:val="0"/>
        </w:rPr>
        <w:t>This article describes the design of an educational video game supported by artificial intelligence to promote general cancer awareness among young people. Recent health education reports from 2024–2026 indicate that adolescents still present gaps in knowledge regarding early symptoms, risk factors and prevention. A descriptive methodological approach based on educational design and analysis of recent health reports was used. Results highlight the importance of interactive digital tools to improve youth health education and cancer prevention.</w:t>
      </w:r>
    </w:p>
    <w:p>
      <w:pPr>
        <w:spacing w:line="480" w:lineRule="auto"/>
      </w:pPr>
      <w:r>
        <w:rPr>
          <w:i/>
        </w:rPr>
        <w:t xml:space="preserve">Keywords: </w:t>
      </w:r>
      <w:r>
        <w:t>cancer awareness, youth education, educational video games, health education</w:t>
      </w:r>
    </w:p>
    <w:p>
      <w:pPr>
        <w:spacing w:line="480" w:lineRule="auto"/>
      </w:pPr>
      <w:r>
        <w:rPr>
          <w:b/>
        </w:rPr>
        <w:t>Resumen</w:t>
      </w:r>
    </w:p>
    <w:p>
      <w:pPr>
        <w:spacing w:line="480" w:lineRule="auto"/>
        <w:ind w:firstLine="720"/>
      </w:pPr>
      <w:r>
        <w:rPr>
          <w:b w:val="0"/>
        </w:rPr>
        <w:t>El presente artículo describe el diseño de un videojuego educativo apoyado por inteligencia artificial para concientizar a jóvenes sobre el cáncer en general. Informes recientes de educación en salud entre 2024 y 2026 señalan la necesidad de mejorar el conocimiento juvenil sobre factores de riesgo, prevención y detección temprana. Se aplicó una metodología descriptiva basada en el análisis de literatura reciente y el diseño conceptual del videojuego.</w:t>
      </w:r>
    </w:p>
    <w:p>
      <w:pPr>
        <w:spacing w:line="480" w:lineRule="auto"/>
      </w:pPr>
      <w:r>
        <w:rPr>
          <w:b/>
        </w:rPr>
        <w:t>Introducción</w:t>
      </w:r>
    </w:p>
    <w:p>
      <w:pPr>
        <w:spacing w:line="480" w:lineRule="auto"/>
        <w:ind w:firstLine="720"/>
      </w:pPr>
      <w:r>
        <w:rPr>
          <w:b w:val="0"/>
        </w:rPr>
        <w:t>El cáncer constituye una problemática de salud relevante a nivel mundial. Informes recientes de educación en salud publicados entre 2024 y 2026 señalan que muchos jóvenes presentan limitaciones en la comprensión de síntomas tempranos y factores de riesgo. Ante esta situación, los videojuegos educativos se proponen como herramientas innovadoras que facilitan el aprendizaje interactivo y la comprensión de contenidos médicos complejos.</w:t>
      </w:r>
    </w:p>
    <w:p>
      <w:pPr>
        <w:spacing w:line="480" w:lineRule="auto"/>
      </w:pPr>
      <w:r>
        <w:rPr>
          <w:b/>
        </w:rPr>
        <w:t>Metodología de análisis y recolección de datos</w:t>
      </w:r>
    </w:p>
    <w:p>
      <w:pPr>
        <w:spacing w:line="480" w:lineRule="auto"/>
        <w:ind w:firstLine="720"/>
      </w:pPr>
      <w:r>
        <w:rPr>
          <w:b w:val="0"/>
        </w:rPr>
        <w:t>Se utilizó un enfoque descriptivo basado en el análisis de informes recientes de educación en salud y campañas de concientización sobre cáncer publicadas entre 2024 y 2026. Asimismo, se desarrolló el diseño conceptual de un videojuego educativo mediante herramientas de inteligencia artificial. La información fue organizada en tablas comparativas para identificar tendencias educativas en población juvenil.</w:t>
      </w:r>
    </w:p>
    <w:p>
      <w:pPr>
        <w:spacing w:line="480" w:lineRule="auto"/>
      </w:pPr>
      <w:r>
        <w:rPr>
          <w:b/>
        </w:rPr>
        <w:t>Resultados</w:t>
      </w:r>
    </w:p>
    <w:p>
      <w:pPr>
        <w:spacing w:line="480" w:lineRule="auto"/>
        <w:ind w:firstLine="720"/>
      </w:pPr>
      <w:r>
        <w:rPr>
          <w:b w:val="0"/>
        </w:rPr>
        <w:t>Los informes recientes analizados evidencian necesidades educativas específicas en jóvenes relacionadas con la comprensión de síntomas tempranos, factores de riesgo y prevención del cáncer.</w:t>
      </w:r>
    </w:p>
    <w:p>
      <w:r>
        <w:t>Tabla 1. Necesidades educativas sobre cáncer en jóvenes (informes 2024–2026)</w:t>
      </w:r>
    </w:p>
    <w:tbl>
      <w:tblPr>
        <w:tblW w:type="auto" w:w="0"/>
        <w:tblLook w:firstColumn="1" w:firstRow="1" w:lastColumn="0" w:lastRow="0" w:noHBand="0" w:noVBand="1" w:val="04A0"/>
      </w:tblPr>
      <w:tblGrid>
        <w:gridCol w:w="4320"/>
        <w:gridCol w:w="4320"/>
      </w:tblGrid>
      <w:tr>
        <w:tc>
          <w:tcPr>
            <w:tcW w:type="dxa" w:w="4320"/>
          </w:tcPr>
          <w:p>
            <w:r>
              <w:t>Aspecto educativo identificado</w:t>
            </w:r>
          </w:p>
        </w:tc>
        <w:tc>
          <w:tcPr>
            <w:tcW w:type="dxa" w:w="4320"/>
          </w:tcPr>
          <w:p>
            <w:r>
              <w:t>Tendencia observada</w:t>
            </w:r>
          </w:p>
        </w:tc>
      </w:tr>
      <w:tr>
        <w:tc>
          <w:tcPr>
            <w:tcW w:type="dxa" w:w="4320"/>
          </w:tcPr>
          <w:p>
            <w:r>
              <w:t>Conocimiento de síntomas tempranos</w:t>
            </w:r>
          </w:p>
        </w:tc>
        <w:tc>
          <w:tcPr>
            <w:tcW w:type="dxa" w:w="4320"/>
          </w:tcPr>
          <w:p>
            <w:r>
              <w:t>Limitado</w:t>
            </w:r>
          </w:p>
        </w:tc>
      </w:tr>
      <w:tr>
        <w:tc>
          <w:tcPr>
            <w:tcW w:type="dxa" w:w="4320"/>
          </w:tcPr>
          <w:p>
            <w:r>
              <w:t>Comprensión de factores de riesgo</w:t>
            </w:r>
          </w:p>
        </w:tc>
        <w:tc>
          <w:tcPr>
            <w:tcW w:type="dxa" w:w="4320"/>
          </w:tcPr>
          <w:p>
            <w:r>
              <w:t>Moderado-bajo</w:t>
            </w:r>
          </w:p>
        </w:tc>
      </w:tr>
      <w:tr>
        <w:tc>
          <w:tcPr>
            <w:tcW w:type="dxa" w:w="4320"/>
          </w:tcPr>
          <w:p>
            <w:r>
              <w:t>Interés en herramientas digitales</w:t>
            </w:r>
          </w:p>
        </w:tc>
        <w:tc>
          <w:tcPr>
            <w:tcW w:type="dxa" w:w="4320"/>
          </w:tcPr>
          <w:p>
            <w:r>
              <w:t>Alto</w:t>
            </w:r>
          </w:p>
        </w:tc>
      </w:tr>
    </w:tbl>
    <w:p>
      <w:r>
        <w:t>Tabla 2. Beneficios educativos de videojuegos en salud juvenil (informes 2024–2026)</w:t>
      </w:r>
    </w:p>
    <w:tbl>
      <w:tblPr>
        <w:tblW w:type="auto" w:w="0"/>
        <w:tblLook w:firstColumn="1" w:firstRow="1" w:lastColumn="0" w:lastRow="0" w:noHBand="0" w:noVBand="1" w:val="04A0"/>
      </w:tblPr>
      <w:tblGrid>
        <w:gridCol w:w="4320"/>
        <w:gridCol w:w="4320"/>
      </w:tblGrid>
      <w:tr>
        <w:tc>
          <w:tcPr>
            <w:tcW w:type="dxa" w:w="4320"/>
          </w:tcPr>
          <w:p>
            <w:r>
              <w:t>Beneficio educativo</w:t>
            </w:r>
          </w:p>
        </w:tc>
        <w:tc>
          <w:tcPr>
            <w:tcW w:type="dxa" w:w="4320"/>
          </w:tcPr>
          <w:p>
            <w:r>
              <w:t>Resultado observado</w:t>
            </w:r>
          </w:p>
        </w:tc>
      </w:tr>
      <w:tr>
        <w:tc>
          <w:tcPr>
            <w:tcW w:type="dxa" w:w="4320"/>
          </w:tcPr>
          <w:p>
            <w:r>
              <w:t>Mayor participación estudiantil</w:t>
            </w:r>
          </w:p>
        </w:tc>
        <w:tc>
          <w:tcPr>
            <w:tcW w:type="dxa" w:w="4320"/>
          </w:tcPr>
          <w:p>
            <w:r>
              <w:t>Frecuente</w:t>
            </w:r>
          </w:p>
        </w:tc>
      </w:tr>
      <w:tr>
        <w:tc>
          <w:tcPr>
            <w:tcW w:type="dxa" w:w="4320"/>
          </w:tcPr>
          <w:p>
            <w:r>
              <w:t>Mejor comprensión de contenidos médicos</w:t>
            </w:r>
          </w:p>
        </w:tc>
        <w:tc>
          <w:tcPr>
            <w:tcW w:type="dxa" w:w="4320"/>
          </w:tcPr>
          <w:p>
            <w:r>
              <w:t>Positiva</w:t>
            </w:r>
          </w:p>
        </w:tc>
      </w:tr>
      <w:tr>
        <w:tc>
          <w:tcPr>
            <w:tcW w:type="dxa" w:w="4320"/>
          </w:tcPr>
          <w:p>
            <w:r>
              <w:t>Aprendizaje interactivo</w:t>
            </w:r>
          </w:p>
        </w:tc>
        <w:tc>
          <w:tcPr>
            <w:tcW w:type="dxa" w:w="4320"/>
          </w:tcPr>
          <w:p>
            <w:r>
              <w:t>Alto impacto</w:t>
            </w:r>
          </w:p>
        </w:tc>
      </w:tr>
    </w:tbl>
    <w:p>
      <w:pPr>
        <w:spacing w:line="480" w:lineRule="auto"/>
      </w:pPr>
      <w:r>
        <w:rPr>
          <w:b/>
        </w:rPr>
        <w:t>Discusión y conclusiones</w:t>
      </w:r>
    </w:p>
    <w:p>
      <w:pPr>
        <w:spacing w:line="480" w:lineRule="auto"/>
        <w:ind w:firstLine="720"/>
      </w:pPr>
      <w:r>
        <w:rPr>
          <w:b w:val="0"/>
        </w:rPr>
        <w:t>Los resultados sugieren que los jóvenes requieren estrategias educativas innovadoras para mejorar la comprensión del cáncer y su prevención. Los videojuegos educativos apoyados por inteligencia artificial representan una herramienta prometedora para fomentar la alfabetización en salud oncológica.</w:t>
      </w:r>
    </w:p>
    <w:p>
      <w:pPr>
        <w:spacing w:line="480" w:lineRule="auto"/>
      </w:pPr>
      <w:r>
        <w:rPr>
          <w:b/>
        </w:rPr>
        <w:t>Referencias</w:t>
      </w:r>
    </w:p>
    <w:p>
      <w:pPr>
        <w:spacing w:line="480" w:lineRule="auto"/>
        <w:ind w:left="720" w:hanging="720"/>
      </w:pPr>
      <w:r>
        <w:t>World Health Organization. (2024). Youth cancer awareness and health education report.</w:t>
      </w:r>
    </w:p>
    <w:p>
      <w:pPr>
        <w:spacing w:line="480" w:lineRule="auto"/>
        <w:ind w:left="720" w:hanging="720"/>
      </w:pPr>
      <w:r>
        <w:t>Pan American Health Organization. (2025). Cancer prevention strategies for adolescents and young people.</w:t>
      </w:r>
    </w:p>
    <w:p>
      <w:pPr>
        <w:spacing w:line="480" w:lineRule="auto"/>
        <w:ind w:left="720" w:hanging="720"/>
      </w:pPr>
      <w:r>
        <w:t>UNICEF. (2026). Digital learning innovations for adolescent health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