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4213D"/>
          <w:sz w:val="72"/>
        </w:rPr>
        <w:t>LAFACTURE</w:t>
      </w:r>
    </w:p>
    <w:p>
      <w:pPr>
        <w:jc w:val="center"/>
      </w:pPr>
      <w:r>
        <w:rPr>
          <w:rFonts w:ascii="Calibri" w:hAnsi="Calibri"/>
          <w:color w:val="FCA311"/>
          <w:sz w:val="40"/>
        </w:rPr>
        <w:t>Diagrammes UML &amp; règles de gestion v2</w:t>
      </w:r>
    </w:p>
    <w:p/>
    <w:p>
      <w:pPr>
        <w:jc w:val="center"/>
      </w:pPr>
      <w:r>
        <w:rPr>
          <w:rFonts w:ascii="Calibri" w:hAnsi="Calibri"/>
          <w:sz w:val="26"/>
        </w:rPr>
        <w:t>Facturation simple pour freelances &amp; TPE</w:t>
      </w:r>
    </w:p>
    <w:p/>
    <w:p/>
    <w:p/>
    <w:p/>
    <w:p>
      <w:pPr>
        <w:jc w:val="center"/>
      </w:pPr>
      <w:r>
        <w:rPr>
          <w:rFonts w:ascii="Calibri" w:hAnsi="Calibri"/>
          <w:sz w:val="20"/>
        </w:rPr>
        <w:t>Version du document : 1.1</w:t>
        <w:br/>
      </w:r>
      <w:r>
        <w:rPr>
          <w:rFonts w:ascii="Calibri" w:hAnsi="Calibri"/>
          <w:sz w:val="20"/>
        </w:rPr>
        <w:t>Date : 02/06/2026</w:t>
        <w:br/>
      </w:r>
      <w:r>
        <w:rPr>
          <w:rFonts w:ascii="Calibri" w:hAnsi="Calibri"/>
          <w:sz w:val="20"/>
        </w:rPr>
        <w:t>Historique : le produit porte désormais l'identité LAFACTURE (2026).</w:t>
        <w:br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I. Acteurs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Acteur</w:t>
            </w:r>
          </w:p>
        </w:tc>
        <w:tc>
          <w:tcPr>
            <w:tcW w:type="dxa" w:w="4703"/>
          </w:tcPr>
          <w:p>
            <w:r>
              <w:t>Rôle</w:t>
            </w:r>
          </w:p>
        </w:tc>
      </w:tr>
      <w:tr>
        <w:tc>
          <w:tcPr>
            <w:tcW w:type="dxa" w:w="4703"/>
          </w:tcPr>
          <w:p>
            <w:r>
              <w:t>Utilisateur (freelance / TPE)</w:t>
            </w:r>
          </w:p>
        </w:tc>
        <w:tc>
          <w:tcPr>
            <w:tcW w:type="dxa" w:w="4703"/>
          </w:tcPr>
          <w:p>
            <w:r>
              <w:t>Crée devis, factures, clients ; consulte dashboard et rapports</w:t>
            </w:r>
          </w:p>
        </w:tc>
      </w:tr>
      <w:tr>
        <w:tc>
          <w:tcPr>
            <w:tcW w:type="dxa" w:w="4703"/>
          </w:tcPr>
          <w:p>
            <w:r>
              <w:t>Système LAFACTURE</w:t>
            </w:r>
          </w:p>
        </w:tc>
        <w:tc>
          <w:tcPr>
            <w:tcW w:type="dxa" w:w="4703"/>
          </w:tcPr>
          <w:p>
            <w:r>
              <w:t>API Laravel, PDF, e-mails, scheduler, Stripe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II. Diagramme de classes</w:t>
      </w:r>
    </w:p>
    <w:p>
      <w:pPr>
        <w:spacing w:after="120" w:line="240" w:lineRule="auto"/>
      </w:pPr>
      <w:r>
        <w:rPr>
          <w:rFonts w:ascii="Calibri" w:hAnsi="Calibri"/>
          <w:b w:val="0"/>
          <w:sz w:val="22"/>
        </w:rPr>
        <w:t>Modèle aligné sur les migrations PostgreSQL et les modèles Eloquent. QuoteItem et InvoiceItem sont des tables distinctes. document_type=invoice|credit_note sur la table invoices.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Diagramme de classes — modèle Eloquent / PostgreSQL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III. Diagrammes de séquences</w:t>
      </w:r>
    </w:p>
    <w:p>
      <w:pPr>
        <w:pStyle w:val="Heading2"/>
      </w:pPr>
      <w:r>
        <w:rPr>
          <w:rFonts w:ascii="Calibri" w:hAnsi="Calibri"/>
          <w:color w:val="14213D"/>
        </w:rPr>
        <w:t>Séquence — Inscription et connexion (Sanctum)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Inscription et connexion (Sanctum)</w:t>
      </w:r>
    </w:p>
    <w:p>
      <w:pPr>
        <w:pStyle w:val="Heading2"/>
      </w:pPr>
      <w:r>
        <w:rPr>
          <w:rFonts w:ascii="Calibri" w:hAnsi="Calibri"/>
          <w:color w:val="14213D"/>
        </w:rPr>
        <w:t>Séquence — Création facture et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invo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Création facture et PDF</w:t>
      </w:r>
    </w:p>
    <w:p>
      <w:pPr>
        <w:pStyle w:val="Heading2"/>
      </w:pPr>
      <w:r>
        <w:rPr>
          <w:rFonts w:ascii="Calibri" w:hAnsi="Calibri"/>
          <w:color w:val="14213D"/>
        </w:rPr>
        <w:t>Séquence — Devis et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quo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Devis et conversion</w:t>
      </w:r>
    </w:p>
    <w:p>
      <w:pPr>
        <w:pStyle w:val="Heading2"/>
      </w:pPr>
      <w:r>
        <w:rPr>
          <w:rFonts w:ascii="Calibri" w:hAnsi="Calibri"/>
          <w:color w:val="14213D"/>
        </w:rPr>
        <w:t>Séquence — CRUD clients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CRUD clients</w:t>
      </w:r>
    </w:p>
    <w:p>
      <w:pPr>
        <w:pStyle w:val="Heading2"/>
      </w:pPr>
      <w:r>
        <w:rPr>
          <w:rFonts w:ascii="Calibri" w:hAnsi="Calibri"/>
          <w:color w:val="14213D"/>
        </w:rPr>
        <w:t>Séquence — Export PDF DomPDF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d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Export PDF DomPDF</w:t>
      </w:r>
    </w:p>
    <w:p>
      <w:pPr>
        <w:pStyle w:val="Heading2"/>
      </w:pPr>
      <w:r>
        <w:rPr>
          <w:rFonts w:ascii="Calibri" w:hAnsi="Calibri"/>
          <w:color w:val="14213D"/>
        </w:rPr>
        <w:t>Séquence — Tableau de bord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00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center"/>
      </w:pPr>
      <w:r>
        <w:rPr>
          <w:rFonts w:ascii="Calibri" w:hAnsi="Calibri"/>
          <w:b w:val="0"/>
          <w:color w:val="666666"/>
          <w:sz w:val="18"/>
        </w:rPr>
        <w:t>Séquence — Tableau de bord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4213D"/>
        </w:rPr>
        <w:t>IV. Règles de gestion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N°</w:t>
            </w:r>
          </w:p>
        </w:tc>
        <w:tc>
          <w:tcPr>
            <w:tcW w:type="dxa" w:w="3135"/>
          </w:tcPr>
          <w:p>
            <w:r>
              <w:t>Règle</w:t>
            </w:r>
          </w:p>
        </w:tc>
        <w:tc>
          <w:tcPr>
            <w:tcW w:type="dxa" w:w="3135"/>
          </w:tcPr>
          <w:p>
            <w:r>
              <w:t>Statut v1.0</w:t>
            </w:r>
          </w:p>
        </w:tc>
      </w:tr>
      <w:tr>
        <w:tc>
          <w:tcPr>
            <w:tcW w:type="dxa" w:w="3135"/>
          </w:tcPr>
          <w:p>
            <w:r>
              <w:t>RG01</w:t>
            </w:r>
          </w:p>
        </w:tc>
        <w:tc>
          <w:tcPr>
            <w:tcW w:type="dxa" w:w="3135"/>
          </w:tcPr>
          <w:p>
            <w:r>
              <w:t>Isolation stricte par user_id — aucun partage entre comptes.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RG02</w:t>
            </w:r>
          </w:p>
        </w:tc>
        <w:tc>
          <w:tcPr>
            <w:tcW w:type="dxa" w:w="3135"/>
          </w:tcPr>
          <w:p>
            <w:r>
              <w:t>Suppression client interdite si documents liés.</w:t>
            </w:r>
          </w:p>
        </w:tc>
        <w:tc>
          <w:tcPr>
            <w:tcW w:type="dxa" w:w="3135"/>
          </w:tcPr>
          <w:p>
            <w:r>
              <w:t>Dette produit — suppression autorisée en v1 (ClientController::destroy).</w:t>
            </w:r>
          </w:p>
        </w:tc>
      </w:tr>
      <w:tr>
        <w:tc>
          <w:tcPr>
            <w:tcW w:type="dxa" w:w="3135"/>
          </w:tcPr>
          <w:p>
            <w:r>
              <w:t>RG03</w:t>
            </w:r>
          </w:p>
        </w:tc>
        <w:tc>
          <w:tcPr>
            <w:tcW w:type="dxa" w:w="3135"/>
          </w:tcPr>
          <w:p>
            <w:r>
              <w:t>Numérotation facture FAC-YYYY-NNNN, unique par user/année.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RG04</w:t>
            </w:r>
          </w:p>
        </w:tc>
        <w:tc>
          <w:tcPr>
            <w:tcW w:type="dxa" w:w="3135"/>
          </w:tcPr>
          <w:p>
            <w:r>
              <w:t>Numérotation devis DEV-YYYY-NNNN.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RG05</w:t>
            </w:r>
          </w:p>
        </w:tc>
        <w:tc>
          <w:tcPr>
            <w:tcW w:type="dxa" w:w="3135"/>
          </w:tcPr>
          <w:p>
            <w:r>
              <w:t>Facture brouillon modifiable ; contenu verrouillé après émission (statut sent+).</w:t>
            </w:r>
          </w:p>
        </w:tc>
        <w:tc>
          <w:tcPr>
            <w:tcW w:type="dxa" w:w="3135"/>
          </w:tcPr>
          <w:p>
            <w:r>
              <w:t>Conforme — InvoiceDocumentRules</w:t>
            </w:r>
          </w:p>
        </w:tc>
      </w:tr>
      <w:tr>
        <w:tc>
          <w:tcPr>
            <w:tcW w:type="dxa" w:w="3135"/>
          </w:tcPr>
          <w:p>
            <w:r>
              <w:t>RG06</w:t>
            </w:r>
          </w:p>
        </w:tc>
        <w:tc>
          <w:tcPr>
            <w:tcW w:type="dxa" w:w="3135"/>
          </w:tcPr>
          <w:p>
            <w:r>
              <w:t>Devis accepted convertible en une facture draft (quote_id).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RG07</w:t>
            </w:r>
          </w:p>
        </w:tc>
        <w:tc>
          <w:tcPr>
            <w:tcW w:type="dxa" w:w="3135"/>
          </w:tcPr>
          <w:p>
            <w:r>
              <w:t>Totaux calculés depuis lignes ; saisie manuelle possible sans lignes.</w:t>
            </w:r>
          </w:p>
        </w:tc>
        <w:tc>
          <w:tcPr>
            <w:tcW w:type="dxa" w:w="3135"/>
          </w:tcPr>
          <w:p>
            <w:r>
              <w:t>Conforme avec nuance</w:t>
            </w:r>
          </w:p>
        </w:tc>
      </w:tr>
      <w:tr>
        <w:tc>
          <w:tcPr>
            <w:tcW w:type="dxa" w:w="3135"/>
          </w:tcPr>
          <w:p>
            <w:r>
              <w:t>RG08</w:t>
            </w:r>
          </w:p>
        </w:tc>
        <w:tc>
          <w:tcPr>
            <w:tcW w:type="dxa" w:w="3135"/>
          </w:tcPr>
          <w:p>
            <w:r>
              <w:t>Paiements partiels ; solde = total - SUM(payments).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RG09</w:t>
            </w:r>
          </w:p>
        </w:tc>
        <w:tc>
          <w:tcPr>
            <w:tcW w:type="dxa" w:w="3135"/>
          </w:tcPr>
          <w:p>
            <w:r>
              <w:t>Factures sent avec due_date dépassée → overdue (scheduler quotidien).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RG10</w:t>
            </w:r>
          </w:p>
        </w:tc>
        <w:tc>
          <w:tcPr>
            <w:tcW w:type="dxa" w:w="3135"/>
          </w:tcPr>
          <w:p>
            <w:r>
              <w:t>Avoir manuel AVR-YYYY-NNNN — annulation totale, facture parente cancelled.</w:t>
            </w:r>
          </w:p>
        </w:tc>
        <w:tc>
          <w:tcPr>
            <w:tcW w:type="dxa" w:w="3135"/>
          </w:tcPr>
          <w:p>
            <w:r>
              <w:t>Conforme — pas d'avoir auto ni partiel</w:t>
            </w:r>
          </w:p>
        </w:tc>
      </w:tr>
      <w:tr>
        <w:tc>
          <w:tcPr>
            <w:tcW w:type="dxa" w:w="3135"/>
          </w:tcPr>
          <w:p>
            <w:r>
              <w:t>RG11</w:t>
            </w:r>
          </w:p>
        </w:tc>
        <w:tc>
          <w:tcPr>
            <w:tcW w:type="dxa" w:w="3135"/>
          </w:tcPr>
          <w:p>
            <w:r>
              <w:t>PDF regénéré à chaque téléchargement (pas de cache fichier).</w:t>
            </w:r>
          </w:p>
        </w:tc>
        <w:tc>
          <w:tcPr>
            <w:tcW w:type="dxa" w:w="3135"/>
          </w:tcPr>
          <w:p>
            <w:r>
              <w:t>Conforme</w:t>
            </w:r>
          </w:p>
        </w:tc>
      </w:tr>
      <w:tr>
        <w:tc>
          <w:tcPr>
            <w:tcW w:type="dxa" w:w="3135"/>
          </w:tcPr>
          <w:p>
            <w:r>
              <w:t>RG12</w:t>
            </w:r>
          </w:p>
        </w:tc>
        <w:tc>
          <w:tcPr>
            <w:tcW w:type="dxa" w:w="3135"/>
          </w:tcPr>
          <w:p>
            <w:r>
              <w:t>CA dashboard = somme des paiements encaissés (PaymentAnalytics).</w:t>
            </w:r>
          </w:p>
        </w:tc>
        <w:tc>
          <w:tcPr>
            <w:tcW w:type="dxa" w:w="3135"/>
          </w:tcPr>
          <w:p>
            <w:r>
              <w:t>Conforme — diffère de « factures payées »</w:t>
            </w:r>
          </w:p>
        </w:tc>
      </w:tr>
    </w:tbl>
    <w:p>
      <w:pPr>
        <w:pStyle w:val="Heading2"/>
      </w:pPr>
      <w:r>
        <w:rPr>
          <w:rFonts w:ascii="Calibri" w:hAnsi="Calibri"/>
          <w:color w:val="14213D"/>
        </w:rPr>
        <w:t>IV.1 Décisions produit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Vérification e-mail : désactivée volontairement à l'inscription.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Relances impayés : tous plans si notifications_email=true (pas réservé Pro).</w:t>
      </w:r>
    </w:p>
    <w:p>
      <w:pPr>
        <w:pStyle w:val="ListBullet"/>
        <w:spacing w:after="80" w:line="240" w:lineRule="auto"/>
      </w:pPr>
      <w:r>
        <w:rPr>
          <w:rFonts w:ascii="Calibri" w:hAnsi="Calibri"/>
          <w:b w:val="0"/>
          <w:sz w:val="22"/>
        </w:rPr>
        <w:t>Enterprise multi-utilisateurs : roadmap, non implémenté.</w:t>
      </w:r>
    </w:p>
    <w:p>
      <w:pPr>
        <w:pStyle w:val="Heading2"/>
      </w:pPr>
      <w:r>
        <w:rPr>
          <w:rFonts w:ascii="Calibri" w:hAnsi="Calibri"/>
          <w:color w:val="14213D"/>
        </w:rPr>
        <w:t>IV.2 Déploiement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Composant</w:t>
            </w:r>
          </w:p>
        </w:tc>
        <w:tc>
          <w:tcPr>
            <w:tcW w:type="dxa" w:w="4703"/>
          </w:tcPr>
          <w:p>
            <w:r>
              <w:t>Cible</w:t>
            </w:r>
          </w:p>
        </w:tc>
      </w:tr>
      <w:tr>
        <w:tc>
          <w:tcPr>
            <w:tcW w:type="dxa" w:w="4703"/>
          </w:tcPr>
          <w:p>
            <w:r>
              <w:t>Frontend</w:t>
            </w:r>
          </w:p>
        </w:tc>
        <w:tc>
          <w:tcPr>
            <w:tcW w:type="dxa" w:w="4703"/>
          </w:tcPr>
          <w:p>
            <w:r>
              <w:t>Vercel — saas-facturation.vercel.app</w:t>
            </w:r>
          </w:p>
        </w:tc>
      </w:tr>
      <w:tr>
        <w:tc>
          <w:tcPr>
            <w:tcW w:type="dxa" w:w="4703"/>
          </w:tcPr>
          <w:p>
            <w:r>
              <w:t>Backend API</w:t>
            </w:r>
          </w:p>
        </w:tc>
        <w:tc>
          <w:tcPr>
            <w:tcW w:type="dxa" w:w="4703"/>
          </w:tcPr>
          <w:p>
            <w:r>
              <w:t>Fly.io — API REST Laravel (/api)</w:t>
            </w:r>
          </w:p>
        </w:tc>
      </w:tr>
      <w:tr>
        <w:tc>
          <w:tcPr>
            <w:tcW w:type="dxa" w:w="4703"/>
          </w:tcPr>
          <w:p>
            <w:r>
              <w:t>Base de données</w:t>
            </w:r>
          </w:p>
        </w:tc>
        <w:tc>
          <w:tcPr>
            <w:tcW w:type="dxa" w:w="4703"/>
          </w:tcPr>
          <w:p>
            <w:r>
              <w:t>PostgreSQL (Fly.io)</w:t>
            </w:r>
          </w:p>
        </w:tc>
      </w:tr>
    </w:tbl>
    <w:p>
      <w:pPr>
        <w:spacing w:after="160" w:line="240" w:lineRule="auto"/>
      </w:pPr>
      <w:r>
        <w:rPr>
          <w:rFonts w:ascii="Calibri" w:hAnsi="Calibri"/>
          <w:b w:val="0"/>
          <w:color w:val="14213D"/>
          <w:sz w:val="22"/>
        </w:rPr>
        <w:t xml:space="preserve">Contact — </w:t>
      </w:r>
      <w:r>
        <w:rPr>
          <w:rFonts w:ascii="Calibri" w:hAnsi="Calibri"/>
          <w:b w:val="0"/>
          <w:sz w:val="22"/>
        </w:rPr>
        <w:t>contact@lafacture.app — Version 1.1 — 02/06/2026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