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14213D"/>
          <w:sz w:val="72"/>
        </w:rPr>
        <w:t>LAFACTURE</w:t>
      </w:r>
    </w:p>
    <w:p>
      <w:pPr>
        <w:jc w:val="center"/>
      </w:pPr>
      <w:r>
        <w:rPr>
          <w:rFonts w:ascii="Calibri" w:hAnsi="Calibri"/>
          <w:color w:val="FCA311"/>
          <w:sz w:val="40"/>
        </w:rPr>
        <w:t>Spécification produit v3</w:t>
      </w:r>
    </w:p>
    <w:p/>
    <w:p>
      <w:pPr>
        <w:jc w:val="center"/>
      </w:pPr>
      <w:r>
        <w:rPr>
          <w:rFonts w:ascii="Calibri" w:hAnsi="Calibri"/>
          <w:sz w:val="26"/>
        </w:rPr>
        <w:t>Facturation simple pour freelances &amp; TPE</w:t>
      </w:r>
    </w:p>
    <w:p/>
    <w:p/>
    <w:p/>
    <w:p/>
    <w:p>
      <w:pPr>
        <w:jc w:val="center"/>
      </w:pPr>
      <w:r>
        <w:rPr>
          <w:rFonts w:ascii="Calibri" w:hAnsi="Calibri"/>
          <w:sz w:val="20"/>
        </w:rPr>
        <w:t>Version du document : 1.1</w:t>
        <w:br/>
      </w:r>
      <w:r>
        <w:rPr>
          <w:rFonts w:ascii="Calibri" w:hAnsi="Calibri"/>
          <w:sz w:val="20"/>
        </w:rPr>
        <w:t>Date : 02/06/2026</w:t>
        <w:br/>
      </w:r>
      <w:r>
        <w:rPr>
          <w:rFonts w:ascii="Calibri" w:hAnsi="Calibri"/>
          <w:sz w:val="20"/>
        </w:rPr>
        <w:t>Historique : le produit porte désormais l'identité LAFACTURE (2026).</w:t>
        <w:br/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4213D"/>
        </w:rPr>
        <w:t>I. Présentation</w:t>
      </w:r>
    </w:p>
    <w:p>
      <w:pPr>
        <w:spacing w:after="120" w:line="240" w:lineRule="auto"/>
      </w:pPr>
      <w:r>
        <w:rPr>
          <w:rFonts w:ascii="Calibri" w:hAnsi="Calibri"/>
          <w:b w:val="0"/>
          <w:sz w:val="22"/>
        </w:rPr>
        <w:t>LAFACTURE est une application SaaS de facturation et de gestion commerciale destinée aux freelances et TPE, avec un focus Afrique de l'Ouest et marché francophone.</w:t>
      </w:r>
    </w:p>
    <w:p>
      <w:pPr>
        <w:spacing w:after="120" w:line="240" w:lineRule="auto"/>
      </w:pPr>
      <w:r>
        <w:rPr>
          <w:rFonts w:ascii="Calibri" w:hAnsi="Calibri"/>
          <w:b w:val="0"/>
          <w:sz w:val="22"/>
        </w:rPr>
        <w:t>Mission : simplifier devis, factures, suivi des paiements et pilotage du chiffre d'affaires.</w:t>
      </w:r>
    </w:p>
    <w:p>
      <w:pPr>
        <w:spacing w:after="160" w:line="240" w:lineRule="auto"/>
      </w:pPr>
      <w:r>
        <w:rPr>
          <w:rFonts w:ascii="Calibri" w:hAnsi="Calibri"/>
          <w:b w:val="0"/>
          <w:color w:val="14213D"/>
          <w:sz w:val="22"/>
        </w:rPr>
        <w:t xml:space="preserve">Historique — </w:t>
      </w:r>
      <w:r>
        <w:rPr>
          <w:rFonts w:ascii="Calibri" w:hAnsi="Calibri"/>
          <w:b w:val="0"/>
          <w:sz w:val="22"/>
        </w:rPr>
        <w:t>Identité produit unifiée sous LAFACTURE.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4213D"/>
        </w:rPr>
        <w:t>II. Périmètre — MVP livré (v1.0)</w:t>
      </w:r>
    </w:p>
    <w:p>
      <w:pPr>
        <w:spacing w:after="120" w:line="240" w:lineRule="auto"/>
      </w:pPr>
      <w:r>
        <w:rPr>
          <w:rFonts w:ascii="Calibri" w:hAnsi="Calibri"/>
          <w:b w:val="0"/>
          <w:sz w:val="22"/>
        </w:rPr>
        <w:t>Fonctionnalités implémentées et en production :</w:t>
      </w:r>
    </w:p>
    <w:p>
      <w:pPr>
        <w:pStyle w:val="ListBullet"/>
        <w:spacing w:after="80" w:line="240" w:lineRule="auto"/>
      </w:pPr>
      <w:r>
        <w:rPr>
          <w:rFonts w:ascii="Calibri" w:hAnsi="Calibri"/>
          <w:b w:val="0"/>
          <w:sz w:val="22"/>
        </w:rPr>
        <w:t>Authentification (inscription, connexion, mot de passe oublié, profil, paramètres)</w:t>
      </w:r>
    </w:p>
    <w:p>
      <w:pPr>
        <w:pStyle w:val="ListBullet"/>
        <w:spacing w:after="80" w:line="240" w:lineRule="auto"/>
      </w:pPr>
      <w:r>
        <w:rPr>
          <w:rFonts w:ascii="Calibri" w:hAnsi="Calibri"/>
          <w:b w:val="0"/>
          <w:sz w:val="22"/>
        </w:rPr>
        <w:t>Gestion clients (CRUD, recherche, historique documents, import CSV Pro)</w:t>
      </w:r>
    </w:p>
    <w:p>
      <w:pPr>
        <w:pStyle w:val="ListBullet"/>
        <w:spacing w:after="80" w:line="240" w:lineRule="auto"/>
      </w:pPr>
      <w:r>
        <w:rPr>
          <w:rFonts w:ascii="Calibri" w:hAnsi="Calibri"/>
          <w:b w:val="0"/>
          <w:sz w:val="22"/>
        </w:rPr>
        <w:t>Devis (CRUD, statuts, conversion en facture, PDF, historique d'activité)</w:t>
      </w:r>
    </w:p>
    <w:p>
      <w:pPr>
        <w:pStyle w:val="ListBullet"/>
        <w:spacing w:after="80" w:line="240" w:lineRule="auto"/>
      </w:pPr>
      <w:r>
        <w:rPr>
          <w:rFonts w:ascii="Calibri" w:hAnsi="Calibri"/>
          <w:b w:val="0"/>
          <w:sz w:val="22"/>
        </w:rPr>
        <w:t>Factures et avoirs (CRUD, paiements partiels, PDF, historique, soft delete brouillons)</w:t>
      </w:r>
    </w:p>
    <w:p>
      <w:pPr>
        <w:pStyle w:val="ListBullet"/>
        <w:spacing w:after="80" w:line="240" w:lineRule="auto"/>
      </w:pPr>
      <w:r>
        <w:rPr>
          <w:rFonts w:ascii="Calibri" w:hAnsi="Calibri"/>
          <w:b w:val="0"/>
          <w:sz w:val="22"/>
        </w:rPr>
        <w:t>Tableau de bord et rapports (KPI, graphiques ; aging et top clients Pro)</w:t>
      </w:r>
    </w:p>
    <w:p>
      <w:pPr>
        <w:pStyle w:val="ListBullet"/>
        <w:spacing w:after="80" w:line="240" w:lineRule="auto"/>
      </w:pPr>
      <w:r>
        <w:rPr>
          <w:rFonts w:ascii="Calibri" w:hAnsi="Calibri"/>
          <w:b w:val="0"/>
          <w:sz w:val="22"/>
        </w:rPr>
        <w:t>Export CSV revenus (Pro) — endpoint /api/dashboard/export</w:t>
      </w:r>
    </w:p>
    <w:p>
      <w:pPr>
        <w:pStyle w:val="ListBullet"/>
        <w:spacing w:after="80" w:line="240" w:lineRule="auto"/>
      </w:pPr>
      <w:r>
        <w:rPr>
          <w:rFonts w:ascii="Calibri" w:hAnsi="Calibri"/>
          <w:b w:val="0"/>
          <w:sz w:val="22"/>
        </w:rPr>
        <w:t>Abonnement Stripe (Free / Pro / Enterprise contact)</w:t>
      </w:r>
    </w:p>
    <w:p>
      <w:pPr>
        <w:pStyle w:val="ListBullet"/>
        <w:spacing w:after="80" w:line="240" w:lineRule="auto"/>
      </w:pPr>
      <w:r>
        <w:rPr>
          <w:rFonts w:ascii="Calibri" w:hAnsi="Calibri"/>
          <w:b w:val="0"/>
          <w:sz w:val="22"/>
        </w:rPr>
        <w:t>Pages légales (mentions, confidentialité, CGU, cookies)</w:t>
      </w:r>
    </w:p>
    <w:p>
      <w:pPr>
        <w:pStyle w:val="ListBullet"/>
        <w:spacing w:after="80" w:line="240" w:lineRule="auto"/>
      </w:pPr>
      <w:r>
        <w:rPr>
          <w:rFonts w:ascii="Calibri" w:hAnsi="Calibri"/>
          <w:b w:val="0"/>
          <w:sz w:val="22"/>
        </w:rPr>
        <w:t>i18n FR/EN, fuseau horaire, notifications e-mail configurables</w:t>
      </w:r>
    </w:p>
    <w:p>
      <w:pPr>
        <w:pStyle w:val="Heading2"/>
      </w:pPr>
      <w:r>
        <w:rPr>
          <w:rFonts w:ascii="Calibri" w:hAnsi="Calibri"/>
          <w:color w:val="14213D"/>
        </w:rPr>
        <w:t>II.1 Roadmap (non livré v1.0)</w:t>
      </w:r>
    </w:p>
    <w:p>
      <w:pPr>
        <w:pStyle w:val="ListBullet"/>
        <w:spacing w:after="80" w:line="240" w:lineRule="auto"/>
      </w:pPr>
      <w:r>
        <w:rPr>
          <w:rFonts w:ascii="Calibri" w:hAnsi="Calibri"/>
          <w:b w:val="0"/>
          <w:sz w:val="22"/>
        </w:rPr>
        <w:t>Multi-utilisateurs et rôles (offre Enterprise)</w:t>
      </w:r>
    </w:p>
    <w:p>
      <w:pPr>
        <w:pStyle w:val="ListBullet"/>
        <w:spacing w:after="80" w:line="240" w:lineRule="auto"/>
      </w:pPr>
      <w:r>
        <w:rPr>
          <w:rFonts w:ascii="Calibri" w:hAnsi="Calibri"/>
          <w:b w:val="0"/>
          <w:sz w:val="22"/>
        </w:rPr>
        <w:t>Paiement en ligne par les clients finaux</w:t>
      </w:r>
    </w:p>
    <w:p>
      <w:pPr>
        <w:pStyle w:val="ListBullet"/>
        <w:spacing w:after="80" w:line="240" w:lineRule="auto"/>
      </w:pPr>
      <w:r>
        <w:rPr>
          <w:rFonts w:ascii="Calibri" w:hAnsi="Calibri"/>
          <w:b w:val="0"/>
          <w:sz w:val="22"/>
        </w:rPr>
        <w:t>Facturation récurrente automatique</w:t>
      </w:r>
    </w:p>
    <w:p>
      <w:pPr>
        <w:pStyle w:val="ListBullet"/>
        <w:spacing w:after="80" w:line="240" w:lineRule="auto"/>
      </w:pPr>
      <w:r>
        <w:rPr>
          <w:rFonts w:ascii="Calibri" w:hAnsi="Calibri"/>
          <w:b w:val="0"/>
          <w:sz w:val="22"/>
        </w:rPr>
        <w:t>Intégrations comptables (Sage, QuickBooks, etc.)</w:t>
      </w:r>
    </w:p>
    <w:p>
      <w:pPr>
        <w:pStyle w:val="ListBullet"/>
        <w:spacing w:after="80" w:line="240" w:lineRule="auto"/>
      </w:pPr>
      <w:r>
        <w:rPr>
          <w:rFonts w:ascii="Calibri" w:hAnsi="Calibri"/>
          <w:b w:val="0"/>
          <w:sz w:val="22"/>
        </w:rPr>
        <w:t>Blocage suppression client si documents liés (dette produit — voir cahier d'analyse RG02)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4213D"/>
        </w:rPr>
        <w:t>III. Architecture et arborescence</w:t>
      </w:r>
    </w:p>
    <w:p>
      <w:pPr>
        <w:pStyle w:val="Heading2"/>
      </w:pPr>
      <w:r>
        <w:rPr>
          <w:rFonts w:ascii="Calibri" w:hAnsi="Calibri"/>
          <w:color w:val="14213D"/>
        </w:rPr>
        <w:t>III.1 Stack technique (implémentée)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Couche</w:t>
            </w:r>
          </w:p>
        </w:tc>
        <w:tc>
          <w:tcPr>
            <w:tcW w:type="dxa" w:w="4703"/>
          </w:tcPr>
          <w:p>
            <w:r>
              <w:t>Technologie</w:t>
            </w:r>
          </w:p>
        </w:tc>
      </w:tr>
      <w:tr>
        <w:tc>
          <w:tcPr>
            <w:tcW w:type="dxa" w:w="4703"/>
          </w:tcPr>
          <w:p>
            <w:r>
              <w:t>Frontend</w:t>
            </w:r>
          </w:p>
        </w:tc>
        <w:tc>
          <w:tcPr>
            <w:tcW w:type="dxa" w:w="4703"/>
          </w:tcPr>
          <w:p>
            <w:r>
              <w:t>React 19, Vite 8, React Router 7, Tailwind CSS 4, i18next</w:t>
            </w:r>
          </w:p>
        </w:tc>
      </w:tr>
      <w:tr>
        <w:tc>
          <w:tcPr>
            <w:tcW w:type="dxa" w:w="4703"/>
          </w:tcPr>
          <w:p>
            <w:r>
              <w:t>État UI</w:t>
            </w:r>
          </w:p>
        </w:tc>
        <w:tc>
          <w:tcPr>
            <w:tcW w:type="dxa" w:w="4703"/>
          </w:tcPr>
          <w:p>
            <w:r>
              <w:t>Hooks React + cache fetch (sans store global type Redux)</w:t>
            </w:r>
          </w:p>
        </w:tc>
      </w:tr>
      <w:tr>
        <w:tc>
          <w:tcPr>
            <w:tcW w:type="dxa" w:w="4703"/>
          </w:tcPr>
          <w:p>
            <w:r>
              <w:t>API client</w:t>
            </w:r>
          </w:p>
        </w:tc>
        <w:tc>
          <w:tcPr>
            <w:tcW w:type="dxa" w:w="4703"/>
          </w:tcPr>
          <w:p>
            <w:r>
              <w:t>fetch natif + token Bearer Sanctum (localStorage session)</w:t>
            </w:r>
          </w:p>
        </w:tc>
      </w:tr>
      <w:tr>
        <w:tc>
          <w:tcPr>
            <w:tcW w:type="dxa" w:w="4703"/>
          </w:tcPr>
          <w:p>
            <w:r>
              <w:t>Backend</w:t>
            </w:r>
          </w:p>
        </w:tc>
        <w:tc>
          <w:tcPr>
            <w:tcW w:type="dxa" w:w="4703"/>
          </w:tcPr>
          <w:p>
            <w:r>
              <w:t>Laravel 13, PHP 8.3</w:t>
            </w:r>
          </w:p>
        </w:tc>
      </w:tr>
      <w:tr>
        <w:tc>
          <w:tcPr>
            <w:tcW w:type="dxa" w:w="4703"/>
          </w:tcPr>
          <w:p>
            <w:r>
              <w:t>Auth</w:t>
            </w:r>
          </w:p>
        </w:tc>
        <w:tc>
          <w:tcPr>
            <w:tcW w:type="dxa" w:w="4703"/>
          </w:tcPr>
          <w:p>
            <w:r>
              <w:t>Laravel Sanctum (tokens API)</w:t>
            </w:r>
          </w:p>
        </w:tc>
      </w:tr>
      <w:tr>
        <w:tc>
          <w:tcPr>
            <w:tcW w:type="dxa" w:w="4703"/>
          </w:tcPr>
          <w:p>
            <w:r>
              <w:t>Base de données</w:t>
            </w:r>
          </w:p>
        </w:tc>
        <w:tc>
          <w:tcPr>
            <w:tcW w:type="dxa" w:w="4703"/>
          </w:tcPr>
          <w:p>
            <w:r>
              <w:t>SQLite (dev) / PostgreSQL (Fly.io prod)</w:t>
            </w:r>
          </w:p>
        </w:tc>
      </w:tr>
      <w:tr>
        <w:tc>
          <w:tcPr>
            <w:tcW w:type="dxa" w:w="4703"/>
          </w:tcPr>
          <w:p>
            <w:r>
              <w:t>PDF</w:t>
            </w:r>
          </w:p>
        </w:tc>
        <w:tc>
          <w:tcPr>
            <w:tcW w:type="dxa" w:w="4703"/>
          </w:tcPr>
          <w:p>
            <w:r>
              <w:t>DomPDF (barryvdh/laravel-dompdf) — génération à la demande</w:t>
            </w:r>
          </w:p>
        </w:tc>
      </w:tr>
      <w:tr>
        <w:tc>
          <w:tcPr>
            <w:tcW w:type="dxa" w:w="4703"/>
          </w:tcPr>
          <w:p>
            <w:r>
              <w:t>E-mails</w:t>
            </w:r>
          </w:p>
        </w:tc>
        <w:tc>
          <w:tcPr>
            <w:tcW w:type="dxa" w:w="4703"/>
          </w:tcPr>
          <w:p>
            <w:r>
              <w:t>Laravel Mail + SMTP (Brevo/Gmail)</w:t>
            </w:r>
          </w:p>
        </w:tc>
      </w:tr>
      <w:tr>
        <w:tc>
          <w:tcPr>
            <w:tcW w:type="dxa" w:w="4703"/>
          </w:tcPr>
          <w:p>
            <w:r>
              <w:t>Paiement SaaS</w:t>
            </w:r>
          </w:p>
        </w:tc>
        <w:tc>
          <w:tcPr>
            <w:tcW w:type="dxa" w:w="4703"/>
          </w:tcPr>
          <w:p>
            <w:r>
              <w:t>Stripe Checkout + Customer Portal + webhooks</w:t>
            </w:r>
          </w:p>
        </w:tc>
      </w:tr>
      <w:tr>
        <w:tc>
          <w:tcPr>
            <w:tcW w:type="dxa" w:w="4703"/>
          </w:tcPr>
          <w:p>
            <w:r>
              <w:t>Tests</w:t>
            </w:r>
          </w:p>
        </w:tc>
        <w:tc>
          <w:tcPr>
            <w:tcW w:type="dxa" w:w="4703"/>
          </w:tcPr>
          <w:p>
            <w:r>
              <w:t>PHPUnit, Vitest, Playwright, CI GitHub Actions</w:t>
            </w:r>
          </w:p>
        </w:tc>
      </w:tr>
    </w:tbl>
    <w:p>
      <w:pPr>
        <w:pStyle w:val="Heading2"/>
      </w:pPr>
      <w:r>
        <w:rPr>
          <w:rFonts w:ascii="Calibri" w:hAnsi="Calibri"/>
          <w:color w:val="14213D"/>
        </w:rPr>
        <w:t>III.2 Déploiement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Composant</w:t>
            </w:r>
          </w:p>
        </w:tc>
        <w:tc>
          <w:tcPr>
            <w:tcW w:type="dxa" w:w="4703"/>
          </w:tcPr>
          <w:p>
            <w:r>
              <w:t>Cible</w:t>
            </w:r>
          </w:p>
        </w:tc>
      </w:tr>
      <w:tr>
        <w:tc>
          <w:tcPr>
            <w:tcW w:type="dxa" w:w="4703"/>
          </w:tcPr>
          <w:p>
            <w:r>
              <w:t>Frontend</w:t>
            </w:r>
          </w:p>
        </w:tc>
        <w:tc>
          <w:tcPr>
            <w:tcW w:type="dxa" w:w="4703"/>
          </w:tcPr>
          <w:p>
            <w:r>
              <w:t>Vercel — https://saas-facturation.vercel.app</w:t>
            </w:r>
          </w:p>
        </w:tc>
      </w:tr>
      <w:tr>
        <w:tc>
          <w:tcPr>
            <w:tcW w:type="dxa" w:w="4703"/>
          </w:tcPr>
          <w:p>
            <w:r>
              <w:t>Backend API</w:t>
            </w:r>
          </w:p>
        </w:tc>
        <w:tc>
          <w:tcPr>
            <w:tcW w:type="dxa" w:w="4703"/>
          </w:tcPr>
          <w:p>
            <w:r>
              <w:t>Fly.io — API REST Laravel (/api)</w:t>
            </w:r>
          </w:p>
        </w:tc>
      </w:tr>
      <w:tr>
        <w:tc>
          <w:tcPr>
            <w:tcW w:type="dxa" w:w="4703"/>
          </w:tcPr>
          <w:p>
            <w:r>
              <w:t>Base prod</w:t>
            </w:r>
          </w:p>
        </w:tc>
        <w:tc>
          <w:tcPr>
            <w:tcW w:type="dxa" w:w="4703"/>
          </w:tcPr>
          <w:p>
            <w:r>
              <w:t>PostgreSQL managé Fly.io</w:t>
            </w:r>
          </w:p>
        </w:tc>
      </w:tr>
      <w:tr>
        <w:tc>
          <w:tcPr>
            <w:tcW w:type="dxa" w:w="4703"/>
          </w:tcPr>
          <w:p>
            <w:r>
              <w:t>Queue</w:t>
            </w:r>
          </w:p>
        </w:tc>
        <w:tc>
          <w:tcPr>
            <w:tcW w:type="dxa" w:w="4703"/>
          </w:tcPr>
          <w:p>
            <w:r>
              <w:t>sync (mails synchrones)</w:t>
            </w:r>
          </w:p>
        </w:tc>
      </w:tr>
    </w:tbl>
    <w:p>
      <w:pPr>
        <w:pStyle w:val="Heading2"/>
      </w:pPr>
      <w:r>
        <w:rPr>
          <w:rFonts w:ascii="Calibri" w:hAnsi="Calibri"/>
          <w:color w:val="14213D"/>
        </w:rPr>
        <w:t>III.3 Routes frontend (React Router)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Route</w:t>
            </w:r>
          </w:p>
        </w:tc>
        <w:tc>
          <w:tcPr>
            <w:tcW w:type="dxa" w:w="4703"/>
          </w:tcPr>
          <w:p>
            <w:r>
              <w:t>Description</w:t>
            </w:r>
          </w:p>
        </w:tc>
      </w:tr>
      <w:tr>
        <w:tc>
          <w:tcPr>
            <w:tcW w:type="dxa" w:w="4703"/>
          </w:tcPr>
          <w:p>
            <w:r>
              <w:t>/</w:t>
            </w:r>
          </w:p>
        </w:tc>
        <w:tc>
          <w:tcPr>
            <w:tcW w:type="dxa" w:w="4703"/>
          </w:tcPr>
          <w:p>
            <w:r>
              <w:t>Landing marketing</w:t>
            </w:r>
          </w:p>
        </w:tc>
      </w:tr>
      <w:tr>
        <w:tc>
          <w:tcPr>
            <w:tcW w:type="dxa" w:w="4703"/>
          </w:tcPr>
          <w:p>
            <w:r>
              <w:t>/login, /register</w:t>
            </w:r>
          </w:p>
        </w:tc>
        <w:tc>
          <w:tcPr>
            <w:tcW w:type="dxa" w:w="4703"/>
          </w:tcPr>
          <w:p>
            <w:r>
              <w:t>Authentification</w:t>
            </w:r>
          </w:p>
        </w:tc>
      </w:tr>
      <w:tr>
        <w:tc>
          <w:tcPr>
            <w:tcW w:type="dxa" w:w="4703"/>
          </w:tcPr>
          <w:p>
            <w:r>
              <w:t>/forgot-password, /reset-password</w:t>
            </w:r>
          </w:p>
        </w:tc>
        <w:tc>
          <w:tcPr>
            <w:tcW w:type="dxa" w:w="4703"/>
          </w:tcPr>
          <w:p>
            <w:r>
              <w:t>Récupération mot de passe</w:t>
            </w:r>
          </w:p>
        </w:tc>
      </w:tr>
      <w:tr>
        <w:tc>
          <w:tcPr>
            <w:tcW w:type="dxa" w:w="4703"/>
          </w:tcPr>
          <w:p>
            <w:r>
              <w:t>/app</w:t>
            </w:r>
          </w:p>
        </w:tc>
        <w:tc>
          <w:tcPr>
            <w:tcW w:type="dxa" w:w="4703"/>
          </w:tcPr>
          <w:p>
            <w:r>
              <w:t>Tableau de bord</w:t>
            </w:r>
          </w:p>
        </w:tc>
      </w:tr>
      <w:tr>
        <w:tc>
          <w:tcPr>
            <w:tcW w:type="dxa" w:w="4703"/>
          </w:tcPr>
          <w:p>
            <w:r>
              <w:t>/app/clients</w:t>
            </w:r>
          </w:p>
        </w:tc>
        <w:tc>
          <w:tcPr>
            <w:tcW w:type="dxa" w:w="4703"/>
          </w:tcPr>
          <w:p>
            <w:r>
              <w:t>Clients</w:t>
            </w:r>
          </w:p>
        </w:tc>
      </w:tr>
      <w:tr>
        <w:tc>
          <w:tcPr>
            <w:tcW w:type="dxa" w:w="4703"/>
          </w:tcPr>
          <w:p>
            <w:r>
              <w:t>/app/devis</w:t>
            </w:r>
          </w:p>
        </w:tc>
        <w:tc>
          <w:tcPr>
            <w:tcW w:type="dxa" w:w="4703"/>
          </w:tcPr>
          <w:p>
            <w:r>
              <w:t>Devis</w:t>
            </w:r>
          </w:p>
        </w:tc>
      </w:tr>
      <w:tr>
        <w:tc>
          <w:tcPr>
            <w:tcW w:type="dxa" w:w="4703"/>
          </w:tcPr>
          <w:p>
            <w:r>
              <w:t>/app/factures</w:t>
            </w:r>
          </w:p>
        </w:tc>
        <w:tc>
          <w:tcPr>
            <w:tcW w:type="dxa" w:w="4703"/>
          </w:tcPr>
          <w:p>
            <w:r>
              <w:t>Factures et avoirs</w:t>
            </w:r>
          </w:p>
        </w:tc>
      </w:tr>
      <w:tr>
        <w:tc>
          <w:tcPr>
            <w:tcW w:type="dxa" w:w="4703"/>
          </w:tcPr>
          <w:p>
            <w:r>
              <w:t>/app/rapports</w:t>
            </w:r>
          </w:p>
        </w:tc>
        <w:tc>
          <w:tcPr>
            <w:tcW w:type="dxa" w:w="4703"/>
          </w:tcPr>
          <w:p>
            <w:r>
              <w:t>Rapports</w:t>
            </w:r>
          </w:p>
        </w:tc>
      </w:tr>
      <w:tr>
        <w:tc>
          <w:tcPr>
            <w:tcW w:type="dxa" w:w="4703"/>
          </w:tcPr>
          <w:p>
            <w:r>
              <w:t>/app/parametres</w:t>
            </w:r>
          </w:p>
        </w:tc>
        <w:tc>
          <w:tcPr>
            <w:tcW w:type="dxa" w:w="4703"/>
          </w:tcPr>
          <w:p>
            <w:r>
              <w:t>Entreprise, branding, sécurité, préférences</w:t>
            </w:r>
          </w:p>
        </w:tc>
      </w:tr>
      <w:tr>
        <w:tc>
          <w:tcPr>
            <w:tcW w:type="dxa" w:w="4703"/>
          </w:tcPr>
          <w:p>
            <w:r>
              <w:t>/app/profil</w:t>
            </w:r>
          </w:p>
        </w:tc>
        <w:tc>
          <w:tcPr>
            <w:tcW w:type="dxa" w:w="4703"/>
          </w:tcPr>
          <w:p>
            <w:r>
              <w:t>Nom et e-mail</w:t>
            </w:r>
          </w:p>
        </w:tc>
      </w:tr>
      <w:tr>
        <w:tc>
          <w:tcPr>
            <w:tcW w:type="dxa" w:w="4703"/>
          </w:tcPr>
          <w:p>
            <w:r>
              <w:t>/app/abonnement</w:t>
            </w:r>
          </w:p>
        </w:tc>
        <w:tc>
          <w:tcPr>
            <w:tcW w:type="dxa" w:w="4703"/>
          </w:tcPr>
          <w:p>
            <w:r>
              <w:t>Plans et Stripe</w:t>
            </w:r>
          </w:p>
        </w:tc>
      </w:tr>
      <w:tr>
        <w:tc>
          <w:tcPr>
            <w:tcW w:type="dxa" w:w="4703"/>
          </w:tcPr>
          <w:p>
            <w:r>
              <w:t>/legal/mentions, /confidentialite, /cgu, /cookies</w:t>
            </w:r>
          </w:p>
        </w:tc>
        <w:tc>
          <w:tcPr>
            <w:tcW w:type="dxa" w:w="4703"/>
          </w:tcPr>
          <w:p>
            <w:r>
              <w:t>Pages légales</w:t>
            </w:r>
          </w:p>
        </w:tc>
      </w:tr>
    </w:tbl>
    <w:p>
      <w:pPr>
        <w:pStyle w:val="Heading2"/>
      </w:pPr>
      <w:r>
        <w:rPr>
          <w:rFonts w:ascii="Calibri" w:hAnsi="Calibri"/>
          <w:color w:val="14213D"/>
        </w:rPr>
        <w:t>III.4 API REST (Laravel — préfixe /api)</w:t>
      </w:r>
    </w:p>
    <w:p>
      <w:pPr>
        <w:spacing w:after="120" w:line="240" w:lineRule="auto"/>
      </w:pPr>
      <w:r>
        <w:rPr>
          <w:rFonts w:ascii="Calibri" w:hAnsi="Calibri"/>
          <w:b w:val="0"/>
          <w:sz w:val="22"/>
        </w:rPr>
        <w:t>Routes principales (auth:sanctum sauf mention) :</w:t>
      </w:r>
    </w:p>
    <w:p>
      <w:pPr>
        <w:pStyle w:val="ListBullet"/>
        <w:spacing w:after="80" w:line="240" w:lineRule="auto"/>
      </w:pPr>
      <w:r>
        <w:rPr>
          <w:rFonts w:ascii="Calibri" w:hAnsi="Calibri"/>
          <w:b w:val="0"/>
          <w:sz w:val="22"/>
        </w:rPr>
        <w:t>POST /register, /login, /forgot-password, /reset-password</w:t>
      </w:r>
    </w:p>
    <w:p>
      <w:pPr>
        <w:pStyle w:val="ListBullet"/>
        <w:spacing w:after="80" w:line="240" w:lineRule="auto"/>
      </w:pPr>
      <w:r>
        <w:rPr>
          <w:rFonts w:ascii="Calibri" w:hAnsi="Calibri"/>
          <w:b w:val="0"/>
          <w:sz w:val="22"/>
        </w:rPr>
        <w:t>GET /me, PUT /me, PUT /me/settings, PUT /me/password, PUT|POST /me/company-profile</w:t>
      </w:r>
    </w:p>
    <w:p>
      <w:pPr>
        <w:pStyle w:val="ListBullet"/>
        <w:spacing w:after="80" w:line="240" w:lineRule="auto"/>
      </w:pPr>
      <w:r>
        <w:rPr>
          <w:rFonts w:ascii="Calibri" w:hAnsi="Calibri"/>
          <w:b w:val="0"/>
          <w:sz w:val="22"/>
        </w:rPr>
        <w:t>GET /billing, POST /billing/checkout, POST /billing/portal</w:t>
      </w:r>
    </w:p>
    <w:p>
      <w:pPr>
        <w:pStyle w:val="ListBullet"/>
        <w:spacing w:after="80" w:line="240" w:lineRule="auto"/>
      </w:pPr>
      <w:r>
        <w:rPr>
          <w:rFonts w:ascii="Calibri" w:hAnsi="Calibri"/>
          <w:b w:val="0"/>
          <w:sz w:val="22"/>
        </w:rPr>
        <w:t>GET /dashboard/home, /dashboard/summary, /dashboard/export (Pro)</w:t>
      </w:r>
    </w:p>
    <w:p>
      <w:pPr>
        <w:pStyle w:val="ListBullet"/>
        <w:spacing w:after="80" w:line="240" w:lineRule="auto"/>
      </w:pPr>
      <w:r>
        <w:rPr>
          <w:rFonts w:ascii="Calibri" w:hAnsi="Calibri"/>
          <w:b w:val="0"/>
          <w:sz w:val="22"/>
        </w:rPr>
        <w:t>GET /reports/summary</w:t>
      </w:r>
    </w:p>
    <w:p>
      <w:pPr>
        <w:pStyle w:val="ListBullet"/>
        <w:spacing w:after="80" w:line="240" w:lineRule="auto"/>
      </w:pPr>
      <w:r>
        <w:rPr>
          <w:rFonts w:ascii="Calibri" w:hAnsi="Calibri"/>
          <w:b w:val="0"/>
          <w:sz w:val="22"/>
        </w:rPr>
        <w:t>apiResource /clients (+ POST /clients/import Pro, GET /clients/{id}/documents)</w:t>
      </w:r>
    </w:p>
    <w:p>
      <w:pPr>
        <w:pStyle w:val="ListBullet"/>
        <w:spacing w:after="80" w:line="240" w:lineRule="auto"/>
      </w:pPr>
      <w:r>
        <w:rPr>
          <w:rFonts w:ascii="Calibri" w:hAnsi="Calibri"/>
          <w:b w:val="0"/>
          <w:sz w:val="22"/>
        </w:rPr>
        <w:t>apiResource /quotes (+ POST /quotes/{id}/convert-to-invoice, preview/pdf/history)</w:t>
      </w:r>
    </w:p>
    <w:p>
      <w:pPr>
        <w:pStyle w:val="ListBullet"/>
        <w:spacing w:after="80" w:line="240" w:lineRule="auto"/>
      </w:pPr>
      <w:r>
        <w:rPr>
          <w:rFonts w:ascii="Calibri" w:hAnsi="Calibri"/>
          <w:b w:val="0"/>
          <w:sz w:val="22"/>
        </w:rPr>
        <w:t>apiResource /invoices (+ credit-note, preview/pdf/history, payments CRUD)</w:t>
      </w:r>
    </w:p>
    <w:p>
      <w:pPr>
        <w:pStyle w:val="ListBullet"/>
        <w:spacing w:after="80" w:line="240" w:lineRule="auto"/>
      </w:pPr>
      <w:r>
        <w:rPr>
          <w:rFonts w:ascii="Calibri" w:hAnsi="Calibri"/>
          <w:b w:val="0"/>
          <w:sz w:val="22"/>
        </w:rPr>
        <w:t>POST /stripe/webhook (public)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4213D"/>
        </w:rPr>
        <w:t>IV. Modules fonctionnels</w:t>
      </w:r>
    </w:p>
    <w:p>
      <w:pPr>
        <w:pStyle w:val="Heading2"/>
      </w:pPr>
      <w:r>
        <w:rPr>
          <w:rFonts w:ascii="Calibri" w:hAnsi="Calibri"/>
          <w:color w:val="14213D"/>
        </w:rPr>
        <w:t>Authentification</w:t>
      </w:r>
    </w:p>
    <w:p>
      <w:pPr>
        <w:spacing w:after="120" w:line="240" w:lineRule="auto"/>
      </w:pPr>
      <w:r>
        <w:rPr>
          <w:rFonts w:ascii="Calibri" w:hAnsi="Calibri"/>
          <w:b w:val="0"/>
          <w:sz w:val="22"/>
        </w:rPr>
        <w:t>Inscription sans token immédiat ; connexion Sanctum ; reset token usage unique ; vérification e-mail désactivée volontairement (compte utilisable à l'inscription).</w:t>
      </w:r>
    </w:p>
    <w:p>
      <w:pPr>
        <w:pStyle w:val="Heading2"/>
      </w:pPr>
      <w:r>
        <w:rPr>
          <w:rFonts w:ascii="Calibri" w:hAnsi="Calibri"/>
          <w:color w:val="14213D"/>
        </w:rPr>
        <w:t>Clients</w:t>
      </w:r>
    </w:p>
    <w:p>
      <w:pPr>
        <w:spacing w:after="120" w:line="240" w:lineRule="auto"/>
      </w:pPr>
      <w:r>
        <w:rPr>
          <w:rFonts w:ascii="Calibri" w:hAnsi="Calibri"/>
          <w:b w:val="0"/>
          <w:sz w:val="22"/>
        </w:rPr>
        <w:t>first_name, last_name, company, email, phone, address, tax_id (NIF), notes ; suppression autorisée en v1 même si documents liés (dette produit).</w:t>
      </w:r>
    </w:p>
    <w:p>
      <w:pPr>
        <w:pStyle w:val="Heading2"/>
      </w:pPr>
      <w:r>
        <w:rPr>
          <w:rFonts w:ascii="Calibri" w:hAnsi="Calibri"/>
          <w:color w:val="14213D"/>
        </w:rPr>
        <w:t>Devis</w:t>
      </w:r>
    </w:p>
    <w:p>
      <w:pPr>
        <w:spacing w:after="120" w:line="240" w:lineRule="auto"/>
      </w:pPr>
      <w:r>
        <w:rPr>
          <w:rFonts w:ascii="Calibri" w:hAnsi="Calibri"/>
          <w:b w:val="0"/>
          <w:sz w:val="22"/>
        </w:rPr>
        <w:t>Numérotation DEV-YYYY-NNNN ; statuts draft/sent/accepted/rejected/expired ; devises XOF, EUR, USD, GBP ; remise % ; conversion si accepted uniquement.</w:t>
      </w:r>
    </w:p>
    <w:p>
      <w:pPr>
        <w:pStyle w:val="Heading2"/>
      </w:pPr>
      <w:r>
        <w:rPr>
          <w:rFonts w:ascii="Calibri" w:hAnsi="Calibri"/>
          <w:color w:val="14213D"/>
        </w:rPr>
        <w:t>Factures &amp; avoirs</w:t>
      </w:r>
    </w:p>
    <w:p>
      <w:pPr>
        <w:spacing w:after="120" w:line="240" w:lineRule="auto"/>
      </w:pPr>
      <w:r>
        <w:rPr>
          <w:rFonts w:ascii="Calibri" w:hAnsi="Calibri"/>
          <w:b w:val="0"/>
          <w:sz w:val="22"/>
        </w:rPr>
        <w:t>FAC-YYYY-NNNN / AVR-YYYY-NNNN ; statuts draft/sent/paid/overdue/cancelled ; avoir manuel (annulation totale, 1 max) ; paiements partiels.</w:t>
      </w:r>
    </w:p>
    <w:p>
      <w:pPr>
        <w:pStyle w:val="Heading2"/>
      </w:pPr>
      <w:r>
        <w:rPr>
          <w:rFonts w:ascii="Calibri" w:hAnsi="Calibri"/>
          <w:color w:val="14213D"/>
        </w:rPr>
        <w:t>PDF</w:t>
      </w:r>
    </w:p>
    <w:p>
      <w:pPr>
        <w:spacing w:after="120" w:line="240" w:lineRule="auto"/>
      </w:pPr>
      <w:r>
        <w:rPr>
          <w:rFonts w:ascii="Calibri" w:hAnsi="Calibri"/>
          <w:b w:val="0"/>
          <w:sz w:val="22"/>
        </w:rPr>
        <w:t>Génération DomPDF à la volée (pas de stockage cloud, pas d'URL PDF persistée en base).</w:t>
      </w:r>
    </w:p>
    <w:p>
      <w:pPr>
        <w:pStyle w:val="Heading2"/>
      </w:pPr>
      <w:r>
        <w:rPr>
          <w:rFonts w:ascii="Calibri" w:hAnsi="Calibri"/>
          <w:color w:val="14213D"/>
        </w:rPr>
        <w:t>Abonnement</w:t>
      </w:r>
    </w:p>
    <w:p>
      <w:pPr>
        <w:spacing w:after="120" w:line="240" w:lineRule="auto"/>
      </w:pPr>
      <w:r>
        <w:rPr>
          <w:rFonts w:ascii="Calibri" w:hAnsi="Calibri"/>
          <w:b w:val="0"/>
          <w:sz w:val="22"/>
        </w:rPr>
        <w:t>Free : 10 factures/mois ; Pro : 5 000 F CFA/mois Stripe ; Enterprise : contact e-mail.</w:t>
      </w:r>
    </w:p>
    <w:p>
      <w:pPr>
        <w:pStyle w:val="Heading2"/>
      </w:pPr>
      <w:r>
        <w:rPr>
          <w:rFonts w:ascii="Calibri" w:hAnsi="Calibri"/>
          <w:color w:val="14213D"/>
        </w:rPr>
        <w:t>Relances impayés</w:t>
      </w:r>
    </w:p>
    <w:p>
      <w:pPr>
        <w:spacing w:after="120" w:line="240" w:lineRule="auto"/>
      </w:pPr>
      <w:r>
        <w:rPr>
          <w:rFonts w:ascii="Calibri" w:hAnsi="Calibri"/>
          <w:b w:val="0"/>
          <w:sz w:val="22"/>
        </w:rPr>
        <w:t>Scheduler lundi 08:00 ; tous les plans si notifications_email activées (pas réservé Pro).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4213D"/>
        </w:rPr>
        <w:t>V. Décisions produit documentées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Sujet</w:t>
            </w:r>
          </w:p>
        </w:tc>
        <w:tc>
          <w:tcPr>
            <w:tcW w:type="dxa" w:w="4703"/>
          </w:tcPr>
          <w:p>
            <w:r>
              <w:t>Décision v1.0</w:t>
            </w:r>
          </w:p>
        </w:tc>
      </w:tr>
      <w:tr>
        <w:tc>
          <w:tcPr>
            <w:tcW w:type="dxa" w:w="4703"/>
          </w:tcPr>
          <w:p>
            <w:r>
              <w:t>Nom produit</w:t>
            </w:r>
          </w:p>
        </w:tc>
        <w:tc>
          <w:tcPr>
            <w:tcW w:type="dxa" w:w="4703"/>
          </w:tcPr>
          <w:p>
            <w:r>
              <w:t>LAFACTURE (UI) ; hôte API legacy sur Fly.io</w:t>
            </w:r>
          </w:p>
        </w:tc>
      </w:tr>
      <w:tr>
        <w:tc>
          <w:tcPr>
            <w:tcW w:type="dxa" w:w="4703"/>
          </w:tcPr>
          <w:p>
            <w:r>
              <w:t>Vérification e-mail</w:t>
            </w:r>
          </w:p>
        </w:tc>
        <w:tc>
          <w:tcPr>
            <w:tcW w:type="dxa" w:w="4703"/>
          </w:tcPr>
          <w:p>
            <w:r>
              <w:t>Désactivée volontairement — email_verified_at à l'inscription</w:t>
            </w:r>
          </w:p>
        </w:tc>
      </w:tr>
      <w:tr>
        <w:tc>
          <w:tcPr>
            <w:tcW w:type="dxa" w:w="4703"/>
          </w:tcPr>
          <w:p>
            <w:r>
              <w:t>Relances impayés</w:t>
            </w:r>
          </w:p>
        </w:tc>
        <w:tc>
          <w:tcPr>
            <w:tcW w:type="dxa" w:w="4703"/>
          </w:tcPr>
          <w:p>
            <w:r>
              <w:t>Tous plans si notifications_email=true</w:t>
            </w:r>
          </w:p>
        </w:tc>
      </w:tr>
      <w:tr>
        <w:tc>
          <w:tcPr>
            <w:tcW w:type="dxa" w:w="4703"/>
          </w:tcPr>
          <w:p>
            <w:r>
              <w:t>Suppression client</w:t>
            </w:r>
          </w:p>
        </w:tc>
        <w:tc>
          <w:tcPr>
            <w:tcW w:type="dxa" w:w="4703"/>
          </w:tcPr>
          <w:p>
            <w:r>
              <w:t>Autorisée sans contrôle documents (dette RG02)</w:t>
            </w:r>
          </w:p>
        </w:tc>
      </w:tr>
      <w:tr>
        <w:tc>
          <w:tcPr>
            <w:tcW w:type="dxa" w:w="4703"/>
          </w:tcPr>
          <w:p>
            <w:r>
              <w:t>Enterprise</w:t>
            </w:r>
          </w:p>
        </w:tc>
        <w:tc>
          <w:tcPr>
            <w:tcW w:type="dxa" w:w="4703"/>
          </w:tcPr>
          <w:p>
            <w:r>
              <w:t>Contact commercial ; multi-users non implémenté</w:t>
            </w:r>
          </w:p>
        </w:tc>
      </w:tr>
      <w:tr>
        <w:tc>
          <w:tcPr>
            <w:tcW w:type="dxa" w:w="4703"/>
          </w:tcPr>
          <w:p>
            <w:r>
              <w:t>Paiement facture client</w:t>
            </w:r>
          </w:p>
        </w:tc>
        <w:tc>
          <w:tcPr>
            <w:tcW w:type="dxa" w:w="4703"/>
          </w:tcPr>
          <w:p>
            <w:r>
              <w:t>Manuel uniquement ; Stripe = abonnement SaaS</w:t>
            </w:r>
          </w:p>
        </w:tc>
      </w:tr>
      <w:tr>
        <w:tc>
          <w:tcPr>
            <w:tcW w:type="dxa" w:w="4703"/>
          </w:tcPr>
          <w:p>
            <w:r>
              <w:t>CA dashboard</w:t>
            </w:r>
          </w:p>
        </w:tc>
        <w:tc>
          <w:tcPr>
            <w:tcW w:type="dxa" w:w="4703"/>
          </w:tcPr>
          <w:p>
            <w:r>
              <w:t>Somme des paiements encaissés, pas statut paid seul</w:t>
            </w:r>
          </w:p>
        </w:tc>
      </w:tr>
    </w:tbl>
    <w:p>
      <w:pPr>
        <w:pStyle w:val="Heading2"/>
      </w:pPr>
      <w:r>
        <w:rPr>
          <w:rFonts w:ascii="Calibri" w:hAnsi="Calibri"/>
          <w:color w:val="14213D"/>
        </w:rPr>
        <w:t>V.1 Annexe — Spécification initiale (non retenue)</w:t>
      </w:r>
    </w:p>
    <w:p>
      <w:pPr>
        <w:spacing w:after="120" w:line="240" w:lineRule="auto"/>
      </w:pPr>
      <w:r>
        <w:rPr>
          <w:rFonts w:ascii="Calibri" w:hAnsi="Calibri"/>
          <w:b w:val="0"/>
          <w:sz w:val="22"/>
        </w:rPr>
        <w:t>Une première esquisse documentaire prévoyait une stack différente (runtime JavaScript, base NoSQL, génération PDF headless, store global). Cette architecture n'a pas été retenue ; l'implémentation réelle est Laravel + PostgreSQL + DomPDF + React/Vite.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4213D"/>
        </w:rPr>
        <w:t>VI. Contacts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Type</w:t>
            </w:r>
          </w:p>
        </w:tc>
        <w:tc>
          <w:tcPr>
            <w:tcW w:type="dxa" w:w="4703"/>
          </w:tcPr>
          <w:p>
            <w:r>
              <w:t>Contact</w:t>
            </w:r>
          </w:p>
        </w:tc>
      </w:tr>
      <w:tr>
        <w:tc>
          <w:tcPr>
            <w:tcW w:type="dxa" w:w="4703"/>
          </w:tcPr>
          <w:p>
            <w:r>
              <w:t>Support</w:t>
            </w:r>
          </w:p>
        </w:tc>
        <w:tc>
          <w:tcPr>
            <w:tcW w:type="dxa" w:w="4703"/>
          </w:tcPr>
          <w:p>
            <w:r>
              <w:t>contact@lafacture.app</w:t>
            </w:r>
          </w:p>
        </w:tc>
      </w:tr>
      <w:tr>
        <w:tc>
          <w:tcPr>
            <w:tcW w:type="dxa" w:w="4703"/>
          </w:tcPr>
          <w:p>
            <w:r>
              <w:t>Confidentialité</w:t>
            </w:r>
          </w:p>
        </w:tc>
        <w:tc>
          <w:tcPr>
            <w:tcW w:type="dxa" w:w="4703"/>
          </w:tcPr>
          <w:p>
            <w:r>
              <w:t>privacy@lafacture.app</w:t>
            </w:r>
          </w:p>
        </w:tc>
      </w:tr>
      <w:tr>
        <w:tc>
          <w:tcPr>
            <w:tcW w:type="dxa" w:w="4703"/>
          </w:tcPr>
          <w:p>
            <w:r>
              <w:t>Site</w:t>
            </w:r>
          </w:p>
        </w:tc>
        <w:tc>
          <w:tcPr>
            <w:tcW w:type="dxa" w:w="4703"/>
          </w:tcPr>
          <w:p>
            <w:r>
              <w:t>https://saas-facturation.vercel.app</w:t>
            </w:r>
          </w:p>
        </w:tc>
      </w:tr>
    </w:tbl>
    <w:p>
      <w:pPr>
        <w:pStyle w:val="Heading2"/>
      </w:pPr>
      <w:r>
        <w:rPr>
          <w:rFonts w:ascii="Calibri" w:hAnsi="Calibri"/>
          <w:color w:val="14213D"/>
        </w:rPr>
        <w:t>Historique du document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Version</w:t>
            </w:r>
          </w:p>
        </w:tc>
        <w:tc>
          <w:tcPr>
            <w:tcW w:type="dxa" w:w="3135"/>
          </w:tcPr>
          <w:p>
            <w:r>
              <w:t>Date</w:t>
            </w:r>
          </w:p>
        </w:tc>
        <w:tc>
          <w:tcPr>
            <w:tcW w:type="dxa" w:w="3135"/>
          </w:tcPr>
          <w:p>
            <w:r>
              <w:t>Modifications</w:t>
            </w:r>
          </w:p>
        </w:tc>
      </w:tr>
      <w:tr>
        <w:tc>
          <w:tcPr>
            <w:tcW w:type="dxa" w:w="3135"/>
          </w:tcPr>
          <w:p>
            <w:r>
              <w:t>1.0</w:t>
            </w:r>
          </w:p>
        </w:tc>
        <w:tc>
          <w:tcPr>
            <w:tcW w:type="dxa" w:w="3135"/>
          </w:tcPr>
          <w:p>
            <w:r>
              <w:t>Mars 2026</w:t>
            </w:r>
          </w:p>
        </w:tc>
        <w:tc>
          <w:tcPr>
            <w:tcW w:type="dxa" w:w="3135"/>
          </w:tcPr>
          <w:p>
            <w:r>
              <w:t>Spécification initiale (stack abandonnée)</w:t>
            </w:r>
          </w:p>
        </w:tc>
      </w:tr>
      <w:tr>
        <w:tc>
          <w:tcPr>
            <w:tcW w:type="dxa" w:w="3135"/>
          </w:tcPr>
          <w:p>
            <w:r>
              <w:t>3.0</w:t>
            </w:r>
          </w:p>
        </w:tc>
        <w:tc>
          <w:tcPr>
            <w:tcW w:type="dxa" w:w="3135"/>
          </w:tcPr>
          <w:p>
            <w:r>
              <w:t>02/06/2026</w:t>
            </w:r>
          </w:p>
        </w:tc>
        <w:tc>
          <w:tcPr>
            <w:tcW w:type="dxa" w:w="3135"/>
          </w:tcPr>
          <w:p>
            <w:r>
              <w:t>Alignement LAFACTURE — stack et périmètre réels</w:t>
            </w:r>
          </w:p>
        </w:tc>
      </w:tr>
    </w:tbl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