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05D1" w:rsidRDefault="00A405D1" w:rsidP="001802B2">
      <w:pPr>
        <w:shd w:val="clear" w:color="auto" w:fill="FFFFFF"/>
        <w:spacing w:line="480" w:lineRule="auto"/>
        <w:textAlignment w:val="center"/>
        <w:rPr>
          <w:rFonts w:ascii="Arial" w:eastAsia="Times New Roman" w:hAnsi="Arial" w:cs="Arial"/>
          <w:color w:val="707070"/>
          <w:spacing w:val="15"/>
          <w:sz w:val="17"/>
          <w:szCs w:val="17"/>
        </w:rPr>
      </w:pPr>
      <w:r>
        <w:rPr>
          <w:rFonts w:ascii="Arial" w:eastAsia="Times New Roman" w:hAnsi="Arial" w:cs="Arial"/>
          <w:color w:val="707070"/>
          <w:spacing w:val="15"/>
          <w:sz w:val="17"/>
          <w:szCs w:val="17"/>
        </w:rPr>
        <w:t>Infant and child mortality rates reflect the economi</w:t>
      </w:r>
      <w:r w:rsidR="005D3E77">
        <w:rPr>
          <w:rFonts w:ascii="Arial" w:eastAsia="Times New Roman" w:hAnsi="Arial" w:cs="Arial"/>
          <w:color w:val="707070"/>
          <w:spacing w:val="15"/>
          <w:sz w:val="17"/>
          <w:szCs w:val="17"/>
        </w:rPr>
        <w:t>c</w:t>
      </w:r>
      <w:r>
        <w:rPr>
          <w:rFonts w:ascii="Arial" w:eastAsia="Times New Roman" w:hAnsi="Arial" w:cs="Arial"/>
          <w:color w:val="707070"/>
          <w:spacing w:val="15"/>
          <w:sz w:val="17"/>
          <w:szCs w:val="17"/>
        </w:rPr>
        <w:t xml:space="preserve">, social, and environmental conditions as well as the </w:t>
      </w:r>
      <w:r w:rsidR="005D3E77">
        <w:rPr>
          <w:rFonts w:ascii="Arial" w:eastAsia="Times New Roman" w:hAnsi="Arial" w:cs="Arial"/>
          <w:color w:val="707070"/>
          <w:spacing w:val="15"/>
          <w:sz w:val="17"/>
          <w:szCs w:val="17"/>
        </w:rPr>
        <w:t xml:space="preserve">quality of a country’s </w:t>
      </w:r>
      <w:r>
        <w:rPr>
          <w:rFonts w:ascii="Arial" w:eastAsia="Times New Roman" w:hAnsi="Arial" w:cs="Arial"/>
          <w:color w:val="707070"/>
          <w:spacing w:val="15"/>
          <w:sz w:val="17"/>
          <w:szCs w:val="17"/>
        </w:rPr>
        <w:t>health syste</w:t>
      </w:r>
      <w:r w:rsidR="005D3E77">
        <w:rPr>
          <w:rFonts w:ascii="Arial" w:eastAsia="Times New Roman" w:hAnsi="Arial" w:cs="Arial"/>
          <w:color w:val="707070"/>
          <w:spacing w:val="15"/>
          <w:sz w:val="17"/>
          <w:szCs w:val="17"/>
        </w:rPr>
        <w:t>m</w:t>
      </w:r>
      <w:r>
        <w:rPr>
          <w:rFonts w:ascii="Arial" w:eastAsia="Times New Roman" w:hAnsi="Arial" w:cs="Arial"/>
          <w:color w:val="707070"/>
          <w:spacing w:val="15"/>
          <w:sz w:val="17"/>
          <w:szCs w:val="17"/>
        </w:rPr>
        <w:t>. Infant mortality is death among children who are not yet one year of age</w:t>
      </w:r>
      <w:r w:rsidR="005D3E77">
        <w:rPr>
          <w:rFonts w:ascii="Arial" w:eastAsia="Times New Roman" w:hAnsi="Arial" w:cs="Arial"/>
          <w:color w:val="707070"/>
          <w:spacing w:val="15"/>
          <w:sz w:val="17"/>
          <w:szCs w:val="17"/>
        </w:rPr>
        <w:t xml:space="preserve"> and infant mortality rate</w:t>
      </w:r>
      <w:r w:rsidR="009C2DBA">
        <w:rPr>
          <w:rFonts w:ascii="Arial" w:eastAsia="Times New Roman" w:hAnsi="Arial" w:cs="Arial"/>
          <w:color w:val="707070"/>
          <w:spacing w:val="15"/>
          <w:sz w:val="17"/>
          <w:szCs w:val="17"/>
        </w:rPr>
        <w:t xml:space="preserve"> (IMR)</w:t>
      </w:r>
      <w:r w:rsidR="005D3E77">
        <w:rPr>
          <w:rFonts w:ascii="Arial" w:eastAsia="Times New Roman" w:hAnsi="Arial" w:cs="Arial"/>
          <w:color w:val="707070"/>
          <w:spacing w:val="15"/>
          <w:sz w:val="17"/>
          <w:szCs w:val="17"/>
        </w:rPr>
        <w:t xml:space="preserve"> is the porportion of deaths of infant per 1,000 live births </w:t>
      </w:r>
      <w:r w:rsidR="005D3E77">
        <w:rPr>
          <w:rFonts w:ascii="Arial" w:eastAsia="Times New Roman" w:hAnsi="Arial" w:cs="Arial"/>
          <w:color w:val="707070"/>
          <w:spacing w:val="15"/>
          <w:sz w:val="17"/>
          <w:szCs w:val="17"/>
        </w:rPr>
        <w:t>in a given year</w:t>
      </w:r>
      <w:r w:rsidR="005D3E77">
        <w:rPr>
          <w:rFonts w:ascii="Arial" w:eastAsia="Times New Roman" w:hAnsi="Arial" w:cs="Arial"/>
          <w:color w:val="707070"/>
          <w:spacing w:val="15"/>
          <w:sz w:val="17"/>
          <w:szCs w:val="17"/>
        </w:rPr>
        <w:t xml:space="preserve">. Developed and high income countries </w:t>
      </w:r>
      <w:r w:rsidR="009C2DBA">
        <w:rPr>
          <w:rFonts w:ascii="Arial" w:eastAsia="Times New Roman" w:hAnsi="Arial" w:cs="Arial"/>
          <w:color w:val="707070"/>
          <w:spacing w:val="15"/>
          <w:sz w:val="17"/>
          <w:szCs w:val="17"/>
        </w:rPr>
        <w:t>has lower</w:t>
      </w:r>
      <w:r w:rsidR="005D3E77">
        <w:rPr>
          <w:rFonts w:ascii="Arial" w:eastAsia="Times New Roman" w:hAnsi="Arial" w:cs="Arial"/>
          <w:color w:val="707070"/>
          <w:spacing w:val="15"/>
          <w:sz w:val="17"/>
          <w:szCs w:val="17"/>
        </w:rPr>
        <w:t xml:space="preserve"> </w:t>
      </w:r>
      <w:r w:rsidR="009C2DBA">
        <w:rPr>
          <w:rFonts w:ascii="Arial" w:eastAsia="Times New Roman" w:hAnsi="Arial" w:cs="Arial"/>
          <w:color w:val="707070"/>
          <w:spacing w:val="15"/>
          <w:sz w:val="17"/>
          <w:szCs w:val="17"/>
        </w:rPr>
        <w:t>IMR</w:t>
      </w:r>
      <w:r w:rsidR="005D3E77">
        <w:rPr>
          <w:rFonts w:ascii="Arial" w:eastAsia="Times New Roman" w:hAnsi="Arial" w:cs="Arial"/>
          <w:color w:val="707070"/>
          <w:spacing w:val="15"/>
          <w:sz w:val="17"/>
          <w:szCs w:val="17"/>
        </w:rPr>
        <w:t xml:space="preserve"> than developing and low income countries. In 2019, </w:t>
      </w:r>
      <w:r w:rsidR="00072F24">
        <w:rPr>
          <w:rFonts w:ascii="Arial" w:eastAsia="Times New Roman" w:hAnsi="Arial" w:cs="Arial"/>
          <w:color w:val="707070"/>
          <w:spacing w:val="15"/>
          <w:sz w:val="17"/>
          <w:szCs w:val="17"/>
        </w:rPr>
        <w:t xml:space="preserve">the average </w:t>
      </w:r>
      <w:r w:rsidR="009C2DBA">
        <w:rPr>
          <w:rFonts w:ascii="Arial" w:eastAsia="Times New Roman" w:hAnsi="Arial" w:cs="Arial"/>
          <w:color w:val="707070"/>
          <w:spacing w:val="15"/>
          <w:sz w:val="17"/>
          <w:szCs w:val="17"/>
        </w:rPr>
        <w:t>IMR</w:t>
      </w:r>
      <w:r w:rsidR="009C2DBA">
        <w:rPr>
          <w:rFonts w:ascii="Arial" w:eastAsia="Times New Roman" w:hAnsi="Arial" w:cs="Arial"/>
          <w:color w:val="707070"/>
          <w:spacing w:val="15"/>
          <w:sz w:val="17"/>
          <w:szCs w:val="17"/>
        </w:rPr>
        <w:t xml:space="preserve"> </w:t>
      </w:r>
      <w:r w:rsidR="00072F24">
        <w:rPr>
          <w:rFonts w:ascii="Arial" w:eastAsia="Times New Roman" w:hAnsi="Arial" w:cs="Arial"/>
          <w:color w:val="707070"/>
          <w:spacing w:val="15"/>
          <w:sz w:val="17"/>
          <w:szCs w:val="17"/>
        </w:rPr>
        <w:t>of all reported countries is 28.</w:t>
      </w:r>
      <w:r w:rsidR="003D57D8">
        <w:rPr>
          <w:rFonts w:ascii="Arial" w:eastAsia="Times New Roman" w:hAnsi="Arial" w:cs="Arial"/>
          <w:color w:val="707070"/>
          <w:spacing w:val="15"/>
          <w:sz w:val="17"/>
          <w:szCs w:val="17"/>
        </w:rPr>
        <w:t>2</w:t>
      </w:r>
      <w:r w:rsidR="00072F24">
        <w:rPr>
          <w:rFonts w:ascii="Arial" w:eastAsia="Times New Roman" w:hAnsi="Arial" w:cs="Arial"/>
          <w:color w:val="707070"/>
          <w:spacing w:val="15"/>
          <w:sz w:val="17"/>
          <w:szCs w:val="17"/>
        </w:rPr>
        <w:t xml:space="preserve"> deaths per 1,000 live births. </w:t>
      </w:r>
      <w:r w:rsidR="005D3E77" w:rsidRPr="005D3E77">
        <w:rPr>
          <w:rFonts w:ascii="Arial" w:eastAsia="Times New Roman" w:hAnsi="Arial" w:cs="Arial"/>
          <w:color w:val="707070"/>
          <w:spacing w:val="15"/>
          <w:sz w:val="17"/>
          <w:szCs w:val="17"/>
        </w:rPr>
        <w:t>San Marino</w:t>
      </w:r>
      <w:r w:rsidR="005D3E77">
        <w:rPr>
          <w:rFonts w:ascii="Arial" w:eastAsia="Times New Roman" w:hAnsi="Arial" w:cs="Arial"/>
          <w:color w:val="707070"/>
          <w:spacing w:val="15"/>
          <w:sz w:val="17"/>
          <w:szCs w:val="17"/>
        </w:rPr>
        <w:t xml:space="preserve"> has the lowest </w:t>
      </w:r>
      <w:r w:rsidR="009C2DBA">
        <w:rPr>
          <w:rFonts w:ascii="Arial" w:eastAsia="Times New Roman" w:hAnsi="Arial" w:cs="Arial"/>
          <w:color w:val="707070"/>
          <w:spacing w:val="15"/>
          <w:sz w:val="17"/>
          <w:szCs w:val="17"/>
        </w:rPr>
        <w:t>IMR</w:t>
      </w:r>
      <w:r w:rsidR="009C2DBA">
        <w:rPr>
          <w:rFonts w:ascii="Arial" w:eastAsia="Times New Roman" w:hAnsi="Arial" w:cs="Arial"/>
          <w:color w:val="707070"/>
          <w:spacing w:val="15"/>
          <w:sz w:val="17"/>
          <w:szCs w:val="17"/>
        </w:rPr>
        <w:t xml:space="preserve"> </w:t>
      </w:r>
      <w:r w:rsidR="005D3E77">
        <w:rPr>
          <w:rFonts w:ascii="Arial" w:eastAsia="Times New Roman" w:hAnsi="Arial" w:cs="Arial"/>
          <w:color w:val="707070"/>
          <w:spacing w:val="15"/>
          <w:sz w:val="17"/>
          <w:szCs w:val="17"/>
        </w:rPr>
        <w:t xml:space="preserve">of 1.5 deaths per 1,000 live births while </w:t>
      </w:r>
      <w:r w:rsidR="005D3E77" w:rsidRPr="005D3E77">
        <w:rPr>
          <w:rFonts w:ascii="Arial" w:eastAsia="Times New Roman" w:hAnsi="Arial" w:cs="Arial"/>
          <w:color w:val="707070"/>
          <w:spacing w:val="15"/>
          <w:sz w:val="17"/>
          <w:szCs w:val="17"/>
        </w:rPr>
        <w:t>Central African Republic</w:t>
      </w:r>
      <w:r w:rsidR="005D3E77">
        <w:rPr>
          <w:rFonts w:ascii="Arial" w:eastAsia="Times New Roman" w:hAnsi="Arial" w:cs="Arial"/>
          <w:color w:val="707070"/>
          <w:spacing w:val="15"/>
          <w:sz w:val="17"/>
          <w:szCs w:val="17"/>
        </w:rPr>
        <w:t xml:space="preserve"> has the highest </w:t>
      </w:r>
      <w:r w:rsidR="009C2DBA">
        <w:rPr>
          <w:rFonts w:ascii="Arial" w:eastAsia="Times New Roman" w:hAnsi="Arial" w:cs="Arial"/>
          <w:color w:val="707070"/>
          <w:spacing w:val="15"/>
          <w:sz w:val="17"/>
          <w:szCs w:val="17"/>
        </w:rPr>
        <w:t>IMR</w:t>
      </w:r>
      <w:r w:rsidR="009C2DBA">
        <w:rPr>
          <w:rFonts w:ascii="Arial" w:eastAsia="Times New Roman" w:hAnsi="Arial" w:cs="Arial"/>
          <w:color w:val="707070"/>
          <w:spacing w:val="15"/>
          <w:sz w:val="17"/>
          <w:szCs w:val="17"/>
        </w:rPr>
        <w:t xml:space="preserve"> </w:t>
      </w:r>
      <w:r w:rsidR="005D3E77">
        <w:rPr>
          <w:rFonts w:ascii="Arial" w:eastAsia="Times New Roman" w:hAnsi="Arial" w:cs="Arial"/>
          <w:color w:val="707070"/>
          <w:spacing w:val="15"/>
          <w:sz w:val="17"/>
          <w:szCs w:val="17"/>
        </w:rPr>
        <w:t>of 81 deaths per 1,000 live births.</w:t>
      </w:r>
      <w:r w:rsidR="00072F24">
        <w:rPr>
          <w:rFonts w:ascii="Arial" w:eastAsia="Times New Roman" w:hAnsi="Arial" w:cs="Arial"/>
          <w:color w:val="707070"/>
          <w:spacing w:val="15"/>
          <w:sz w:val="17"/>
          <w:szCs w:val="17"/>
        </w:rPr>
        <w:t xml:space="preserve"> </w:t>
      </w:r>
    </w:p>
    <w:p w:rsidR="003D57D8" w:rsidRDefault="003D57D8" w:rsidP="001802B2">
      <w:pPr>
        <w:shd w:val="clear" w:color="auto" w:fill="FFFFFF"/>
        <w:spacing w:line="480" w:lineRule="auto"/>
        <w:textAlignment w:val="center"/>
        <w:rPr>
          <w:rFonts w:ascii="Arial" w:eastAsia="Times New Roman" w:hAnsi="Arial" w:cs="Arial"/>
          <w:color w:val="707070"/>
          <w:spacing w:val="15"/>
          <w:sz w:val="17"/>
          <w:szCs w:val="17"/>
        </w:rPr>
      </w:pPr>
    </w:p>
    <w:p w:rsidR="003D57D8" w:rsidRPr="00054876" w:rsidRDefault="003D57D8" w:rsidP="001802B2">
      <w:pPr>
        <w:shd w:val="clear" w:color="auto" w:fill="FFFFFF"/>
        <w:spacing w:line="480" w:lineRule="auto"/>
        <w:textAlignment w:val="center"/>
        <w:rPr>
          <w:rFonts w:ascii="Arial" w:eastAsia="Times New Roman" w:hAnsi="Arial" w:cs="Arial"/>
          <w:color w:val="707070"/>
          <w:spacing w:val="15"/>
          <w:sz w:val="17"/>
          <w:szCs w:val="17"/>
        </w:rPr>
      </w:pPr>
      <w:r>
        <w:rPr>
          <w:rFonts w:ascii="Arial" w:eastAsia="Times New Roman" w:hAnsi="Arial" w:cs="Arial"/>
          <w:color w:val="707070"/>
          <w:spacing w:val="15"/>
          <w:sz w:val="17"/>
          <w:szCs w:val="17"/>
        </w:rPr>
        <w:t>Infant morality has decreased significantly over the course of history.</w:t>
      </w:r>
      <w:r w:rsidR="00B406EB">
        <w:rPr>
          <w:rFonts w:ascii="Arial" w:eastAsia="Times New Roman" w:hAnsi="Arial" w:cs="Arial"/>
          <w:color w:val="707070"/>
          <w:spacing w:val="15"/>
          <w:sz w:val="17"/>
          <w:szCs w:val="17"/>
        </w:rPr>
        <w:t xml:space="preserve"> In 1990, IMR</w:t>
      </w:r>
      <w:r w:rsidR="00054876">
        <w:rPr>
          <w:rFonts w:ascii="Arial" w:eastAsia="Times New Roman" w:hAnsi="Arial" w:cs="Arial"/>
          <w:color w:val="707070"/>
          <w:spacing w:val="15"/>
          <w:sz w:val="17"/>
          <w:szCs w:val="17"/>
        </w:rPr>
        <w:t xml:space="preserve"> of all reported countries</w:t>
      </w:r>
      <w:r w:rsidR="00B406EB">
        <w:rPr>
          <w:rFonts w:ascii="Arial" w:eastAsia="Times New Roman" w:hAnsi="Arial" w:cs="Arial"/>
          <w:color w:val="707070"/>
          <w:spacing w:val="15"/>
          <w:sz w:val="17"/>
          <w:szCs w:val="17"/>
        </w:rPr>
        <w:t xml:space="preserve"> was 64.5 deaths per 1,000 live births. The deaths has decreased by 56% in 2019, which the IMR is 28.2 deaths per 1,000 live births.</w:t>
      </w:r>
      <w:r w:rsidR="00AA3974">
        <w:rPr>
          <w:rFonts w:ascii="Arial" w:eastAsia="Times New Roman" w:hAnsi="Arial" w:cs="Arial"/>
          <w:color w:val="707070"/>
          <w:spacing w:val="15"/>
          <w:sz w:val="17"/>
          <w:szCs w:val="17"/>
        </w:rPr>
        <w:t xml:space="preserve"> Maldives has the greatest decrease in IMR </w:t>
      </w:r>
      <w:r w:rsidR="006F5206">
        <w:rPr>
          <w:rFonts w:ascii="Arial" w:eastAsia="Times New Roman" w:hAnsi="Arial" w:cs="Arial"/>
          <w:color w:val="707070"/>
          <w:spacing w:val="15"/>
          <w:sz w:val="17"/>
          <w:szCs w:val="17"/>
        </w:rPr>
        <w:t xml:space="preserve">from 63 </w:t>
      </w:r>
      <w:r w:rsidR="006F5206">
        <w:rPr>
          <w:rFonts w:ascii="Arial" w:eastAsia="Times New Roman" w:hAnsi="Arial" w:cs="Arial"/>
          <w:color w:val="707070"/>
          <w:spacing w:val="15"/>
          <w:sz w:val="17"/>
          <w:szCs w:val="17"/>
        </w:rPr>
        <w:t xml:space="preserve">deaths per 1,000 live births </w:t>
      </w:r>
      <w:r w:rsidR="006F5206">
        <w:rPr>
          <w:rFonts w:ascii="Arial" w:eastAsia="Times New Roman" w:hAnsi="Arial" w:cs="Arial"/>
          <w:color w:val="707070"/>
          <w:spacing w:val="15"/>
          <w:sz w:val="17"/>
          <w:szCs w:val="17"/>
        </w:rPr>
        <w:t>in 1990 to 6.5 deaths per 1,000 live births</w:t>
      </w:r>
      <w:r w:rsidR="00AA3974">
        <w:rPr>
          <w:rFonts w:ascii="Arial" w:eastAsia="Times New Roman" w:hAnsi="Arial" w:cs="Arial"/>
          <w:color w:val="707070"/>
          <w:spacing w:val="15"/>
          <w:sz w:val="17"/>
          <w:szCs w:val="17"/>
        </w:rPr>
        <w:t xml:space="preserve"> </w:t>
      </w:r>
      <w:r w:rsidR="006F5206">
        <w:rPr>
          <w:rFonts w:ascii="Arial" w:eastAsia="Times New Roman" w:hAnsi="Arial" w:cs="Arial"/>
          <w:color w:val="707070"/>
          <w:spacing w:val="15"/>
          <w:sz w:val="17"/>
          <w:szCs w:val="17"/>
        </w:rPr>
        <w:t>in 2019 (</w:t>
      </w:r>
      <w:r w:rsidR="006F5206" w:rsidRPr="006F5206">
        <w:rPr>
          <w:rFonts w:ascii="Arial" w:eastAsia="Times New Roman" w:hAnsi="Arial" w:cs="Arial"/>
          <w:color w:val="222222"/>
          <w:sz w:val="21"/>
          <w:szCs w:val="21"/>
          <w:shd w:val="clear" w:color="auto" w:fill="FFFFFF"/>
        </w:rPr>
        <w:t>↓</w:t>
      </w:r>
      <w:r w:rsidR="005D0C9C">
        <w:rPr>
          <w:rFonts w:ascii="Arial" w:eastAsia="Times New Roman" w:hAnsi="Arial" w:cs="Arial"/>
          <w:color w:val="222222"/>
          <w:sz w:val="21"/>
          <w:szCs w:val="21"/>
          <w:shd w:val="clear" w:color="auto" w:fill="FFFFFF"/>
        </w:rPr>
        <w:t xml:space="preserve"> </w:t>
      </w:r>
      <w:r w:rsidR="006F5206">
        <w:rPr>
          <w:rFonts w:ascii="Arial" w:eastAsia="Times New Roman" w:hAnsi="Arial" w:cs="Arial"/>
          <w:color w:val="707070"/>
          <w:spacing w:val="15"/>
          <w:sz w:val="17"/>
          <w:szCs w:val="17"/>
        </w:rPr>
        <w:t xml:space="preserve">90%). </w:t>
      </w:r>
      <w:r w:rsidR="005D0C9C">
        <w:rPr>
          <w:rFonts w:ascii="Arial" w:eastAsia="Times New Roman" w:hAnsi="Arial" w:cs="Arial"/>
          <w:color w:val="707070"/>
          <w:spacing w:val="15"/>
          <w:sz w:val="17"/>
          <w:szCs w:val="17"/>
        </w:rPr>
        <w:t xml:space="preserve">On the contrary, </w:t>
      </w:r>
      <w:r w:rsidR="005D0C9C" w:rsidRPr="005D0C9C">
        <w:rPr>
          <w:rFonts w:ascii="Arial" w:eastAsia="Times New Roman" w:hAnsi="Arial" w:cs="Arial"/>
          <w:color w:val="707070"/>
          <w:spacing w:val="15"/>
          <w:sz w:val="17"/>
          <w:szCs w:val="17"/>
        </w:rPr>
        <w:t>Dominica</w:t>
      </w:r>
      <w:r w:rsidR="005D0C9C">
        <w:rPr>
          <w:rFonts w:ascii="Arial" w:eastAsia="Times New Roman" w:hAnsi="Arial" w:cs="Arial"/>
          <w:color w:val="707070"/>
          <w:spacing w:val="15"/>
          <w:sz w:val="17"/>
          <w:szCs w:val="17"/>
        </w:rPr>
        <w:t xml:space="preserve"> is the only country in recorded history that has a sharp increase in IMR. In 1990, IMR in Dominica was 12.9 </w:t>
      </w:r>
      <w:r w:rsidR="005D0C9C">
        <w:rPr>
          <w:rFonts w:ascii="Arial" w:eastAsia="Times New Roman" w:hAnsi="Arial" w:cs="Arial"/>
          <w:color w:val="707070"/>
          <w:spacing w:val="15"/>
          <w:sz w:val="17"/>
          <w:szCs w:val="17"/>
        </w:rPr>
        <w:t>deaths per 1,000 live births</w:t>
      </w:r>
      <w:r w:rsidR="005D0C9C">
        <w:rPr>
          <w:rFonts w:ascii="Arial" w:eastAsia="Times New Roman" w:hAnsi="Arial" w:cs="Arial"/>
          <w:color w:val="707070"/>
          <w:spacing w:val="15"/>
          <w:sz w:val="17"/>
          <w:szCs w:val="17"/>
        </w:rPr>
        <w:t xml:space="preserve"> and has increased to 30.9 </w:t>
      </w:r>
      <w:r w:rsidR="005D0C9C">
        <w:rPr>
          <w:rFonts w:ascii="Arial" w:eastAsia="Times New Roman" w:hAnsi="Arial" w:cs="Arial"/>
          <w:color w:val="707070"/>
          <w:spacing w:val="15"/>
          <w:sz w:val="17"/>
          <w:szCs w:val="17"/>
        </w:rPr>
        <w:t>deaths per 1,000 live births</w:t>
      </w:r>
      <w:r w:rsidR="005D0C9C">
        <w:rPr>
          <w:rFonts w:ascii="Arial" w:eastAsia="Times New Roman" w:hAnsi="Arial" w:cs="Arial"/>
          <w:color w:val="707070"/>
          <w:spacing w:val="15"/>
          <w:sz w:val="17"/>
          <w:szCs w:val="17"/>
        </w:rPr>
        <w:t xml:space="preserve"> in 2020 (</w:t>
      </w:r>
      <w:r w:rsidR="005D0C9C" w:rsidRPr="005D0C9C">
        <w:rPr>
          <w:rFonts w:ascii="Arial" w:eastAsia="Times New Roman" w:hAnsi="Arial" w:cs="Arial" w:hint="eastAsia"/>
          <w:color w:val="707070"/>
          <w:spacing w:val="15"/>
          <w:sz w:val="17"/>
          <w:szCs w:val="17"/>
        </w:rPr>
        <w:t>↑</w:t>
      </w:r>
      <w:r w:rsidR="005D0C9C">
        <w:rPr>
          <w:rFonts w:ascii="Arial" w:eastAsia="Times New Roman" w:hAnsi="Arial" w:cs="Arial"/>
          <w:color w:val="707070"/>
          <w:spacing w:val="15"/>
          <w:sz w:val="17"/>
          <w:szCs w:val="17"/>
        </w:rPr>
        <w:t xml:space="preserve"> 140%)</w:t>
      </w:r>
    </w:p>
    <w:p w:rsidR="005D0C9C" w:rsidRDefault="005D0C9C" w:rsidP="001802B2">
      <w:pPr>
        <w:shd w:val="clear" w:color="auto" w:fill="FFFFFF"/>
        <w:spacing w:line="480" w:lineRule="auto"/>
        <w:textAlignment w:val="center"/>
        <w:rPr>
          <w:rFonts w:ascii="Arial" w:eastAsia="Times New Roman" w:hAnsi="Arial" w:cs="Arial"/>
          <w:color w:val="707070"/>
          <w:spacing w:val="15"/>
          <w:sz w:val="17"/>
          <w:szCs w:val="17"/>
        </w:rPr>
      </w:pPr>
    </w:p>
    <w:p w:rsidR="003F202A" w:rsidRDefault="00931DEB" w:rsidP="001802B2">
      <w:pPr>
        <w:shd w:val="clear" w:color="auto" w:fill="FFFFFF"/>
        <w:spacing w:line="480" w:lineRule="auto"/>
        <w:textAlignment w:val="center"/>
        <w:rPr>
          <w:rFonts w:ascii="Arial" w:eastAsia="Times New Roman" w:hAnsi="Arial" w:cs="Arial"/>
          <w:color w:val="707070"/>
          <w:spacing w:val="15"/>
          <w:sz w:val="17"/>
          <w:szCs w:val="17"/>
        </w:rPr>
      </w:pPr>
      <w:r>
        <w:rPr>
          <w:rFonts w:ascii="Arial" w:eastAsia="Times New Roman" w:hAnsi="Arial" w:cs="Arial"/>
          <w:color w:val="707070"/>
          <w:spacing w:val="15"/>
          <w:sz w:val="17"/>
          <w:szCs w:val="17"/>
        </w:rPr>
        <w:t xml:space="preserve">Child mortality refers to the death of a child under the age of five and child mortality, also known to as the </w:t>
      </w:r>
      <w:r w:rsidRPr="00931DEB">
        <w:rPr>
          <w:rFonts w:ascii="Arial" w:eastAsia="Times New Roman" w:hAnsi="Arial" w:cs="Arial"/>
          <w:color w:val="707070"/>
          <w:spacing w:val="15"/>
          <w:sz w:val="17"/>
          <w:szCs w:val="17"/>
        </w:rPr>
        <w:t xml:space="preserve">'under-five mortality rate', </w:t>
      </w:r>
      <w:r>
        <w:rPr>
          <w:rFonts w:ascii="Arial" w:eastAsia="Times New Roman" w:hAnsi="Arial" w:cs="Arial"/>
          <w:color w:val="707070"/>
          <w:spacing w:val="15"/>
          <w:sz w:val="17"/>
          <w:szCs w:val="17"/>
        </w:rPr>
        <w:t>is the</w:t>
      </w:r>
      <w:r w:rsidRPr="00931DEB">
        <w:rPr>
          <w:rFonts w:ascii="Arial" w:eastAsia="Times New Roman" w:hAnsi="Arial" w:cs="Arial"/>
          <w:color w:val="707070"/>
          <w:spacing w:val="15"/>
          <w:sz w:val="17"/>
          <w:szCs w:val="17"/>
        </w:rPr>
        <w:t xml:space="preserve"> </w:t>
      </w:r>
      <w:r w:rsidR="00243A22" w:rsidRPr="00243A22">
        <w:rPr>
          <w:rFonts w:ascii="Arial" w:eastAsia="Times New Roman" w:hAnsi="Arial" w:cs="Arial"/>
          <w:color w:val="707070"/>
          <w:spacing w:val="15"/>
          <w:sz w:val="17"/>
          <w:szCs w:val="17"/>
        </w:rPr>
        <w:t>is the probability per 1,000</w:t>
      </w:r>
      <w:r w:rsidR="00243A22">
        <w:rPr>
          <w:rFonts w:ascii="Arial" w:eastAsia="Times New Roman" w:hAnsi="Arial" w:cs="Arial"/>
          <w:color w:val="707070"/>
          <w:spacing w:val="15"/>
          <w:sz w:val="17"/>
          <w:szCs w:val="17"/>
        </w:rPr>
        <w:t xml:space="preserve"> live births</w:t>
      </w:r>
      <w:r w:rsidR="00243A22" w:rsidRPr="00243A22">
        <w:rPr>
          <w:rFonts w:ascii="Arial" w:eastAsia="Times New Roman" w:hAnsi="Arial" w:cs="Arial"/>
          <w:color w:val="707070"/>
          <w:spacing w:val="15"/>
          <w:sz w:val="17"/>
          <w:szCs w:val="17"/>
        </w:rPr>
        <w:t xml:space="preserve"> that a newborn baby will die before reaching age five</w:t>
      </w:r>
      <w:r w:rsidRPr="00931DEB">
        <w:rPr>
          <w:rFonts w:ascii="Arial" w:eastAsia="Times New Roman" w:hAnsi="Arial" w:cs="Arial"/>
          <w:color w:val="707070"/>
          <w:spacing w:val="15"/>
          <w:sz w:val="17"/>
          <w:szCs w:val="17"/>
        </w:rPr>
        <w:t>.</w:t>
      </w:r>
      <w:r>
        <w:rPr>
          <w:rFonts w:ascii="Arial" w:eastAsia="Times New Roman" w:hAnsi="Arial" w:cs="Arial"/>
          <w:color w:val="707070"/>
          <w:spacing w:val="15"/>
          <w:sz w:val="17"/>
          <w:szCs w:val="17"/>
        </w:rPr>
        <w:t xml:space="preserve"> </w:t>
      </w:r>
      <w:r w:rsidR="006A35C1">
        <w:rPr>
          <w:rFonts w:ascii="Arial" w:eastAsia="Times New Roman" w:hAnsi="Arial" w:cs="Arial"/>
          <w:color w:val="707070"/>
          <w:spacing w:val="15"/>
          <w:sz w:val="17"/>
          <w:szCs w:val="17"/>
        </w:rPr>
        <w:t>Decreasing child mortality rate</w:t>
      </w:r>
      <w:r w:rsidR="00243A22">
        <w:rPr>
          <w:rFonts w:ascii="Arial" w:eastAsia="Times New Roman" w:hAnsi="Arial" w:cs="Arial"/>
          <w:color w:val="707070"/>
          <w:spacing w:val="15"/>
          <w:sz w:val="17"/>
          <w:szCs w:val="17"/>
        </w:rPr>
        <w:t>s</w:t>
      </w:r>
      <w:r w:rsidR="006A35C1">
        <w:rPr>
          <w:rFonts w:ascii="Arial" w:eastAsia="Times New Roman" w:hAnsi="Arial" w:cs="Arial"/>
          <w:color w:val="707070"/>
          <w:spacing w:val="15"/>
          <w:sz w:val="17"/>
          <w:szCs w:val="17"/>
        </w:rPr>
        <w:t xml:space="preserve"> is one of the 17 </w:t>
      </w:r>
      <w:r w:rsidR="006A35C1" w:rsidRPr="006A35C1">
        <w:rPr>
          <w:rFonts w:ascii="Arial" w:eastAsia="Times New Roman" w:hAnsi="Arial" w:cs="Arial"/>
          <w:color w:val="707070"/>
          <w:spacing w:val="15"/>
          <w:sz w:val="17"/>
          <w:szCs w:val="17"/>
        </w:rPr>
        <w:t xml:space="preserve">Sustainable Development Goal </w:t>
      </w:r>
      <w:r w:rsidR="006A35C1">
        <w:rPr>
          <w:rFonts w:ascii="Arial" w:eastAsia="Times New Roman" w:hAnsi="Arial" w:cs="Arial"/>
          <w:color w:val="707070"/>
          <w:spacing w:val="15"/>
          <w:sz w:val="17"/>
          <w:szCs w:val="17"/>
        </w:rPr>
        <w:t xml:space="preserve">established by the United Nation which all countries are aiming to reduce child mortality rate to as low as 25 deaths per 1,000 live births by 2030. </w:t>
      </w:r>
      <w:r w:rsidR="00243A22">
        <w:rPr>
          <w:rFonts w:ascii="Arial" w:eastAsia="Times New Roman" w:hAnsi="Arial" w:cs="Arial"/>
          <w:color w:val="707070"/>
          <w:spacing w:val="15"/>
          <w:sz w:val="17"/>
          <w:szCs w:val="17"/>
        </w:rPr>
        <w:t xml:space="preserve">Maldives and Dominica also mark the greatest increase and decrease of child mortality rate. Maldive had a decrease of 91% in child mortality from 85.8 deaths per 1,000 live births to 7.6 </w:t>
      </w:r>
      <w:r w:rsidR="00243A22">
        <w:rPr>
          <w:rFonts w:ascii="Arial" w:eastAsia="Times New Roman" w:hAnsi="Arial" w:cs="Arial"/>
          <w:color w:val="707070"/>
          <w:spacing w:val="15"/>
          <w:sz w:val="17"/>
          <w:szCs w:val="17"/>
        </w:rPr>
        <w:t>deaths per 1,000 live births</w:t>
      </w:r>
      <w:r w:rsidR="00243A22">
        <w:rPr>
          <w:rFonts w:ascii="Arial" w:eastAsia="Times New Roman" w:hAnsi="Arial" w:cs="Arial"/>
          <w:color w:val="707070"/>
          <w:spacing w:val="15"/>
          <w:sz w:val="17"/>
          <w:szCs w:val="17"/>
        </w:rPr>
        <w:t xml:space="preserve">. Dominica saw an increase of 110% from 16.5 </w:t>
      </w:r>
      <w:r w:rsidR="00243A22">
        <w:rPr>
          <w:rFonts w:ascii="Arial" w:eastAsia="Times New Roman" w:hAnsi="Arial" w:cs="Arial"/>
          <w:color w:val="707070"/>
          <w:spacing w:val="15"/>
          <w:sz w:val="17"/>
          <w:szCs w:val="17"/>
        </w:rPr>
        <w:t>deaths per 1,000 live births</w:t>
      </w:r>
      <w:r w:rsidR="00243A22">
        <w:rPr>
          <w:rFonts w:ascii="Arial" w:eastAsia="Times New Roman" w:hAnsi="Arial" w:cs="Arial"/>
          <w:color w:val="707070"/>
          <w:spacing w:val="15"/>
          <w:sz w:val="17"/>
          <w:szCs w:val="17"/>
        </w:rPr>
        <w:t xml:space="preserve"> in 1990 to 34.7 </w:t>
      </w:r>
      <w:r w:rsidR="00243A22">
        <w:rPr>
          <w:rFonts w:ascii="Arial" w:eastAsia="Times New Roman" w:hAnsi="Arial" w:cs="Arial"/>
          <w:color w:val="707070"/>
          <w:spacing w:val="15"/>
          <w:sz w:val="17"/>
          <w:szCs w:val="17"/>
        </w:rPr>
        <w:t>deaths per 1,000 live births</w:t>
      </w:r>
      <w:r w:rsidR="00243A22">
        <w:rPr>
          <w:rFonts w:ascii="Arial" w:eastAsia="Times New Roman" w:hAnsi="Arial" w:cs="Arial"/>
          <w:color w:val="707070"/>
          <w:spacing w:val="15"/>
          <w:sz w:val="17"/>
          <w:szCs w:val="17"/>
        </w:rPr>
        <w:t xml:space="preserve"> in 2019.</w:t>
      </w:r>
    </w:p>
    <w:p w:rsidR="003F202A" w:rsidRDefault="003F202A" w:rsidP="001802B2">
      <w:pPr>
        <w:spacing w:line="480" w:lineRule="auto"/>
        <w:rPr>
          <w:rFonts w:ascii="Arial" w:eastAsia="Times New Roman" w:hAnsi="Arial" w:cs="Arial"/>
          <w:color w:val="707070"/>
          <w:spacing w:val="15"/>
          <w:sz w:val="17"/>
          <w:szCs w:val="17"/>
        </w:rPr>
      </w:pPr>
    </w:p>
    <w:p w:rsidR="003F202A" w:rsidRDefault="0045390E" w:rsidP="001802B2">
      <w:pPr>
        <w:spacing w:line="480" w:lineRule="auto"/>
        <w:rPr>
          <w:rFonts w:ascii="Arial" w:eastAsia="Times New Roman" w:hAnsi="Arial" w:cs="Arial"/>
          <w:color w:val="707070"/>
          <w:spacing w:val="15"/>
          <w:sz w:val="17"/>
          <w:szCs w:val="17"/>
        </w:rPr>
      </w:pPr>
      <w:r>
        <w:rPr>
          <w:rFonts w:ascii="Arial" w:eastAsia="Times New Roman" w:hAnsi="Arial" w:cs="Arial"/>
          <w:color w:val="707070"/>
          <w:spacing w:val="15"/>
          <w:sz w:val="17"/>
          <w:szCs w:val="17"/>
        </w:rPr>
        <w:t>Many causes of child mortality</w:t>
      </w:r>
      <w:r w:rsidR="00A0210B">
        <w:rPr>
          <w:rFonts w:ascii="Arial" w:eastAsia="Times New Roman" w:hAnsi="Arial" w:cs="Arial"/>
          <w:color w:val="707070"/>
          <w:spacing w:val="15"/>
          <w:sz w:val="17"/>
          <w:szCs w:val="17"/>
        </w:rPr>
        <w:t xml:space="preserve"> </w:t>
      </w:r>
      <w:r>
        <w:rPr>
          <w:rFonts w:ascii="Arial" w:eastAsia="Times New Roman" w:hAnsi="Arial" w:cs="Arial"/>
          <w:color w:val="707070"/>
          <w:spacing w:val="15"/>
          <w:sz w:val="17"/>
          <w:szCs w:val="17"/>
        </w:rPr>
        <w:t>has saw an decrease in the number of cases</w:t>
      </w:r>
      <w:r w:rsidR="00A0210B">
        <w:rPr>
          <w:rFonts w:ascii="Arial" w:eastAsia="Times New Roman" w:hAnsi="Arial" w:cs="Arial"/>
          <w:color w:val="707070"/>
          <w:spacing w:val="15"/>
          <w:sz w:val="17"/>
          <w:szCs w:val="17"/>
        </w:rPr>
        <w:t xml:space="preserve"> over the years</w:t>
      </w:r>
      <w:r>
        <w:rPr>
          <w:rFonts w:ascii="Arial" w:eastAsia="Times New Roman" w:hAnsi="Arial" w:cs="Arial"/>
          <w:color w:val="707070"/>
          <w:spacing w:val="15"/>
          <w:sz w:val="17"/>
          <w:szCs w:val="17"/>
        </w:rPr>
        <w:t xml:space="preserve">. </w:t>
      </w:r>
      <w:r w:rsidR="00A0210B">
        <w:rPr>
          <w:rFonts w:ascii="Arial" w:eastAsia="Times New Roman" w:hAnsi="Arial" w:cs="Arial"/>
          <w:color w:val="707070"/>
          <w:spacing w:val="15"/>
          <w:sz w:val="17"/>
          <w:szCs w:val="17"/>
        </w:rPr>
        <w:t xml:space="preserve">In 1990, lower repiratory infections, </w:t>
      </w:r>
      <w:r w:rsidR="00A0210B">
        <w:rPr>
          <w:rFonts w:ascii="Arial" w:eastAsia="Times New Roman" w:hAnsi="Arial" w:cs="Arial"/>
          <w:color w:val="707070"/>
          <w:spacing w:val="15"/>
          <w:sz w:val="17"/>
          <w:szCs w:val="17"/>
        </w:rPr>
        <w:t xml:space="preserve">which includes </w:t>
      </w:r>
      <w:r w:rsidR="00A0210B" w:rsidRPr="0045390E">
        <w:rPr>
          <w:rFonts w:ascii="Arial" w:eastAsia="Times New Roman" w:hAnsi="Arial" w:cs="Arial"/>
          <w:color w:val="707070"/>
          <w:spacing w:val="15"/>
          <w:sz w:val="17"/>
          <w:szCs w:val="17"/>
        </w:rPr>
        <w:t>pneumonia, bronchitis, and tuberculosis</w:t>
      </w:r>
      <w:r w:rsidR="00A0210B">
        <w:rPr>
          <w:rFonts w:ascii="Arial" w:eastAsia="Times New Roman" w:hAnsi="Arial" w:cs="Arial"/>
          <w:color w:val="707070"/>
          <w:spacing w:val="15"/>
          <w:sz w:val="17"/>
          <w:szCs w:val="17"/>
        </w:rPr>
        <w:t xml:space="preserve">, accounts for the lives of 2.34 million children. While lower respiratory infections are still the leading cause of child mortality, the number of deaths per year has decreased to 808,919 deaths in 2019. Other leading causes of deaths includes </w:t>
      </w:r>
      <w:r w:rsidR="00A0210B" w:rsidRPr="00A0210B">
        <w:rPr>
          <w:rFonts w:ascii="Arial" w:eastAsia="Times New Roman" w:hAnsi="Arial" w:cs="Arial"/>
          <w:color w:val="707070"/>
          <w:spacing w:val="15"/>
          <w:sz w:val="17"/>
          <w:szCs w:val="17"/>
        </w:rPr>
        <w:t>neonatal preterm birth complication</w:t>
      </w:r>
      <w:r w:rsidR="00A0210B">
        <w:rPr>
          <w:rFonts w:ascii="Arial" w:eastAsia="Times New Roman" w:hAnsi="Arial" w:cs="Arial"/>
          <w:color w:val="707070"/>
          <w:spacing w:val="15"/>
          <w:sz w:val="17"/>
          <w:szCs w:val="17"/>
        </w:rPr>
        <w:t xml:space="preserve"> (premature births), diarrheal diseases, birth asphyxia and trauma; and congenital birth defects (congenital disorders). </w:t>
      </w:r>
    </w:p>
    <w:p w:rsidR="001802B2" w:rsidRDefault="001802B2" w:rsidP="001802B2">
      <w:pPr>
        <w:spacing w:line="480" w:lineRule="auto"/>
        <w:rPr>
          <w:rFonts w:ascii="Arial" w:eastAsia="Times New Roman" w:hAnsi="Arial" w:cs="Arial"/>
          <w:color w:val="707070"/>
          <w:spacing w:val="15"/>
          <w:sz w:val="17"/>
          <w:szCs w:val="17"/>
        </w:rPr>
      </w:pPr>
    </w:p>
    <w:p w:rsidR="001802B2" w:rsidRDefault="001802B2">
      <w:pPr>
        <w:rPr>
          <w:rFonts w:ascii="Arial" w:eastAsia="Times New Roman" w:hAnsi="Arial" w:cs="Arial"/>
          <w:color w:val="707070"/>
          <w:spacing w:val="15"/>
          <w:sz w:val="17"/>
          <w:szCs w:val="17"/>
        </w:rPr>
      </w:pPr>
      <w:r>
        <w:rPr>
          <w:rFonts w:ascii="Arial" w:eastAsia="Times New Roman" w:hAnsi="Arial" w:cs="Arial"/>
          <w:color w:val="707070"/>
          <w:spacing w:val="15"/>
          <w:sz w:val="17"/>
          <w:szCs w:val="17"/>
        </w:rPr>
        <w:br w:type="page"/>
      </w:r>
    </w:p>
    <w:p w:rsidR="001802B2" w:rsidRDefault="001802B2" w:rsidP="001802B2">
      <w:pPr>
        <w:shd w:val="clear" w:color="auto" w:fill="FFFFFF"/>
        <w:spacing w:line="480" w:lineRule="auto"/>
        <w:textAlignment w:val="center"/>
        <w:rPr>
          <w:rFonts w:ascii="Arial" w:eastAsia="Times New Roman" w:hAnsi="Arial" w:cs="Arial"/>
          <w:color w:val="707070"/>
          <w:spacing w:val="15"/>
          <w:sz w:val="17"/>
          <w:szCs w:val="17"/>
        </w:rPr>
      </w:pPr>
      <w:r w:rsidRPr="001802B2">
        <w:rPr>
          <w:rFonts w:ascii="Arial" w:eastAsia="Times New Roman" w:hAnsi="Arial" w:cs="Arial"/>
          <w:color w:val="707070"/>
          <w:spacing w:val="15"/>
          <w:sz w:val="17"/>
          <w:szCs w:val="17"/>
          <w:u w:val="single"/>
        </w:rPr>
        <w:lastRenderedPageBreak/>
        <w:t>Sources</w:t>
      </w:r>
      <w:r>
        <w:rPr>
          <w:rFonts w:ascii="Arial" w:eastAsia="Times New Roman" w:hAnsi="Arial" w:cs="Arial"/>
          <w:color w:val="707070"/>
          <w:spacing w:val="15"/>
          <w:sz w:val="17"/>
          <w:szCs w:val="17"/>
        </w:rPr>
        <w:t>:</w:t>
      </w:r>
    </w:p>
    <w:p w:rsidR="001802B2" w:rsidRDefault="001802B2" w:rsidP="001802B2">
      <w:pPr>
        <w:shd w:val="clear" w:color="auto" w:fill="FFFFFF"/>
        <w:spacing w:line="480" w:lineRule="auto"/>
        <w:textAlignment w:val="center"/>
        <w:rPr>
          <w:rFonts w:ascii="Arial" w:eastAsia="Times New Roman" w:hAnsi="Arial" w:cs="Arial"/>
          <w:b/>
          <w:bCs/>
          <w:color w:val="707070"/>
          <w:spacing w:val="15"/>
          <w:sz w:val="17"/>
          <w:szCs w:val="17"/>
        </w:rPr>
      </w:pPr>
      <w:r>
        <w:rPr>
          <w:rFonts w:ascii="Arial" w:eastAsia="Times New Roman" w:hAnsi="Arial" w:cs="Arial"/>
          <w:b/>
          <w:bCs/>
          <w:color w:val="707070"/>
          <w:spacing w:val="15"/>
          <w:sz w:val="17"/>
          <w:szCs w:val="17"/>
        </w:rPr>
        <w:t>Chart 1</w:t>
      </w:r>
      <w:r w:rsidR="00595BB6">
        <w:rPr>
          <w:rFonts w:ascii="Arial" w:eastAsia="Times New Roman" w:hAnsi="Arial" w:cs="Arial"/>
          <w:b/>
          <w:bCs/>
          <w:color w:val="707070"/>
          <w:spacing w:val="15"/>
          <w:sz w:val="17"/>
          <w:szCs w:val="17"/>
        </w:rPr>
        <w:t>, Chart 2</w:t>
      </w:r>
    </w:p>
    <w:p w:rsidR="001802B2" w:rsidRPr="001802B2" w:rsidRDefault="001802B2" w:rsidP="001802B2">
      <w:pPr>
        <w:shd w:val="clear" w:color="auto" w:fill="FFFFFF"/>
        <w:spacing w:line="480" w:lineRule="auto"/>
        <w:textAlignment w:val="center"/>
        <w:rPr>
          <w:rFonts w:ascii="Arial" w:eastAsia="Times New Roman" w:hAnsi="Arial" w:cs="Arial"/>
          <w:color w:val="707070"/>
          <w:spacing w:val="15"/>
          <w:sz w:val="17"/>
          <w:szCs w:val="17"/>
        </w:rPr>
      </w:pPr>
      <w:hyperlink r:id="rId4" w:history="1">
        <w:r w:rsidRPr="001802B2">
          <w:rPr>
            <w:rStyle w:val="Hyperlink"/>
            <w:rFonts w:ascii="Arial" w:eastAsia="Times New Roman" w:hAnsi="Arial" w:cs="Arial"/>
            <w:spacing w:val="15"/>
            <w:sz w:val="17"/>
            <w:szCs w:val="17"/>
          </w:rPr>
          <w:t>https://data.worldbank.org/indicator/SP.DYN.IMRT.IN</w:t>
        </w:r>
      </w:hyperlink>
    </w:p>
    <w:p w:rsidR="001802B2" w:rsidRPr="001802B2" w:rsidRDefault="001802B2" w:rsidP="001802B2">
      <w:pPr>
        <w:shd w:val="clear" w:color="auto" w:fill="FFFFFF"/>
        <w:spacing w:line="480" w:lineRule="auto"/>
        <w:textAlignment w:val="center"/>
        <w:rPr>
          <w:rFonts w:ascii="Arial" w:eastAsia="Times New Roman" w:hAnsi="Arial" w:cs="Arial"/>
          <w:color w:val="707070"/>
          <w:spacing w:val="15"/>
          <w:sz w:val="17"/>
          <w:szCs w:val="17"/>
        </w:rPr>
      </w:pPr>
    </w:p>
    <w:p w:rsidR="00595BB6" w:rsidRDefault="00595BB6" w:rsidP="001802B2">
      <w:pPr>
        <w:shd w:val="clear" w:color="auto" w:fill="FFFFFF"/>
        <w:spacing w:line="480" w:lineRule="auto"/>
        <w:textAlignment w:val="center"/>
        <w:rPr>
          <w:rFonts w:ascii="Arial" w:eastAsia="Times New Roman" w:hAnsi="Arial" w:cs="Arial"/>
          <w:b/>
          <w:bCs/>
          <w:color w:val="707070"/>
          <w:spacing w:val="15"/>
          <w:sz w:val="17"/>
          <w:szCs w:val="17"/>
        </w:rPr>
      </w:pPr>
      <w:r w:rsidRPr="00595BB6">
        <w:rPr>
          <w:rFonts w:ascii="Arial" w:eastAsia="Times New Roman" w:hAnsi="Arial" w:cs="Arial"/>
          <w:b/>
          <w:bCs/>
          <w:color w:val="707070"/>
          <w:spacing w:val="15"/>
          <w:sz w:val="17"/>
          <w:szCs w:val="17"/>
        </w:rPr>
        <w:t>Chart 3</w:t>
      </w:r>
    </w:p>
    <w:p w:rsidR="00595BB6" w:rsidRPr="00595BB6" w:rsidRDefault="00595BB6" w:rsidP="001802B2">
      <w:pPr>
        <w:shd w:val="clear" w:color="auto" w:fill="FFFFFF"/>
        <w:spacing w:line="480" w:lineRule="auto"/>
        <w:textAlignment w:val="center"/>
        <w:rPr>
          <w:rFonts w:ascii="Arial" w:eastAsia="Times New Roman" w:hAnsi="Arial" w:cs="Arial"/>
          <w:color w:val="707070"/>
          <w:spacing w:val="15"/>
          <w:sz w:val="17"/>
          <w:szCs w:val="17"/>
          <w:u w:val="single"/>
        </w:rPr>
      </w:pPr>
      <w:hyperlink r:id="rId5" w:history="1">
        <w:r w:rsidRPr="00595BB6">
          <w:rPr>
            <w:rStyle w:val="Hyperlink"/>
            <w:rFonts w:ascii="Arial" w:eastAsia="Times New Roman" w:hAnsi="Arial" w:cs="Arial"/>
            <w:spacing w:val="15"/>
            <w:sz w:val="17"/>
            <w:szCs w:val="17"/>
          </w:rPr>
          <w:t>https://data.worldbank.org/indicator/SH.DYN.MORT</w:t>
        </w:r>
      </w:hyperlink>
    </w:p>
    <w:p w:rsidR="00595BB6" w:rsidRDefault="00595BB6" w:rsidP="001802B2">
      <w:pPr>
        <w:shd w:val="clear" w:color="auto" w:fill="FFFFFF"/>
        <w:spacing w:line="480" w:lineRule="auto"/>
        <w:textAlignment w:val="center"/>
        <w:rPr>
          <w:rFonts w:ascii="Arial" w:eastAsia="Times New Roman" w:hAnsi="Arial" w:cs="Arial"/>
          <w:b/>
          <w:bCs/>
          <w:color w:val="707070"/>
          <w:spacing w:val="15"/>
          <w:sz w:val="17"/>
          <w:szCs w:val="17"/>
        </w:rPr>
      </w:pPr>
    </w:p>
    <w:p w:rsidR="001802B2" w:rsidRPr="00595BB6" w:rsidRDefault="00595BB6" w:rsidP="001802B2">
      <w:pPr>
        <w:shd w:val="clear" w:color="auto" w:fill="FFFFFF"/>
        <w:spacing w:line="480" w:lineRule="auto"/>
        <w:textAlignment w:val="center"/>
        <w:rPr>
          <w:rFonts w:ascii="Arial" w:eastAsia="Times New Roman" w:hAnsi="Arial" w:cs="Arial"/>
          <w:b/>
          <w:bCs/>
          <w:color w:val="707070"/>
          <w:spacing w:val="15"/>
          <w:sz w:val="17"/>
          <w:szCs w:val="17"/>
        </w:rPr>
      </w:pPr>
      <w:r w:rsidRPr="00595BB6">
        <w:rPr>
          <w:rFonts w:ascii="Arial" w:eastAsia="Times New Roman" w:hAnsi="Arial" w:cs="Arial"/>
          <w:b/>
          <w:bCs/>
          <w:color w:val="707070"/>
          <w:spacing w:val="15"/>
          <w:sz w:val="17"/>
          <w:szCs w:val="17"/>
        </w:rPr>
        <w:t>Chart 4</w:t>
      </w:r>
    </w:p>
    <w:p w:rsidR="006A35C1" w:rsidRPr="00054876" w:rsidRDefault="00A67B1E" w:rsidP="001802B2">
      <w:pPr>
        <w:shd w:val="clear" w:color="auto" w:fill="FFFFFF"/>
        <w:spacing w:line="480" w:lineRule="auto"/>
        <w:textAlignment w:val="center"/>
        <w:rPr>
          <w:rFonts w:ascii="Arial" w:eastAsia="Times New Roman" w:hAnsi="Arial" w:cs="Arial"/>
          <w:color w:val="707070"/>
          <w:spacing w:val="15"/>
          <w:sz w:val="17"/>
          <w:szCs w:val="17"/>
        </w:rPr>
      </w:pPr>
      <w:hyperlink w:history="1">
        <w:r w:rsidRPr="00927B1B">
          <w:rPr>
            <w:rStyle w:val="Hyperlink"/>
            <w:rFonts w:ascii="Arial" w:eastAsia="Times New Roman" w:hAnsi="Arial" w:cs="Arial"/>
            <w:spacing w:val="15"/>
            <w:sz w:val="17"/>
            <w:szCs w:val="17"/>
          </w:rPr>
          <w:t>https://ourworl</w:t>
        </w:r>
        <w:r w:rsidRPr="00927B1B">
          <w:rPr>
            <w:rStyle w:val="Hyperlink"/>
            <w:rFonts w:ascii="Arial" w:eastAsia="Times New Roman" w:hAnsi="Arial" w:cs="Arial"/>
            <w:spacing w:val="15"/>
            <w:sz w:val="17"/>
            <w:szCs w:val="17"/>
          </w:rPr>
          <w:t>d</w:t>
        </w:r>
        <w:r w:rsidRPr="00927B1B">
          <w:rPr>
            <w:rStyle w:val="Hyperlink"/>
            <w:rFonts w:ascii="Arial" w:eastAsia="Times New Roman" w:hAnsi="Arial" w:cs="Arial"/>
            <w:spacing w:val="15"/>
            <w:sz w:val="17"/>
            <w:szCs w:val="17"/>
          </w:rPr>
          <w:tab/>
          <w:t>q</w:t>
        </w:r>
        <w:r w:rsidRPr="00927B1B">
          <w:rPr>
            <w:rStyle w:val="Hyperlink"/>
            <w:rFonts w:ascii="Arial" w:eastAsia="Times New Roman" w:hAnsi="Arial" w:cs="Arial"/>
            <w:spacing w:val="15"/>
            <w:sz w:val="17"/>
            <w:szCs w:val="17"/>
          </w:rPr>
          <w:t>indata.org/child-mortality</w:t>
        </w:r>
      </w:hyperlink>
    </w:p>
    <w:sectPr w:rsidR="006A35C1" w:rsidRPr="0005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CD"/>
    <w:rsid w:val="00054876"/>
    <w:rsid w:val="00072F24"/>
    <w:rsid w:val="001802B2"/>
    <w:rsid w:val="00186723"/>
    <w:rsid w:val="001E0F39"/>
    <w:rsid w:val="00243A22"/>
    <w:rsid w:val="00245F69"/>
    <w:rsid w:val="003871CD"/>
    <w:rsid w:val="003D57D8"/>
    <w:rsid w:val="003F202A"/>
    <w:rsid w:val="0045390E"/>
    <w:rsid w:val="0057791B"/>
    <w:rsid w:val="00595BB6"/>
    <w:rsid w:val="005D0C9C"/>
    <w:rsid w:val="005D3E77"/>
    <w:rsid w:val="006A35C1"/>
    <w:rsid w:val="006F5206"/>
    <w:rsid w:val="007D3D71"/>
    <w:rsid w:val="00931DEB"/>
    <w:rsid w:val="009C2DBA"/>
    <w:rsid w:val="009E3C6C"/>
    <w:rsid w:val="00A0210B"/>
    <w:rsid w:val="00A405D1"/>
    <w:rsid w:val="00A67B1E"/>
    <w:rsid w:val="00AA3974"/>
    <w:rsid w:val="00B406EB"/>
    <w:rsid w:val="00C971E4"/>
    <w:rsid w:val="00D7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2FCD72"/>
  <w15:chartTrackingRefBased/>
  <w15:docId w15:val="{A202A427-30EE-0A44-ACA8-F13CD31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02A"/>
    <w:rPr>
      <w:color w:val="0563C1" w:themeColor="hyperlink"/>
      <w:u w:val="single"/>
    </w:rPr>
  </w:style>
  <w:style w:type="character" w:styleId="UnresolvedMention">
    <w:name w:val="Unresolved Mention"/>
    <w:basedOn w:val="DefaultParagraphFont"/>
    <w:uiPriority w:val="99"/>
    <w:semiHidden/>
    <w:unhideWhenUsed/>
    <w:rsid w:val="003F202A"/>
    <w:rPr>
      <w:color w:val="605E5C"/>
      <w:shd w:val="clear" w:color="auto" w:fill="E1DFDD"/>
    </w:rPr>
  </w:style>
  <w:style w:type="character" w:styleId="FollowedHyperlink">
    <w:name w:val="FollowedHyperlink"/>
    <w:basedOn w:val="DefaultParagraphFont"/>
    <w:uiPriority w:val="99"/>
    <w:semiHidden/>
    <w:unhideWhenUsed/>
    <w:rsid w:val="00595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79286">
      <w:bodyDiv w:val="1"/>
      <w:marLeft w:val="0"/>
      <w:marRight w:val="0"/>
      <w:marTop w:val="0"/>
      <w:marBottom w:val="0"/>
      <w:divBdr>
        <w:top w:val="none" w:sz="0" w:space="0" w:color="auto"/>
        <w:left w:val="none" w:sz="0" w:space="0" w:color="auto"/>
        <w:bottom w:val="none" w:sz="0" w:space="0" w:color="auto"/>
        <w:right w:val="none" w:sz="0" w:space="0" w:color="auto"/>
      </w:divBdr>
    </w:div>
    <w:div w:id="284586433">
      <w:bodyDiv w:val="1"/>
      <w:marLeft w:val="0"/>
      <w:marRight w:val="0"/>
      <w:marTop w:val="0"/>
      <w:marBottom w:val="0"/>
      <w:divBdr>
        <w:top w:val="none" w:sz="0" w:space="0" w:color="auto"/>
        <w:left w:val="none" w:sz="0" w:space="0" w:color="auto"/>
        <w:bottom w:val="none" w:sz="0" w:space="0" w:color="auto"/>
        <w:right w:val="none" w:sz="0" w:space="0" w:color="auto"/>
      </w:divBdr>
    </w:div>
    <w:div w:id="529803967">
      <w:bodyDiv w:val="1"/>
      <w:marLeft w:val="0"/>
      <w:marRight w:val="0"/>
      <w:marTop w:val="0"/>
      <w:marBottom w:val="0"/>
      <w:divBdr>
        <w:top w:val="none" w:sz="0" w:space="0" w:color="auto"/>
        <w:left w:val="none" w:sz="0" w:space="0" w:color="auto"/>
        <w:bottom w:val="none" w:sz="0" w:space="0" w:color="auto"/>
        <w:right w:val="none" w:sz="0" w:space="0" w:color="auto"/>
      </w:divBdr>
    </w:div>
    <w:div w:id="652609489">
      <w:bodyDiv w:val="1"/>
      <w:marLeft w:val="0"/>
      <w:marRight w:val="0"/>
      <w:marTop w:val="0"/>
      <w:marBottom w:val="0"/>
      <w:divBdr>
        <w:top w:val="none" w:sz="0" w:space="0" w:color="auto"/>
        <w:left w:val="none" w:sz="0" w:space="0" w:color="auto"/>
        <w:bottom w:val="none" w:sz="0" w:space="0" w:color="auto"/>
        <w:right w:val="none" w:sz="0" w:space="0" w:color="auto"/>
      </w:divBdr>
    </w:div>
    <w:div w:id="1166940415">
      <w:bodyDiv w:val="1"/>
      <w:marLeft w:val="0"/>
      <w:marRight w:val="0"/>
      <w:marTop w:val="0"/>
      <w:marBottom w:val="0"/>
      <w:divBdr>
        <w:top w:val="none" w:sz="0" w:space="0" w:color="auto"/>
        <w:left w:val="none" w:sz="0" w:space="0" w:color="auto"/>
        <w:bottom w:val="none" w:sz="0" w:space="0" w:color="auto"/>
        <w:right w:val="none" w:sz="0" w:space="0" w:color="auto"/>
      </w:divBdr>
    </w:div>
    <w:div w:id="1707558512">
      <w:bodyDiv w:val="1"/>
      <w:marLeft w:val="0"/>
      <w:marRight w:val="0"/>
      <w:marTop w:val="0"/>
      <w:marBottom w:val="0"/>
      <w:divBdr>
        <w:top w:val="none" w:sz="0" w:space="0" w:color="auto"/>
        <w:left w:val="none" w:sz="0" w:space="0" w:color="auto"/>
        <w:bottom w:val="none" w:sz="0" w:space="0" w:color="auto"/>
        <w:right w:val="none" w:sz="0" w:space="0" w:color="auto"/>
      </w:divBdr>
    </w:div>
    <w:div w:id="1714227351">
      <w:bodyDiv w:val="1"/>
      <w:marLeft w:val="0"/>
      <w:marRight w:val="0"/>
      <w:marTop w:val="0"/>
      <w:marBottom w:val="0"/>
      <w:divBdr>
        <w:top w:val="none" w:sz="0" w:space="0" w:color="auto"/>
        <w:left w:val="none" w:sz="0" w:space="0" w:color="auto"/>
        <w:bottom w:val="none" w:sz="0" w:space="0" w:color="auto"/>
        <w:right w:val="none" w:sz="0" w:space="0" w:color="auto"/>
      </w:divBdr>
    </w:div>
    <w:div w:id="1755668149">
      <w:bodyDiv w:val="1"/>
      <w:marLeft w:val="0"/>
      <w:marRight w:val="0"/>
      <w:marTop w:val="0"/>
      <w:marBottom w:val="0"/>
      <w:divBdr>
        <w:top w:val="none" w:sz="0" w:space="0" w:color="auto"/>
        <w:left w:val="none" w:sz="0" w:space="0" w:color="auto"/>
        <w:bottom w:val="none" w:sz="0" w:space="0" w:color="auto"/>
        <w:right w:val="none" w:sz="0" w:space="0" w:color="auto"/>
      </w:divBdr>
    </w:div>
    <w:div w:id="1872111339">
      <w:bodyDiv w:val="1"/>
      <w:marLeft w:val="0"/>
      <w:marRight w:val="0"/>
      <w:marTop w:val="0"/>
      <w:marBottom w:val="0"/>
      <w:divBdr>
        <w:top w:val="none" w:sz="0" w:space="0" w:color="auto"/>
        <w:left w:val="none" w:sz="0" w:space="0" w:color="auto"/>
        <w:bottom w:val="none" w:sz="0" w:space="0" w:color="auto"/>
        <w:right w:val="none" w:sz="0" w:space="0" w:color="auto"/>
      </w:divBdr>
    </w:div>
    <w:div w:id="1973558775">
      <w:bodyDiv w:val="1"/>
      <w:marLeft w:val="0"/>
      <w:marRight w:val="0"/>
      <w:marTop w:val="0"/>
      <w:marBottom w:val="0"/>
      <w:divBdr>
        <w:top w:val="none" w:sz="0" w:space="0" w:color="auto"/>
        <w:left w:val="none" w:sz="0" w:space="0" w:color="auto"/>
        <w:bottom w:val="none" w:sz="0" w:space="0" w:color="auto"/>
        <w:right w:val="none" w:sz="0" w:space="0" w:color="auto"/>
      </w:divBdr>
      <w:divsChild>
        <w:div w:id="1059091125">
          <w:marLeft w:val="0"/>
          <w:marRight w:val="0"/>
          <w:marTop w:val="0"/>
          <w:marBottom w:val="0"/>
          <w:divBdr>
            <w:top w:val="none" w:sz="0" w:space="0" w:color="auto"/>
            <w:left w:val="none" w:sz="0" w:space="0" w:color="auto"/>
            <w:bottom w:val="none" w:sz="0" w:space="0" w:color="auto"/>
            <w:right w:val="none" w:sz="0" w:space="0" w:color="auto"/>
          </w:divBdr>
        </w:div>
        <w:div w:id="56067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worldbank.org/indicator/SH.DYN.MORT" TargetMode="External"/><Relationship Id="rId4" Type="http://schemas.openxmlformats.org/officeDocument/2006/relationships/hyperlink" Target="https://data.worldbank.org/indicator/SP.DYN.IMR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Jojo</dc:creator>
  <cp:keywords/>
  <dc:description/>
  <cp:lastModifiedBy>Yang, Jojo</cp:lastModifiedBy>
  <cp:revision>2</cp:revision>
  <dcterms:created xsi:type="dcterms:W3CDTF">2020-10-31T03:23:00Z</dcterms:created>
  <dcterms:modified xsi:type="dcterms:W3CDTF">2020-10-31T03:23:00Z</dcterms:modified>
</cp:coreProperties>
</file>