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 xml:space="preserve">alibrar uma sonda de efeito de Hall por meio de um </w:t>
      </w:r>
      <w:proofErr w:type="spellStart"/>
      <w:r w:rsidR="007412EB" w:rsidRPr="007412EB">
        <w:t>solenóide</w:t>
      </w:r>
      <w:proofErr w:type="spellEnd"/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 xml:space="preserve">stabelecer a configuração de </w:t>
      </w:r>
      <w:proofErr w:type="spellStart"/>
      <w:r w:rsidR="007412EB" w:rsidRPr="007412EB">
        <w:t>Helmholtz</w:t>
      </w:r>
      <w:proofErr w:type="spellEnd"/>
      <w:r w:rsidR="007412EB" w:rsidRPr="007412EB">
        <w:t xml:space="preserve">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 xml:space="preserve">, </w:t>
      </w:r>
      <w:proofErr w:type="spellStart"/>
      <w:r w:rsidRPr="0005264A">
        <w:rPr>
          <w:rFonts w:eastAsiaTheme="minorEastAsia"/>
          <w:sz w:val="24"/>
          <w:szCs w:val="24"/>
        </w:rPr>
        <w:t>cc</w:t>
      </w:r>
      <w:proofErr w:type="spellEnd"/>
      <w:r w:rsidRPr="0005264A">
        <w:rPr>
          <w:rFonts w:eastAsiaTheme="minorEastAsia"/>
          <w:sz w:val="24"/>
          <w:szCs w:val="24"/>
        </w:rPr>
        <w:t>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proofErr w:type="spellStart"/>
      <w:r w:rsidR="00923ED3">
        <w:rPr>
          <w:rFonts w:eastAsiaTheme="minorEastAsia"/>
          <w:sz w:val="24"/>
          <w:szCs w:val="24"/>
        </w:rPr>
        <w:t>EletroMagnetismo</w:t>
      </w:r>
      <w:proofErr w:type="spellEnd"/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Lei de </w:t>
      </w:r>
      <w:proofErr w:type="spellStart"/>
      <w:r>
        <w:rPr>
          <w:rFonts w:eastAsiaTheme="minorEastAsia"/>
          <w:sz w:val="24"/>
          <w:szCs w:val="24"/>
        </w:rPr>
        <w:t>Biot</w:t>
      </w:r>
      <w:proofErr w:type="spellEnd"/>
      <w:r>
        <w:rPr>
          <w:rFonts w:eastAsiaTheme="minorEastAsia"/>
          <w:sz w:val="24"/>
          <w:szCs w:val="24"/>
        </w:rPr>
        <w:t>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 xml:space="preserve">Lei de </w:t>
      </w:r>
      <w:proofErr w:type="spellStart"/>
      <w:r w:rsidRPr="002C4E64">
        <w:rPr>
          <w:rFonts w:eastAsiaTheme="minorEastAsia"/>
          <w:sz w:val="24"/>
          <w:szCs w:val="24"/>
          <w:u w:val="single"/>
        </w:rPr>
        <w:t>Ampère</w:t>
      </w:r>
      <w:proofErr w:type="spellEnd"/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proofErr w:type="spellStart"/>
      <w:r w:rsidR="002C4E64" w:rsidRPr="00905ECF">
        <w:rPr>
          <w:rFonts w:eastAsiaTheme="minorEastAsia"/>
          <w:i/>
          <w:iCs/>
          <w:sz w:val="24"/>
          <w:szCs w:val="24"/>
        </w:rPr>
        <w:t>Biot</w:t>
      </w:r>
      <w:proofErr w:type="spellEnd"/>
      <w:r w:rsidR="002C4E64" w:rsidRPr="00905ECF">
        <w:rPr>
          <w:rFonts w:eastAsiaTheme="minorEastAsia"/>
          <w:i/>
          <w:iCs/>
          <w:sz w:val="24"/>
          <w:szCs w:val="24"/>
        </w:rPr>
        <w:t>-Savart</w:t>
      </w:r>
      <w:r w:rsidR="00C05A89">
        <w:rPr>
          <w:rFonts w:eastAsiaTheme="minorEastAsia"/>
          <w:sz w:val="24"/>
          <w:szCs w:val="24"/>
        </w:rPr>
        <w:t xml:space="preserve"> e de </w:t>
      </w:r>
      <w:proofErr w:type="spellStart"/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proofErr w:type="spellEnd"/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proofErr w:type="spellStart"/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proofErr w:type="spellEnd"/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 xml:space="preserve">Bobinas de </w:t>
      </w:r>
      <w:proofErr w:type="spellStart"/>
      <w:r w:rsidRPr="008E2E78">
        <w:rPr>
          <w:rFonts w:eastAsiaTheme="minorEastAsia"/>
          <w:b/>
          <w:bCs/>
          <w:sz w:val="24"/>
          <w:szCs w:val="24"/>
        </w:rPr>
        <w:t>Helmholtz</w:t>
      </w:r>
      <w:proofErr w:type="spellEnd"/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57A5C1C4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6621780" cy="3766185"/>
            <wp:effectExtent l="0" t="0" r="7620" b="571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 xml:space="preserve">onstante de calibração, </w:t>
      </w:r>
      <w:proofErr w:type="spellStart"/>
      <w:r w:rsidR="002373F3" w:rsidRPr="002373F3">
        <w:rPr>
          <w:sz w:val="24"/>
          <w:szCs w:val="24"/>
        </w:rPr>
        <w:t>cc</w:t>
      </w:r>
      <w:proofErr w:type="spellEnd"/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436CFD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1C248EC" w14:textId="2ACC8C70" w:rsidR="007A2B55" w:rsidRDefault="007A2B55" w:rsidP="007A2B55">
      <w:pPr>
        <w:rPr>
          <w:sz w:val="24"/>
          <w:szCs w:val="24"/>
        </w:rPr>
      </w:pPr>
    </w:p>
    <w:p w14:paraId="04347923" w14:textId="77777777" w:rsidR="003F33DE" w:rsidRDefault="003F33DE" w:rsidP="007A2B55">
      <w:pPr>
        <w:rPr>
          <w:noProof/>
        </w:rPr>
      </w:pPr>
    </w:p>
    <w:p w14:paraId="765D40D5" w14:textId="2439694F" w:rsidR="003F33DE" w:rsidRDefault="003F33DE" w:rsidP="007A2B55">
      <w:pPr>
        <w:rPr>
          <w:noProof/>
        </w:rPr>
      </w:pPr>
    </w:p>
    <w:p w14:paraId="4989C0C8" w14:textId="44B5A4A1" w:rsidR="003F33DE" w:rsidRDefault="003F33DE" w:rsidP="007A2B55">
      <w:pPr>
        <w:rPr>
          <w:noProof/>
        </w:rPr>
      </w:pPr>
    </w:p>
    <w:p w14:paraId="5BDD6F21" w14:textId="77777777" w:rsidR="003F33DE" w:rsidRDefault="003F33DE" w:rsidP="003F33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Procedimento:</w:t>
      </w:r>
    </w:p>
    <w:p w14:paraId="58FD2126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Medição do raio das bobinas e dispor as bobinas afastadas pelo mesmo (configuração de </w:t>
      </w:r>
      <w:proofErr w:type="spellStart"/>
      <w:r>
        <w:rPr>
          <w:sz w:val="24"/>
          <w:szCs w:val="24"/>
        </w:rPr>
        <w:t>Helmholtz</w:t>
      </w:r>
      <w:proofErr w:type="spellEnd"/>
      <w:r>
        <w:rPr>
          <w:sz w:val="24"/>
          <w:szCs w:val="24"/>
        </w:rPr>
        <w:t>) registando a posição das bobinas.</w:t>
      </w:r>
    </w:p>
    <w:p w14:paraId="01ED98AF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circuito, que já se encontrava parcialmente montado, consistia na montagem de um circuito-série com a fonte, o reóstato (ajustado para 0,5A), o amperímetro e de uma das bobinas, de acordo com o esquema de montagem da figura 3.</w:t>
      </w:r>
    </w:p>
    <w:p w14:paraId="130717F1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Utilizando agora a sonda, centímetro a centímetro, retiramos os valores do campo magnético, registando a posição da mesma e a tensão de Hall nessa mesma posição.</w:t>
      </w:r>
    </w:p>
    <w:p w14:paraId="122E2C08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Repetimos o procedimento acima com a outra bobina e, de seguida, com as duas bobinas em série.</w:t>
      </w:r>
    </w:p>
    <w:p w14:paraId="07798484" w14:textId="3E51D74C" w:rsidR="003F33DE" w:rsidRDefault="003F33DE" w:rsidP="007A2B55">
      <w:pPr>
        <w:rPr>
          <w:b/>
          <w:bCs/>
          <w:sz w:val="32"/>
          <w:szCs w:val="32"/>
        </w:rPr>
      </w:pPr>
      <w:r>
        <w:rPr>
          <w:rFonts w:cstheme="minorHAnsi"/>
          <w:bCs/>
          <w:noProof/>
          <w:sz w:val="44"/>
          <w:szCs w:val="44"/>
        </w:rPr>
        <w:drawing>
          <wp:inline distT="0" distB="0" distL="0" distR="0" wp14:anchorId="15AEB293" wp14:editId="043347B0">
            <wp:extent cx="6638925" cy="5781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247D" w14:textId="77777777" w:rsidR="003F33DE" w:rsidRPr="00E36F96" w:rsidRDefault="003F33DE" w:rsidP="003F33DE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>
        <w:rPr>
          <w:sz w:val="24"/>
          <w:szCs w:val="24"/>
        </w:rPr>
        <w:t xml:space="preserve"> – Esquema da montagem da parte B</w:t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533E99DD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254D9CB6" w:rsidR="000E3337" w:rsidRDefault="00375AE0" w:rsidP="00375AE0">
      <w:pPr>
        <w:tabs>
          <w:tab w:val="left" w:pos="23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Figura 6 – Campo magnético em função da distância</w:t>
      </w:r>
    </w:p>
    <w:p w14:paraId="054F8107" w14:textId="6EA7DC71" w:rsidR="00375AE0" w:rsidRDefault="00375AE0" w:rsidP="003F33DE">
      <w:pPr>
        <w:tabs>
          <w:tab w:val="left" w:pos="2340"/>
        </w:tabs>
        <w:jc w:val="both"/>
        <w:rPr>
          <w:sz w:val="28"/>
          <w:szCs w:val="28"/>
        </w:rPr>
      </w:pPr>
      <w:r>
        <w:rPr>
          <w:sz w:val="28"/>
          <w:szCs w:val="28"/>
        </w:rPr>
        <w:t>Tendo a experiência sido realizada, agora temos a capacidade de calcular o número de espiras visto que conhecemos o valor do campo magnético teórico e prático.</w:t>
      </w:r>
    </w:p>
    <w:p w14:paraId="38C0C05B" w14:textId="4D5F6D79" w:rsidR="00375AE0" w:rsidRPr="00375AE0" w:rsidRDefault="00375AE0" w:rsidP="003F33DE">
      <w:pPr>
        <w:tabs>
          <w:tab w:val="left" w:pos="234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Bp=N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0.00895962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</m:oMath>
      </m:oMathPara>
    </w:p>
    <w:p w14:paraId="2A98A9E1" w14:textId="77777777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F443F53" w14:textId="77777777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F54975E" w14:textId="77777777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DDB9DB7" w14:textId="183E0BBA" w:rsidR="003F33DE" w:rsidRPr="00E55839" w:rsidRDefault="008D6CC9" w:rsidP="003F33DE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3F33DE" w:rsidRPr="00E55839">
        <w:rPr>
          <w:sz w:val="24"/>
          <w:szCs w:val="24"/>
        </w:rPr>
        <w:t xml:space="preserve">Podemos atribuir os dois </w:t>
      </w:r>
      <w:r w:rsidR="003F33DE">
        <w:rPr>
          <w:sz w:val="24"/>
          <w:szCs w:val="24"/>
        </w:rPr>
        <w:t>máximos</w:t>
      </w:r>
      <w:r w:rsidR="003F33DE" w:rsidRPr="00E55839">
        <w:rPr>
          <w:sz w:val="24"/>
          <w:szCs w:val="24"/>
        </w:rPr>
        <w:t xml:space="preserve"> (ao invés de apenas um</w:t>
      </w:r>
      <w:r w:rsidR="003F33DE">
        <w:rPr>
          <w:sz w:val="24"/>
          <w:szCs w:val="24"/>
        </w:rPr>
        <w:t>, que seria o ideal</w:t>
      </w:r>
      <w:r w:rsidR="003F33DE" w:rsidRPr="00E55839">
        <w:rPr>
          <w:sz w:val="24"/>
          <w:szCs w:val="24"/>
        </w:rPr>
        <w:t>)</w:t>
      </w:r>
      <w:r w:rsidR="003F33DE">
        <w:rPr>
          <w:sz w:val="24"/>
          <w:szCs w:val="24"/>
        </w:rPr>
        <w:t xml:space="preserve"> no gráfico</w:t>
      </w:r>
      <w:r w:rsidR="003F33DE" w:rsidRPr="00E55839">
        <w:rPr>
          <w:sz w:val="24"/>
          <w:szCs w:val="24"/>
        </w:rPr>
        <w:t>, por erros</w:t>
      </w:r>
      <w:r w:rsidR="003F33DE">
        <w:rPr>
          <w:sz w:val="24"/>
          <w:szCs w:val="24"/>
        </w:rPr>
        <w:t xml:space="preserve"> humanos, em particular erros na medida do raio da bobina, falhando a configuração de </w:t>
      </w:r>
      <w:proofErr w:type="spellStart"/>
      <w:r w:rsidR="003F33DE">
        <w:rPr>
          <w:sz w:val="24"/>
          <w:szCs w:val="24"/>
        </w:rPr>
        <w:t>Helmholtz</w:t>
      </w:r>
      <w:proofErr w:type="spellEnd"/>
      <w:r w:rsidR="003F33DE">
        <w:rPr>
          <w:sz w:val="24"/>
          <w:szCs w:val="24"/>
        </w:rPr>
        <w:t xml:space="preserve"> e afastando as bobinas em demasia. Também podem ser atribuídos erros à não estabilização da sonda ao longo do eixo das bobinas,</w:t>
      </w:r>
      <w:r w:rsidR="003F33DE" w:rsidRPr="00E55839">
        <w:rPr>
          <w:sz w:val="24"/>
          <w:szCs w:val="24"/>
        </w:rPr>
        <w:t xml:space="preserve"> </w:t>
      </w:r>
      <w:r w:rsidR="003F33DE">
        <w:rPr>
          <w:sz w:val="24"/>
          <w:szCs w:val="24"/>
        </w:rPr>
        <w:t>sendo que a mesma rodava e pode ter criado algumas oscilações nos resultados.</w:t>
      </w:r>
    </w:p>
    <w:p w14:paraId="64D13B61" w14:textId="0D3E3938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DD6F247" w14:textId="2AA8B875" w:rsidR="00301A15" w:rsidRPr="00B12455" w:rsidRDefault="00D417EB" w:rsidP="00301A15">
      <w:pPr>
        <w:jc w:val="both"/>
        <w:rPr>
          <w:rFonts w:eastAsia="Cambria Math" w:cstheme="minorHAnsi"/>
          <w:position w:val="7"/>
          <w:sz w:val="24"/>
          <w:szCs w:val="24"/>
        </w:rPr>
      </w:pPr>
      <w:r>
        <w:rPr>
          <w:rFonts w:eastAsia="Cambria Math" w:cstheme="minorHAnsi"/>
          <w:position w:val="7"/>
          <w:sz w:val="24"/>
          <w:szCs w:val="24"/>
        </w:rPr>
        <w:lastRenderedPageBreak/>
        <w:t>Nem todos os objetivos foram concluídos nestes experimentos</w:t>
      </w:r>
      <w:r w:rsidR="00301A15" w:rsidRPr="00B12455">
        <w:rPr>
          <w:rFonts w:eastAsia="Cambria Math" w:cstheme="minorHAnsi"/>
          <w:position w:val="7"/>
          <w:sz w:val="24"/>
          <w:szCs w:val="24"/>
        </w:rPr>
        <w:t>, ou seja, na parte A</w:t>
      </w:r>
      <w:r w:rsidR="00301A15">
        <w:rPr>
          <w:rFonts w:eastAsia="Cambria Math" w:cstheme="minorHAnsi"/>
          <w:position w:val="7"/>
          <w:sz w:val="24"/>
          <w:szCs w:val="24"/>
        </w:rPr>
        <w:t xml:space="preserve"> obtivemos a constante de calibração</w:t>
      </w:r>
      <w:r>
        <w:rPr>
          <w:rFonts w:eastAsia="Cambria Math" w:cstheme="minorHAnsi"/>
          <w:position w:val="7"/>
          <w:sz w:val="24"/>
          <w:szCs w:val="24"/>
        </w:rPr>
        <w:t>, tal como esperado, no entanto, o erro relativo de 19,6%, devido aos fatores já explicados, implica que o experimento em si não possa ser considerado um sucesso. Na parte B</w:t>
      </w:r>
    </w:p>
    <w:p w14:paraId="29DFE62E" w14:textId="2FD18BE3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76975" w14:textId="77777777" w:rsidR="00670B27" w:rsidRDefault="00670B27" w:rsidP="005578D9">
      <w:pPr>
        <w:spacing w:after="0" w:line="240" w:lineRule="auto"/>
      </w:pPr>
      <w:r>
        <w:separator/>
      </w:r>
    </w:p>
  </w:endnote>
  <w:endnote w:type="continuationSeparator" w:id="0">
    <w:p w14:paraId="0DCD944A" w14:textId="77777777" w:rsidR="00670B27" w:rsidRDefault="00670B27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436CFD" w:rsidRDefault="00436CFD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436CFD" w:rsidRDefault="00436C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A9D1F" w14:textId="77777777" w:rsidR="00670B27" w:rsidRDefault="00670B27" w:rsidP="005578D9">
      <w:pPr>
        <w:spacing w:after="0" w:line="240" w:lineRule="auto"/>
      </w:pPr>
      <w:r>
        <w:separator/>
      </w:r>
    </w:p>
  </w:footnote>
  <w:footnote w:type="continuationSeparator" w:id="0">
    <w:p w14:paraId="235C2325" w14:textId="77777777" w:rsidR="00670B27" w:rsidRDefault="00670B27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436CFD" w:rsidRPr="00557C35" w:rsidRDefault="00436CFD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E4E1E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66423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1A15"/>
    <w:rsid w:val="00306CB8"/>
    <w:rsid w:val="0031212C"/>
    <w:rsid w:val="00327E19"/>
    <w:rsid w:val="00351898"/>
    <w:rsid w:val="00351AF1"/>
    <w:rsid w:val="00351C00"/>
    <w:rsid w:val="00362086"/>
    <w:rsid w:val="003640BD"/>
    <w:rsid w:val="00375AE0"/>
    <w:rsid w:val="0038069C"/>
    <w:rsid w:val="00381EEB"/>
    <w:rsid w:val="0038650C"/>
    <w:rsid w:val="003B241D"/>
    <w:rsid w:val="003C0C53"/>
    <w:rsid w:val="003C22AA"/>
    <w:rsid w:val="003F0979"/>
    <w:rsid w:val="003F33DE"/>
    <w:rsid w:val="0040640B"/>
    <w:rsid w:val="00411F99"/>
    <w:rsid w:val="00426E69"/>
    <w:rsid w:val="00436CFD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70B27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2826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24A3D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7EB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D75C1"/>
    <w:rsid w:val="00DD7B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DE"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de Hall em função da Intensidade</a:t>
            </a:r>
          </a:p>
        </c:rich>
      </c:tx>
      <c:layout>
        <c:manualLayout>
          <c:xMode val="edge"/>
          <c:yMode val="edge"/>
          <c:x val="0.28385116992711928"/>
          <c:y val="1.34884505142471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1067930375216327E-2"/>
          <c:y val="8.075572495774902E-2"/>
          <c:w val="0.89179299221659436"/>
          <c:h val="0.76403150668381925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2"/>
              <c:layout>
                <c:manualLayout>
                  <c:x val="-2.8274874731567663E-2"/>
                  <c:y val="6.74422525712358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3A-4280-94F8-122D51DF74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232596069334832"/>
                  <c:y val="-4.06891854754877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</a:t>
                </a:r>
                <a:r>
                  <a:rPr lang="pt-PT" baseline="0"/>
                  <a:t> (A)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</a:t>
                </a:r>
                <a:r>
                  <a:rPr lang="pt-PT" baseline="0"/>
                  <a:t> de Hall (V)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6.7311206352370515E-3"/>
              <c:y val="0.3285106812331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13</Pages>
  <Words>2111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84</cp:revision>
  <dcterms:created xsi:type="dcterms:W3CDTF">2020-11-05T16:51:00Z</dcterms:created>
  <dcterms:modified xsi:type="dcterms:W3CDTF">2021-01-07T16:09:00Z</dcterms:modified>
</cp:coreProperties>
</file>