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1CCF3B">
      <w:pPr>
        <w:spacing w:before="0" w:after="0" w:line="480" w:lineRule="auto"/>
        <w:ind w:firstLine="420"/>
        <w:jc w:val="center"/>
      </w:pPr>
      <w:r>
        <w:rPr>
          <w:rFonts w:ascii="Times New Roman" w:hAnsi="Times New Roman" w:eastAsia="宋体" w:cs="Times New Roman"/>
          <w:b/>
          <w:bCs/>
          <w:i w:val="0"/>
          <w:sz w:val="40"/>
          <w:szCs w:val="48"/>
        </w:rPr>
        <w:t>SAFENet：空间-角度-频率协同增强的遥感图像旋转目标检测方法</w:t>
      </w:r>
    </w:p>
    <w:p w14:paraId="0CEACA0A">
      <w:pPr>
        <w:spacing w:before="40" w:after="20" w:line="480" w:lineRule="auto"/>
        <w:jc w:val="center"/>
      </w:pPr>
      <w:r>
        <w:rPr>
          <w:rFonts w:ascii="Times New Roman" w:hAnsi="Times New Roman" w:eastAsia="仿宋" w:cs="Times New Roman"/>
          <w:b w:val="0"/>
          <w:i w:val="0"/>
          <w:sz w:val="30"/>
        </w:rPr>
        <w:t>作者</w:t>
      </w:r>
    </w:p>
    <w:p w14:paraId="729B4443">
      <w:pPr>
        <w:spacing w:before="20" w:after="80" w:line="480" w:lineRule="auto"/>
        <w:jc w:val="center"/>
      </w:pPr>
      <w:r>
        <w:rPr>
          <w:rFonts w:ascii="Times New Roman" w:hAnsi="Times New Roman" w:eastAsia="宋体" w:cs="Times New Roman"/>
          <w:b w:val="0"/>
          <w:i w:val="0"/>
          <w:sz w:val="17"/>
        </w:rPr>
        <w:t>某某大学 某某学院, 城市 邮编</w:t>
      </w:r>
    </w:p>
    <w:p w14:paraId="1530D952">
      <w:pPr>
        <w:keepNext w:val="0"/>
        <w:keepLines w:val="0"/>
        <w:pageBreakBefore w:val="0"/>
        <w:widowControl/>
        <w:kinsoku/>
        <w:wordWrap/>
        <w:overflowPunct/>
        <w:topLinePunct w:val="0"/>
        <w:autoSpaceDE/>
        <w:autoSpaceDN/>
        <w:bidi w:val="0"/>
        <w:adjustRightInd/>
        <w:snapToGrid/>
        <w:spacing w:before="0" w:after="0" w:line="360" w:lineRule="auto"/>
        <w:ind w:firstLine="0"/>
        <w:jc w:val="both"/>
        <w:textAlignment w:val="auto"/>
      </w:pPr>
      <w:r>
        <w:rPr>
          <w:rFonts w:hint="eastAsia" w:ascii="黑体" w:hAnsi="黑体" w:eastAsia="黑体" w:cs="黑体"/>
          <w:b w:val="0"/>
          <w:i w:val="0"/>
          <w:sz w:val="18"/>
          <w:szCs w:val="18"/>
        </w:rPr>
        <w:t>摘  要：</w:t>
      </w:r>
      <w:r>
        <w:rPr>
          <w:rFonts w:ascii="Times New Roman" w:hAnsi="Times New Roman" w:eastAsia="宋体" w:cs="Times New Roman"/>
          <w:b w:val="0"/>
          <w:i w:val="0"/>
          <w:sz w:val="17"/>
          <w:szCs w:val="17"/>
        </w:rPr>
        <w:t>遥感图像中的旋转目标检测面临物体朝向任意、尺度变化剧烈与背景复杂等多重挑战。特征金字塔网络（FPN）作为多尺度特征融合的核心组件，其标准的逐元素加法缺乏方向感知能力且完全忽视频域信息，难以满足遥感场景中自适应、方向敏感、多维度协同的特征融合需求。针对上述问题，本文提出SAFENet——一种空间-角度-频率协同增强的即插即用FPN颈部模块。SAFENet包含两个协同设计的子模块：多分支局部上下文增强模块（MultiBranchLCE）通过三条互补分支——空间条带卷积、角度自适应旋转卷积（A²RC）与频域条带卷积（FDSC）——将空间、角度与频率三种信息模态统一于单一融合节点内；自适应感受野卷积模块（ARFCBlock）在此基础上引入多尺度特征增强与动态路由机制，使融合层以增强后的多模态表示为基础，实现内容感知的自适应感受野分配。在DOTA-v1.0和HRSC2016基准数据集上，SAFENet分别取得了76.54%和73.42%的mAP，在仅引入适度计算开销的前提下有效提升了对小目标和细长目标的检测精度。</w:t>
      </w:r>
    </w:p>
    <w:p w14:paraId="73479207">
      <w:pPr>
        <w:keepNext w:val="0"/>
        <w:keepLines w:val="0"/>
        <w:pageBreakBefore w:val="0"/>
        <w:widowControl/>
        <w:kinsoku/>
        <w:wordWrap/>
        <w:overflowPunct/>
        <w:topLinePunct w:val="0"/>
        <w:autoSpaceDE/>
        <w:autoSpaceDN/>
        <w:bidi w:val="0"/>
        <w:adjustRightInd/>
        <w:snapToGrid/>
        <w:spacing w:before="0" w:after="0" w:line="360" w:lineRule="auto"/>
        <w:ind w:firstLine="0"/>
        <w:jc w:val="both"/>
        <w:textAlignment w:val="auto"/>
      </w:pPr>
      <w:r>
        <w:rPr>
          <w:rFonts w:hint="eastAsia" w:ascii="黑体" w:hAnsi="黑体" w:eastAsia="黑体" w:cs="黑体"/>
          <w:b w:val="0"/>
          <w:i w:val="0"/>
          <w:sz w:val="18"/>
          <w:szCs w:val="18"/>
        </w:rPr>
        <w:t>关键词：</w:t>
      </w:r>
      <w:r>
        <w:rPr>
          <w:rFonts w:ascii="Times New Roman" w:hAnsi="Times New Roman" w:eastAsia="宋体" w:cs="Times New Roman"/>
          <w:b w:val="0"/>
          <w:i w:val="0"/>
          <w:sz w:val="17"/>
          <w:szCs w:val="17"/>
        </w:rPr>
        <w:t>遥感图像；旋转目标检测；特征金字塔网络；多特征增强；角度自适应旋转卷积；频域条带卷积；特征路由</w:t>
      </w:r>
    </w:p>
    <w:p w14:paraId="158CABDA">
      <w:pPr>
        <w:pStyle w:val="3"/>
        <w:bidi w:val="0"/>
      </w:pPr>
      <w:r>
        <w:t>引言</w:t>
      </w:r>
    </w:p>
    <w:p w14:paraId="30D2FDD0">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遥感图像中的目标检测是城市规划、环境监测和国防安全等领域的基础性任务[1,2]。由于遥感图像中的物体呈现任意朝向、尺度悬殊且密集排列的分布特征，采用定向边界框的旋转目标检测已成为该领域的主流范式。当前主流的旋转目标检测器——如Oriented R-CNN[3]——广泛依赖特征金字塔网络（FPN）[4]构建多尺度特征表示。FPN通过自顶向下路径将高层语义与浅层空间细节逐步融合，然而，其融合过程本质上是一个静态的逐元素加法操作，这在遥感场景中暴露出根本性的失配问题。</w:t>
      </w:r>
    </w:p>
    <w:p w14:paraId="8EA4164E">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具体而言，标准FPN的逐元素加法未考虑不同空间区域在感受野需求、方向特征和频率特性上的本质差异，具体体现在以下三个维度。第一，感受野维度：遥感图像中一个小型车辆仅占据数十个像素，需要精细的局部感受野来保留空间细节；而同一图像中的大型舰船横跨数百个像素，需要广泛的上下文信息来捕获全局结构——统一的逐元素加法无法适应这种空间差异化的感受野需求。第二，方向维度：遥感图像中大量存在的细长目标（如船舶、桥梁、道路）具有显著的带状几何结构，其判别信息高度集中在特定方向上。标准卷积的方形感受野不具备方向感知能力，来自不同层级且捕捉了不同方向模式的特征被直接相加时，方向信号相互抵消，导致分类置信度和角度预测精度下降。第三，频率维度：FPN完全在空间域中操作，忽视了频域所携带的全局结构信息。遥感图像中的规整纹理——如农田的周期性排列、港口设施的网格状分布——在频域中仅需少数低频分量即可完整刻画，而空间域则需要覆盖数百个像素的卷积核才能建模相同结构。每个频率分量天然聚合了所有空间位置的信息，能够有效弥补空间域局部卷积感受野受限的不足，而现有FPN设计完全未利用这一互补信息源。</w:t>
      </w:r>
    </w:p>
    <w:p w14:paraId="5BE6B6FB">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针对上述挑战，近年来研究者从不同角度进行了探索。ARFN-MoE[5]在骨干网络中引入混合专家（MoE）机制，通过多尺度专用专家和门控路由实现感受野的自适应分配，但其设计止步于骨干网络，未触及特征融合层——而正是在融合层中，不同尺度的特征交汇，对感受野的差异化需求最为突出。Strip R-CNN[17]和ARC[18]分别通过大条带卷积和自适应旋转卷积增强了骨干网络的方向建模能力，但FPN融合节点本身仍然缺乏方向感知机制。FAA-Fusion[24]利用傅里叶旋转等变性实现了FPN层级间的方向对齐，然而该方法聚焦于跨层级对齐，未增强节点内部的特征表达。在频域建模方面，FcaNet[29]和FreqFusion[30]验证了频域信息对视觉任务的增益，但在FPN融合节点中系统性整合频域处理仍未得到探索。</w:t>
      </w:r>
    </w:p>
    <w:p w14:paraId="39B6F659">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本文的核心观察是：已有工作各自从感受野、方向或频域的单一切面入手，而遥感目标的判别恰恰需要三者的协同。标准FPN的融合节点亟待一次根本性的能力升级——从静态、方向无关、纯空间域的特征聚合，走向自适应、方向感知、多维度协同的特征增强。基于这一认识，本文提出SAFENet（Spatial-Angle-Frequency Enhancement Network）——一种空间-角度-频率协同增强的即插即用FPN颈部模块。SAFENet的设计遵循两项核心原则：第一，特征融合节点应具备内容感知的多模态增强能力，在空间、角度与频率三个维度上协同丰富特征表达；第二，融合策略应可灵活配置，使不同金字塔层级根据其语义特性选择最优的增强方式。基于这两项原则，SAFENet实现了两个协同设计的子模块——MultiBranchLCE和ARFCBlock，并支持逐层的可配置融合模式：在P₃-P₅等高层级采用完整的协同增强以充分利用丰富的语义信息，在P₂等低层级保留标准加法融合以控制计算开销，为不同应用场景提供灵活的精度-效率权衡。</w:t>
      </w:r>
    </w:p>
    <w:p w14:paraId="9E22770A">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多分支局部上下文增强模块（MultiBranchLCE）通过三条结构互补的并行分支将空间、角度与频率三种信息模态统一于单一融合节点内。分支B1（空间条带卷积）沿水平和垂直方向分别进行大核深度可分离卷积，高效捕获标准空间域中的各向异性上下文[17]。分支B2（角度自适应旋转卷积，A²RC）首先通过FFT估计局部主导方向，随后将特征图沿该方向旋转对齐，使条带卷积核能够沿物体的几何主方向执行，提取方向感知的判别特征，最后通过逆旋转变换映射回原始坐标框架——整个过程端到端可微。分支B3（频域条带卷积，FDSC）将输入特征图通过二维实数FFT（rfft2）变换至傅里叶空间，对频谱的实部和虚部分量分别应用可学习条带卷积进行自适应调制，再通过逆FFT（irfft2）重建为增强的空间域特征，从而引入全局频率模式先验。三个分支的输出通过直接相加后经1×1卷积融合，实现多模态特征的有机整合。</w:t>
      </w:r>
    </w:p>
    <w:p w14:paraId="4FCD4BF9">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自适应感受野卷积模块（ARFCBlock）以MultiBranchLCE的多模态输出为基础，进一步引入多尺度特征增强与动态路由机制：多个核尺寸各异的深度可分离卷积（如3×3、5×5、7×7、9×9）并行提取多尺度上下文，网格级路由器[5]基于内容动态分配各尺度特征的融合权重，使不同空间区域自适应地获得最优的感受野组合；CV²平衡损失[5]强制路由器的均匀利用，防止专家退化。ARFCBlock遵循了ARFN-MoE[5]中的混合专家设计范式，但与其原版存在关键差异：原版的LCE仅包含单一的空间条带卷积分支，路由器仅基于空间特征做决策；本文的ARFCBlock以MultiBranchLCE的三模态（空间+角度+频率）表示为基础，使得路由决策能够同时考虑空间结构、方向模式和频率特性三个维度。消融实验证实了这一升级的意义：原版ARFN-MoE的单分支LCE直接迁移至FPN颈部仅带来0.13个百分点的微弱提升（B1+MFE: 76.00% vs. Baseline 75.87%），而替换为本文的三模态MultiBranchLCE后，同样的路由机制实现了0.67个百分点的提升（B1+B2+B3+MFE: 76.54%）——这表明三模态表示是动态路由在FPN场景中得以生效的必要条件。</w:t>
      </w:r>
    </w:p>
    <w:p w14:paraId="D49D5782">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我们在DOTA-v1.0[6]和HRSC2016[7]两个基准数据集上进行了实验验证。将SAFENet嵌入Oriented R-CNN检测框架后，在DOTA-v1.0验证集上取得了76.54%的mAP（较标准FPN基线提升0.67个百分点），在HRSC2016测试集上取得了73.42%的mAP。详尽的消融实验系统性地分析了MultiBranchLCE各分支的独立贡献与协同效应、三模态表示对路由机制性能释放的关键作用、以及逐层融合模式配置的灵活性与效率权衡。</w:t>
      </w:r>
    </w:p>
    <w:p w14:paraId="DFF08746">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本文的主要贡献如下：</w:t>
      </w:r>
    </w:p>
    <w:p w14:paraId="C9E39393">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提出SAFENet——一种空间-角度-频率协同增强的即插即用FPN颈部模块，在统一架构内将空间多尺度增强、方向感知特征提取与频域建模三种互补机制协同整合于特征融合节点，突破了已有方法仅从单一维度改进FPN颈部的局限。</w:t>
      </w:r>
    </w:p>
    <w:p w14:paraId="C164DC59">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提出角度自适应旋转卷积（A²RC）——通过FFT估计局部主导方向并自适应旋转卷积核，使条带卷积能够沿物体的几何主方向执行方向感知的特征提取，首次将方向感知能力注入FPN节点的局部上下文增强中。</w:t>
      </w:r>
    </w:p>
    <w:p w14:paraId="E0299ABF">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提出频域条带卷积（FDSC）——将特征变换至傅里叶空间，对频谱的实部和虚部分量分别进行可学习的条带卷积调制，再通过逆变换重建增强的空间域特征，为FPN融合节点引入全局频率模式先验，弥补了空间域局部卷积感受野受限的不足。</w:t>
      </w:r>
    </w:p>
    <w:p w14:paraId="259EE9AF">
      <w:pPr>
        <w:pStyle w:val="3"/>
        <w:bidi w:val="0"/>
      </w:pPr>
      <w:r>
        <w:t>相关工作</w:t>
      </w:r>
    </w:p>
    <w:p w14:paraId="5C76D63A">
      <w:pPr>
        <w:pStyle w:val="4"/>
        <w:bidi w:val="0"/>
      </w:pPr>
      <w:r>
        <w:t>遥感旋转目标检测与特征金字塔网络</w:t>
      </w:r>
    </w:p>
    <w:p w14:paraId="17717EBE">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旋转目标检测方法大致可划分为双阶段和单阶段两类范式。双阶段方法首先生成区域候选框再进行精细调整，代表性工作包括Rotated RPN[8]、RoI Transformer[9]和Oriented R-CNN[3]——后者以轻量级全卷积Oriented RPN实现了高质量定向候选区域的高效生成，已成为该领域广泛采用的基线检测器。单阶段方法省去候选区域生成步骤以提升推理效率，如R³Det[11]通过多阶段回归精炼策略改善旋转框的定位精度。在边界框表示方面，GWD[12]和KLD[13]将有向框建模为二维高斯分布以缓解角度边界不连续问题，KFIoU[14]进一步实现了可微的旋转IoU计算。上述工作在检测架构和损失函数层面的改进与本文对FPN颈部的增强是正交的。</w:t>
      </w:r>
    </w:p>
    <w:p w14:paraId="56D1ABCC">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特征金字塔网络（FPN）[4]通过自顶向下路径和横向连接融合多尺度特征，已成为检测颈部的标配组件。自FPN提出以来，大量工作致力于改进特征融合策略：PANet[19]增加自底向上路径以增强底层信息传播，BiFPN[20]引入可学习权重的加权双向融合，NAS-FPN[21]通过神经架构搜索自动设计拓扑结构。在遥感领域，ABNet[22]和MENet[23]分别设计了自适应平衡网络和多级增强网络以优化多尺度特征聚合。FAA-Fusion[24]利用傅里叶旋转等变性在FPN层级间实现无参数的角度对齐，有效解决了跨层级方向不一致的问题。</w:t>
      </w:r>
    </w:p>
    <w:p w14:paraId="5DAE8C18">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然而，上述FPN变体的共同特征是聚焦于改进融合路径或跨层级交互方式——即"特征如何连接"——而融合节点内部仍沿用简单的逐元素加法或通道拼接。本文的SAFENet在方法论上与此正交：我们关注的是"融合节点内部特征如何增强"，通过多模态分支在每一节点内丰富特征表达，而非重新设计节点间的连接路径。</w:t>
      </w:r>
    </w:p>
    <w:p w14:paraId="536D7D71">
      <w:pPr>
        <w:pStyle w:val="4"/>
        <w:bidi w:val="0"/>
      </w:pPr>
      <w:r>
        <w:t>遥感图像中的方向建模与条带卷积</w:t>
      </w:r>
    </w:p>
    <w:p w14:paraId="1990C305">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遥感图像中大量存在的细长目标（如船舶、桥梁）具有显著的带状几何结构，推动了对方向感知特征提取方法的探索。Strip R-CNN[17]首次系统性地将大条带卷积引入遥感检测，通过正交的1×K和K×1深度可分离卷积替代方形卷积，以极低的计算开销实现了对各向异性目标的高效特征提取。LSKNet[15]提出了大核选择卷积机制，通过空间选择在多个大核深度卷积之间动态调整感受野范围，在分类、检测和分割任务上均取得了优异性能。PKINet[16]沿此方向进一步引入参数化多尺度卷积核并行排列与上下文锚点注意力机制。</w:t>
      </w:r>
    </w:p>
    <w:p w14:paraId="1CC626FD">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在方向自适应方面，ARC[18]引入自适应旋转卷积，通过多组旋转卷积核提取方向特异性特征。GCA²Net[36]提出动态旋转卷积模块，利用自适应路由单元以输入依赖的方式学习卷积核的旋转角度。RACR-ShipDet[38]以自适应旋转卷积替代标准卷积用于船舶检测。这些方法的方向增强均作用于骨干网络或检测头——即特征提取阶段——而FPN融合节点本身仍不具备方向感知能力。</w:t>
      </w:r>
    </w:p>
    <w:p w14:paraId="1B94EF2A">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本文提出的A²RC将方向感知机制首次引入FPN节点的局部上下文增强中：通过在融合节点内部估计局部主导方向并自适应旋转卷积核，使特征融合过程能够主动对齐物体的几何主方向，而非被动地接收骨干网络提取的方向特征。</w:t>
      </w:r>
    </w:p>
    <w:p w14:paraId="3079EE52">
      <w:pPr>
        <w:pStyle w:val="4"/>
        <w:bidi w:val="0"/>
      </w:pPr>
      <w:r>
        <w:t>频域分析在视觉特征增强中的应用</w:t>
      </w:r>
    </w:p>
    <w:p w14:paraId="2FA6CC6F">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频率分析在计算机视觉中有着悠久的历史。FcaNet[29]证明频域通道注意力可作为全局平均池化的有效替代。FreqFusion[30]将特征分解为高频和低频分量分别处理，以增强语义一致性和边界提取。FADConv[39]提出频率自适应扩张卷积用于语义分割。这些工作验证了频域信息对视觉特征增强的通用价值。</w:t>
      </w:r>
    </w:p>
    <w:p w14:paraId="717D874F">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在遥感检测领域，频域建模正成为一个日益活跃的研究方向。FAA-Fusion[24]利用傅里叶旋转等变性实现跨层级角度对齐，已在2.1节讨论。DFNet[32]提出傅里叶特征金字塔网络（F²PN），在频域中通过频谱归一化保留高频前景细节。ADI-Net[31]设计了自适应双域交互模块，以注意力机制融合空间域和频率域特征。MFDAFF-Net[32]构建了小波频率感知模块用于多尺度特征聚合。这些方法的一个共同特点是：频域处理作为独立于空间域主干的并行通道或后处理步骤运行，而非与空间域特征提取融为一体。</w:t>
      </w:r>
    </w:p>
    <w:p w14:paraId="6C50208F">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本文提出的FDSC将频域处理直接嵌入MultiBranchLCE的一条分支中：在傅里叶空间对频谱实部和虚部分别进行可学习条带卷积调制，处理结果与空间分支和角度分支的输出相加融合。这种设计使得频域增强不再是分离的后处理，而是与空间域和方向感知特征提取在同一节点内协同工作的有机组成部分。</w:t>
      </w:r>
    </w:p>
    <w:p w14:paraId="6CA37081">
      <w:pPr>
        <w:pStyle w:val="4"/>
        <w:bidi w:val="0"/>
      </w:pPr>
      <w:r>
        <w:t>混合专家与动态路由机制</w:t>
      </w:r>
    </w:p>
    <w:p w14:paraId="4D5B2DB6">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混合专家（Mixture of Experts, MoE）[25]通过训练多个专业化子网络和一个门控路由网络，在扩大模型容量的同时保持恒定的推理计算开销。在计算机视觉领域，DeepMoE[26]将卷积层设计为专家以实现自适应通道稀疏化。在遥感检测中，SMDet[27]将稀疏MoE集成到骨干网络用于多模态目标检测。MoE-SBFPN[33]将注意力模块视作双向FPN中的专家，通过稀疏门控实现动态模块选择。FAMHE-Net[34]采用异构专家检测头，不同专家专注于不同尺度范围和方向模式。</w:t>
      </w:r>
    </w:p>
    <w:p w14:paraId="793460E2">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与本文最直接相关的是ARFN-MoE[5]，它提出了自适应感受野卷积（ARFC）模块，在骨干网络中部署局部上下文增强（LCE）专家和多尺度特征增强（MFE）专家的组合，通过网格级路由器实现感受野的动态分配，并引入CV²平衡损失防止路由崩溃。ARFN-MoE验证了"尺度专用专家+动态路由"这一范式在小目标检测中的有效性。</w:t>
      </w:r>
    </w:p>
    <w:p w14:paraId="13CD47E0">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然而，ARFN-MoE的LCE仅包含单一的空间条带卷积分支，路由器仅基于空间特征做决策。本文在两个方面与此不同：第一，将ARFC的部署位置从骨干网络迁移至FPN融合层——在融合层中多尺度特征交汇，感受野的差异化需求更为突出；第二，将单分支LCE拓展为三模态MultiBranchLCE，使路由决策能够同时利用空间、方向和频率三个维度的信息。消融实验证实，原版单分支LCE直接迁移至FPN颈部仅带来微弱提升，而三模态LCE使相同的路由机制获得了显著的性能增益。</w:t>
      </w:r>
    </w:p>
    <w:p w14:paraId="00911523">
      <w:pPr>
        <w:pStyle w:val="3"/>
        <w:bidi w:val="0"/>
      </w:pPr>
      <w:r>
        <w:rPr>
          <w:rFonts w:hint="eastAsia"/>
          <w:lang w:val="en-US" w:eastAsia="zh-CN"/>
        </w:rPr>
        <w:t>SAFENet网络结构</w:t>
      </w:r>
    </w:p>
    <w:p w14:paraId="1A21170E">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本节详细介绍角度频率增强特征金字塔网络（AFE-FPN）。我们首先在第3.1节概述整体架构，随后在第3.2节和第3.3节分别深入阐述两个核心模块——多分支局部上下文增强（MultiBranchLCE）和自适应感受野卷积模块（ARFCBlock），最后在第3.4节介绍完整AngleFreqEnhanceFPN类的设计与可配置融合模式。</w:t>
      </w:r>
    </w:p>
    <w:p w14:paraId="3B8E7558">
      <w:pPr>
        <w:pStyle w:val="4"/>
        <w:bidi w:val="0"/>
      </w:pPr>
      <w:r>
        <w:t>整体架构</w:t>
      </w:r>
    </w:p>
    <w:p w14:paraId="12709F8E">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AFE-FPN遵循标准FPN的骨干架构：自底向上的前馈路径和自顶向下的横向连接。给定一幅输入图像，骨干网络（如ResNet-50）提取多尺度特征图，记为{C₂, C₃, C₄, C₅}，分别对应4×、8×、16×、32×下采样率。FPN通过自顶向下路径生成增强的金字塔特征{P₂, P₃, P₄, P₅, P₆}，其标准公式为：</w:t>
      </w:r>
    </w:p>
    <w:p w14:paraId="58DAA9B0">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在AFE-FPN中，我们在选定的金字塔层级中系统地丰富了特征融合过程。每个参与增强的金字塔层级可以独立配置为以下两种融合模式之一：</w:t>
      </w:r>
    </w:p>
    <w:p w14:paraId="58BC727F">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'add'模式：沿用标准FPN的加法融合（公式1），将高层上采样特征与对应底层特征逐元素相加。该模式计算成本最低，是保持高效基准性能的首选。[eq:fpn]</w:t>
      </w:r>
    </w:p>
    <w:p w14:paraId="73504BCA">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arfc'模式：在逐元素加法融合之后，将合并特征馈入ARFCBlock进行自适应特征增强。ARFCBlock内部依次应用MultiBranchLCE进行多分支局部上下文增强，以及基于MoE门控路由的多尺度特征增强（MFE），实现内容感知的尺度精细化。完整的'add + LCE + MoE路由'流水线如图X所示。</w:t>
      </w:r>
    </w:p>
    <w:p w14:paraId="6C20D2A2">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这种可配置策略基于以下观察：高层FPN层级（如P₅、P₄）因语义信息丰富且感受野需求多样化，通常能从自适应增强中显著获益；而低层级（如P₂）以高分辨率空间细节为主，使用标准加法融合即可获得满意的精度，无需额外计算开销。我们在第4.4.3节的实验中系统性地探索了最优配置方案。</w:t>
      </w:r>
    </w:p>
    <w:p w14:paraId="61AE7DC0">
      <w:pPr>
        <w:pStyle w:val="4"/>
        <w:bidi w:val="0"/>
      </w:pPr>
      <w:r>
        <w:t>多分支局部上下文增强</w:t>
      </w:r>
    </w:p>
    <w:p w14:paraId="07C39A4E">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MultiBranchLCE模块通过三条结构互补的并行分支来丰富局部上下文特征，每条分支从不同的信息模态提取特征：</w:t>
      </w:r>
    </w:p>
    <w:p w14:paraId="2ACCDE3A">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分支B1（原始空间上下文）：采用水平和垂直方向的条带卷积[17]——核尺寸分别为(1, k)和(k, 1)的可分离深度卷积——高效捕获标准空间域中的各向异性上下文。该分支遵循ARFN-MoE[5]中的LCE设计，为模型提供基础的多方向空间感受野。</w:t>
      </w:r>
    </w:p>
    <w:p w14:paraId="136C3FB6">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分支B2（方向自适应旋转卷积）：该分支首先利用基于FFT的梯度方向估计方法（详见第3.2.1节）推断局部主导方向角θ；随后将卷积核旋转θ角度，使卷积操作沿物体的几何主方向执行，从而在特征提取中显式注入方向感知能力。旋转后的特征图通过逆旋转映射回原始坐标框架。</w:t>
      </w:r>
    </w:p>
    <w:p w14:paraId="177BD518">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分支B3（频域处理）：该分支将输入特征图通过二维实数FFT（rfft2）变换到频域，将频谱分解为实部和虚部两个通道。在频域中通过可学习的深度卷积对频谱进行调制，最后通过逆实数FFT（irfft2）重建为增强的空间域特征。该分支捕获全局频率模式，为模型引入频率结构先验。</w:t>
      </w:r>
    </w:p>
    <w:p w14:paraId="31288633">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每个分支均拥有独立的可学习参数（深度卷积权重和通道投影权重）。三个分支的输出通过自适应加权融合机制进行聚合。令B₁、B₂、B₃分别表示三个分支的输出特征，融合过程可表述为：</w:t>
      </w:r>
    </w:p>
    <w:p w14:paraId="76423DED">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其中[·,·,·]表示沿通道维度的拼接操作，Conv₁×₁为1×1卷积用于跨分支信息整合与通道降维。自适应加权融合允许网络根据输入内容灵活调整各分支的贡献权重，避免了手工设计固定融合权重带来的次优性。</w:t>
      </w:r>
    </w:p>
    <w:p w14:paraId="5E54AC54">
      <w:pPr>
        <w:pStyle w:val="4"/>
        <w:bidi w:val="0"/>
      </w:pPr>
      <w:r>
        <w:t>基于FFT的角度估计</w:t>
      </w:r>
    </w:p>
    <w:p w14:paraId="35277726">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分支B2的关键前提是准确估计局部主导方向。我们采用双角度圆形统计方法[39]来实现这一目标。给定输入特征图X ∈ ℝ^{C×H×W}，首先计算空间梯度：G_x = ∂X/∂x, G_y = ∂X/∂y，通过Sobel算子实现高效计算。</w:t>
      </w:r>
    </w:p>
    <w:p w14:paraId="2AD822A1">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使用双角度表示将每个空间位置的梯度方向θ映射为单位向量(cos 2θ, sin 2θ)。采用双倍角编码而非原始角度的原因在于：边缘的方向性在视觉上等价于θ和θ+π——一个垂直向上的边缘与垂直向下的边缘在视觉感知中属于同一方向类别。双倍角映射自然地处理了这种对跖等价性。</w:t>
      </w:r>
    </w:p>
    <w:p w14:paraId="086FA80A">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通过在空间维度上进行加权聚合（权重由梯度幅值|G|提供），得到该局部区域的综合方向估计。主导方向角θ_dominant = 0.5 × atan2(s̄, c̄)，其中s̄和c̄分别为加权平均后的sin 2θ和cos 2θ分量。</w:t>
      </w:r>
    </w:p>
    <w:p w14:paraId="0F28AA43">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获得主导方向角后，通过双线性插值将输入特征图旋转-θ_dominant角度，使物体的主方向与卷积核的水平轴对齐。随后应用标准水平卷积进行方向感知特征提取，最后将特征图反向旋转至原始坐标框架。整个旋转-卷积-逆旋转流程实现了端到端可微的方向自适应特征增强。</w:t>
      </w:r>
    </w:p>
    <w:p w14:paraId="56EB9A7C">
      <w:pPr>
        <w:pStyle w:val="4"/>
        <w:bidi w:val="0"/>
      </w:pPr>
      <w:r>
        <w:t>频域处理</w:t>
      </w:r>
    </w:p>
    <w:p w14:paraId="063EC4BF">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分支B3的频域处理管线设计如下。对输入特征图X应用二维实数FFT：</w:t>
      </w:r>
    </w:p>
    <w:p w14:paraId="4C90C92A">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其中F_real和F_imag分别为频谱的实部和虚部分量。将两者沿通道维拼接后，通过两个级联的深度可分离卷积（核尺寸3×3）在频域中进行自适应调制，随后引入GELU非线性激活以增强表示能力。</w:t>
      </w:r>
    </w:p>
    <w:p w14:paraId="3CD4BB6C">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增强后的频谱分量F'_real和F'_imag被重新组合为复数形式F' = F'_real + j·F'_imag，并通过逆实数FFT（irfft2）变换回空间域，得到频域增强的特征图X_freq。二维FFT的全局感受野特性使该分支能够捕获大范围的空间周期性模式——如农田、港口设施等具有重复结构的场景——这是纯空间域局部卷积难以有效建模的。</w:t>
      </w:r>
    </w:p>
    <w:p w14:paraId="246CCEBB">
      <w:pPr>
        <w:pStyle w:val="4"/>
        <w:bidi w:val="0"/>
      </w:pPr>
      <w:r>
        <w:t>自适应感受野卷积模块</w:t>
      </w:r>
    </w:p>
    <w:p w14:paraId="6B3B98AD">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ARFCBlock在MultiBranchLCE的基础上引入混合专家机制，实现内容感知的动态多尺度特征增强。如图X所示，ARFCBlock由三个关键子组件构成：[fig:arfc]</w:t>
      </w:r>
    </w:p>
    <w:p w14:paraId="57FC4521">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局部上下文增强（LCE）：即第3.2节所述的三分支MultiBranchLCE模块，为下游的专家网络提供丰富的基础初始化特征。LCE处理后的特征同时用作多尺度专家（MFE）的共享输入。3.2</w:t>
      </w:r>
    </w:p>
    <w:p w14:paraId="63F0265B">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多尺度特征增强（MFE）：一组尺度专用的专家卷积层{e₁, e₂, ..., e_E}，每个专家采用不同核尺寸的深度可分离卷积以专业化处理特定尺度范围的物体。小核专家（如3×3）专注于精细的局部细节和小目标，大核专家（如7×7、9×9）捕获广泛的上下文信息以支持大目标检测。</w:t>
      </w:r>
    </w:p>
    <w:p w14:paraId="2986A11E">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网格级门控路由器：一个轻量级路由网络，将特征图划分为不重叠的网格单元，为每个网格内的所有空间位置统一选择最相关的Top-K个专家。路由器通过计算网格特征与各专家嵌入向量之间的余弦相似度来确定专家选择。网格级（而非像素级）路由在空间一致性和计算效率之间取得了良好的平衡。</w:t>
      </w:r>
    </w:p>
    <w:p w14:paraId="74122AA6">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ARFCBlock的前向计算流程可以形式化描述如下。令X_cat = [X_up, X_lateral]为拼接后的输入特征。首先通过MultiBranchLCE获取增强特征X_lce = LCE(X_cat)。</w:t>
      </w:r>
    </w:p>
    <w:p w14:paraId="2645D233">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门控路由为每个网格单元g计算其与第i个专家的路由权重r_{g,i} = softmax(τ · cos(g, e_i))，其中τ为可学习的温度参数，cos(·,·)为余弦相似度。仅保留权重最高的Top-K个专家作为激活专家，其余专家的权重被置零。网格g的最终输出为激活专家输出的加权组合：O_g = Σ_{i∈TopK(g)} r_{g,i} · e_i(X_lce)。最后通过残差连接将输入传递至输出：O = X_cat + O_gated，以确保梯度流动的稳定性。</w:t>
      </w:r>
    </w:p>
    <w:p w14:paraId="0024343B">
      <w:pPr>
        <w:pStyle w:val="4"/>
        <w:bidi w:val="0"/>
      </w:pPr>
      <w:r>
        <w:t>尺度特化专家</w:t>
      </w:r>
    </w:p>
    <w:p w14:paraId="2F26E158">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每个MFE专家采用深度可分离卷积实现，以控制计算开销。第i个专家的核尺寸k_i按预设序列设置：默认配置为k ∈ {3, 5, 7, 9}，共E=4个专家。较小核的专家（k=3, 5）在路由竞争中倾向于被分配给包含小型物体的网格，这些网格中精细的局部细节占主导；较大核的专家（k=7, 9）则更频繁地被分配给包含大型物体或丰富上下文信息的网格。我们遵循ARFN-MoE[5]的做法，将输入通道按专家数量等量分配——即小核专家获得较少的输入通道（适配小目标通常较低的语义复杂度），大核专家获得更多的输入通道（满足大目标对丰富上下文的需求）。</w:t>
      </w:r>
    </w:p>
    <w:p w14:paraId="4A8DDFFF">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这种通道分配策略是计算高效的：设C为总通道数，E为专家数，采用均匀分配时每个专家处理C/E个通道。大核专家（如7×7、9×9）的FLOPs随核尺寸二次增长，减少其处理的通道数能有效控制总计算预算。默认配置（E=4, Top-K=2, 通道均匀分配）下，MFE模块的总计算开销约为标准3×3卷积的1.2×，增量极小。</w:t>
      </w:r>
    </w:p>
    <w:p w14:paraId="226F1433">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MFE模块的总FLOPs约为标准卷积的1.2×至1.5×，取决于专家配置。默认设置（4专家、Top-K=2）在精度和效率之间取得了良好的平衡。</w:t>
      </w:r>
    </w:p>
    <w:p w14:paraId="12106953">
      <w:pPr>
        <w:pStyle w:val="4"/>
        <w:bidi w:val="0"/>
      </w:pPr>
      <w:r>
        <w:t>网格级路由器</w:t>
      </w:r>
    </w:p>
    <w:p w14:paraId="1136C8D8">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门控路由器将空间维度为H×W的特征图均匀划分为G_h×G_w的网格（默认网格尺寸为8×8）。对于每个网格单元g（包含(H/G_h)×(W/G_w)个空间位置），路由器首先通过平均池化聚合该网格内的特征得到网格级表示ḡ，然后计算其与每个可学习专家嵌入向量e_i的余弦相似度：</w:t>
      </w:r>
    </w:p>
    <w:p w14:paraId="46CC786A">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相似度分数通过可学习温度参数τ进行缩放后，经Softmax归一化得到初始路由权重。仅保留权重最高的Top-K个专家，并对其权重重新归一化，实现稀疏激活。每个网格单元内的所有空间位置共享同一组路由权重，这既保证了输出特征的空间连续性，又显著降低了路由计算开销。</w:t>
      </w:r>
    </w:p>
    <w:p w14:paraId="2077F5A2">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网格级共享路由的另一个优势是防止像素级路由可能导致的过拟合——相邻像素通常属于同一物体的不同部分，强制共享路由权重引入了一种有益的正则化效应。</w:t>
      </w:r>
    </w:p>
    <w:p w14:paraId="6738E18F">
      <w:pPr>
        <w:pStyle w:val="4"/>
        <w:bidi w:val="0"/>
      </w:pPr>
      <w:r>
        <w:t>网格级均衡损失</w:t>
      </w:r>
    </w:p>
    <w:p w14:paraId="76DCA06A">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MoE模型在训练中容易遭遇路由崩溃问题：门控网络学会始终选择少数几个（甚至仅一个）专家，导致其他专家退化、模型容量利用率下降。为缓解这一问题，我们采用基于变异系数（CV²）的平衡损失[5]来鼓励所有专家的均匀利用：</w:t>
      </w:r>
    </w:p>
    <w:p w14:paraId="5885E539">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其中f_i表示在整个训练批次中第i个专家被选中的频率（即被分配到的网格比例），μ_f和σ_f分别为所有专家频率的均值和标准差。CV² = (σ_f/μ_f)²是专家利用率的归一化离散度度量：当所有专家被等频使用时CV²趋近于0，当路由高度集中于少数专家时CV²显著增大。总训练损失为L = L_det + λ_balance · L_balance，其中L_det为标准的检测损失（分类+回归），λ_balance默认设为0.01。</w:t>
      </w:r>
    </w:p>
    <w:p w14:paraId="03C51595">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平衡损失仅在训练阶段计算并用于更新路由器参数，推理阶段不产生任何额外开销。实验（第4.4.4节）表明，适度的平衡损失权重能够将专家利用率标准差降低50%以上，同时带来0.3–0.5%的mAP提升，验证了均衡路由对于模型性能的积极影响。</w:t>
      </w:r>
    </w:p>
    <w:p w14:paraId="085E89C9">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AngleFreqEnhanceFPN</w:t>
      </w:r>
    </w:p>
    <w:p w14:paraId="6EC37CB0">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AngleFreqEnhanceFPN是将上述所有组件集成在一起的完整FPN类实现。它继承标准FPN的结构骨架，重写了前向融合逻辑以纳入可配置增强模块。表X展示了默认配置下的层级-模式映射关系：</w:t>
      </w:r>
    </w:p>
    <w:p w14:paraId="6D86C031">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每个ARFCBlock实例维护独立的专家参数和门控路由器，以适配不同金字塔层级中特征通道维度和语义特性的差异。各ARFCBlock实例的平衡损失独立计算后求和，作为总平衡损失项加入训练目标。这种模块化设计使得AFE-FPN能够灵活适配不同的骨干网络和检测器，且新增的配置参数（融合模式映射、专家配置等）均可通过配置文件方便地调整。</w:t>
      </w:r>
    </w:p>
    <w:p w14:paraId="448253B7">
      <w:pPr>
        <w:pStyle w:val="3"/>
        <w:bidi w:val="0"/>
      </w:pPr>
      <w:r>
        <w:t>实验</w:t>
      </w:r>
      <w:r>
        <w:rPr>
          <w:rFonts w:hint="eastAsia"/>
          <w:lang w:val="en-US" w:eastAsia="zh-CN"/>
        </w:rPr>
        <w:t>结果与分析</w:t>
      </w:r>
    </w:p>
    <w:p w14:paraId="794A8DF0">
      <w:pPr>
        <w:pStyle w:val="4"/>
        <w:bidi w:val="0"/>
      </w:pPr>
      <w:r>
        <w:t>数据集与评估指标</w:t>
      </w:r>
    </w:p>
    <w:p w14:paraId="169834B5">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我们在两个广泛使用的旋转目标检测基准数据集上评估所提出的方法。</w:t>
      </w:r>
    </w:p>
    <w:p w14:paraId="0C5BF92E">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DOTA-v1.0[6]是大规模航拍图像目标检测数据集，包含2,806幅图像和188,282个标注实例，涵盖15个目标类别的多种尺度和方向。图像分辨率从800×800到4,000×4,000像素不等，充分体现了遥感场景中尺度多样性、方向多样性和背景复杂性的挑战。我们严格遵循标准训练/验证划分：1/2用于训练，1/6用于验证，1/3用于测试。主要结果在验证集上报告。</w:t>
      </w:r>
    </w:p>
    <w:p w14:paraId="74C619D3">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HRSC2016[7]是专门的船舶检测数据集，包含1,061幅从Google Earth收集的航拍图像，涵盖多种尺度和外观差异显著的海域船舶和港口舰船。使用标准训练/验证/测试划分（436/181/444幅图像）。该数据集特别适合评估检测器对细长旋转目标的建模能力。</w:t>
      </w:r>
    </w:p>
    <w:p w14:paraId="207AB0CE">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评估指标：采用平均精度均值（mAP）作为主要评估指标，按照PASCAL VOC标准在IoU阈值0.5下计算。对于DOTA数据集，同时报告各类别的AP₅₀以进行细粒度分析。</w:t>
      </w:r>
    </w:p>
    <w:p w14:paraId="3498498D">
      <w:pPr>
        <w:pStyle w:val="4"/>
        <w:bidi w:val="0"/>
      </w:pPr>
      <w:r>
        <w:t>实现细节</w:t>
      </w:r>
    </w:p>
    <w:p w14:paraId="285A64E6">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实现框架：基于MMRotate[40]代码库实现AFE-FPN。采用ImageNet预训练的ResNet-50作为骨干网络，Oriented R-CNN[3]作为基准检测器以评估FPN的性能增益。训练和测试时输入图像统一缩放到1024×1024像素。</w:t>
      </w:r>
    </w:p>
    <w:p w14:paraId="1C5609C5">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训练配置：采用AdamW优化器，初始学习率1×10⁻⁴，权重衰减0.05。模型训练12个epoch（DOTA）或36个epoch（HRSC2016），前500次迭代采用线性学习率预热。每个GPU的批次大小为2，在单个NVIDIA RTX 3090 GPU上完成训练。数据增强包括随机水平翻转、垂直翻转和对角翻转。</w:t>
      </w:r>
    </w:p>
    <w:p w14:paraId="0A36A7F1">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AFE-FPN默认配置：融合模式采用P₃-P₅为'arfc'、P₂为'add'的设置。MFE配置为E=4个专家，卷积核尺寸k∈{3,5,7,9}，Top-K=2。MultiBranchLCE默认启用B1分支，选择性启用B2/B3（详见消融实验）。LCE内部通道维度设为64。平衡损失权重λ_balance=0.01。</w:t>
      </w:r>
    </w:p>
    <w:p w14:paraId="63B777F7">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位置编码：每个ARFCBlock内置轻量级位置编码模块，通过正弦-余弦编码注入空间位置信息，并通过通道注意力将其分解为水平和垂直方向的位置注意力图，为门控路由器提供空间上下文。</w:t>
      </w:r>
    </w:p>
    <w:p w14:paraId="025F3032">
      <w:pPr>
        <w:pStyle w:val="4"/>
        <w:bidi w:val="0"/>
      </w:pPr>
      <w:r>
        <w:t>主要结果</w:t>
      </w:r>
    </w:p>
    <w:p w14:paraId="24AA7641">
      <w:pPr>
        <w:spacing w:before="60" w:after="40" w:line="480" w:lineRule="auto"/>
        <w:jc w:val="left"/>
      </w:pPr>
      <w:r>
        <w:rPr>
          <w:rFonts w:ascii="Times New Roman" w:hAnsi="Times New Roman" w:eastAsia="黑体" w:cs="Times New Roman"/>
          <w:b/>
          <w:i w:val="0"/>
          <w:sz w:val="20"/>
        </w:rPr>
        <w:t>DOTA-v1.0上的结果</w:t>
      </w:r>
    </w:p>
    <w:p w14:paraId="1EBEC8A1">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pPr>
      <w:r>
        <w:rPr>
          <w:rFonts w:ascii="Times New Roman" w:hAnsi="Times New Roman" w:eastAsia="宋体" w:cs="Times New Roman"/>
          <w:b w:val="0"/>
          <w:i w:val="0"/>
          <w:sz w:val="20"/>
        </w:rPr>
        <w:t>表1  DOTA-v1.0验证集上与现有方法的性能对比（单尺度训练和测试）。最优结果以粗体标出，本文基线以下划线标出。所有对比结果均引自各原始论文、ORCNN论文[3]及FAA论文[24]。</w:t>
      </w:r>
    </w:p>
    <w:tbl>
      <w:tblPr>
        <w:tblStyle w:val="33"/>
        <w:tblW w:w="8484"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0" w:type="dxa"/>
          <w:bottom w:w="0" w:type="dxa"/>
          <w:right w:w="0" w:type="dxa"/>
        </w:tblCellMar>
      </w:tblPr>
      <w:tblGrid>
        <w:gridCol w:w="1191"/>
        <w:gridCol w:w="709"/>
        <w:gridCol w:w="680"/>
        <w:gridCol w:w="369"/>
        <w:gridCol w:w="369"/>
        <w:gridCol w:w="369"/>
        <w:gridCol w:w="369"/>
        <w:gridCol w:w="369"/>
        <w:gridCol w:w="369"/>
        <w:gridCol w:w="369"/>
        <w:gridCol w:w="369"/>
        <w:gridCol w:w="369"/>
        <w:gridCol w:w="369"/>
        <w:gridCol w:w="369"/>
        <w:gridCol w:w="369"/>
        <w:gridCol w:w="369"/>
        <w:gridCol w:w="369"/>
        <w:gridCol w:w="369"/>
        <w:gridCol w:w="369"/>
      </w:tblGrid>
      <w:tr w14:paraId="15E106F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136" w:hRule="atLeast"/>
          <w:jc w:val="center"/>
        </w:trPr>
        <w:tc>
          <w:tcPr>
            <w:tcW w:w="1191" w:type="dxa"/>
            <w:tcBorders>
              <w:top w:val="single" w:color="auto" w:sz="12" w:space="0"/>
              <w:left w:val="nil"/>
              <w:bottom w:val="single" w:color="auto" w:sz="6" w:space="0"/>
            </w:tcBorders>
            <w:vAlign w:val="top"/>
          </w:tcPr>
          <w:p w14:paraId="27BAA581">
            <w:pPr>
              <w:keepNext w:val="0"/>
              <w:keepLines w:val="0"/>
              <w:pageBreakBefore w:val="0"/>
              <w:widowControl/>
              <w:kinsoku/>
              <w:wordWrap/>
              <w:overflowPunct/>
              <w:topLinePunct w:val="0"/>
              <w:autoSpaceDE/>
              <w:autoSpaceDN/>
              <w:bidi w:val="0"/>
              <w:adjustRightInd/>
              <w:snapToGrid/>
              <w:spacing w:after="0" w:line="240" w:lineRule="auto"/>
              <w:ind w:firstLine="0"/>
              <w:jc w:val="both"/>
              <w:textAlignment w:val="auto"/>
              <w:rPr>
                <w:rFonts w:hint="eastAsia" w:ascii="Times New Roman" w:hAnsi="Times New Roman" w:eastAsia="宋体"/>
                <w:b w:val="0"/>
                <w:bCs/>
                <w:sz w:val="13"/>
                <w:szCs w:val="21"/>
                <w:lang w:val="en-US" w:eastAsia="zh-CN"/>
              </w:rPr>
            </w:pPr>
            <w:r>
              <w:rPr>
                <w:rFonts w:hint="eastAsia" w:ascii="Times New Roman" w:hAnsi="Times New Roman" w:eastAsia="宋体"/>
                <w:b w:val="0"/>
                <w:bCs/>
                <w:sz w:val="13"/>
                <w:szCs w:val="21"/>
                <w:lang w:val="en-US" w:eastAsia="zh-CN"/>
              </w:rPr>
              <w:t>Method</w:t>
            </w:r>
          </w:p>
        </w:tc>
        <w:tc>
          <w:tcPr>
            <w:tcW w:w="709" w:type="dxa"/>
            <w:tcBorders>
              <w:top w:val="single" w:color="auto" w:sz="12" w:space="0"/>
              <w:bottom w:val="single" w:color="auto" w:sz="6" w:space="0"/>
            </w:tcBorders>
            <w:vAlign w:val="top"/>
          </w:tcPr>
          <w:p w14:paraId="49C3009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Times New Roman" w:hAnsi="Times New Roman" w:eastAsia="宋体"/>
                <w:b w:val="0"/>
                <w:bCs/>
                <w:sz w:val="13"/>
                <w:szCs w:val="21"/>
                <w:lang w:val="en-US" w:eastAsia="zh-CN"/>
              </w:rPr>
            </w:pPr>
            <w:r>
              <w:rPr>
                <w:rFonts w:hint="eastAsia" w:ascii="Times New Roman" w:hAnsi="Times New Roman" w:eastAsia="宋体"/>
                <w:b w:val="0"/>
                <w:bCs/>
                <w:sz w:val="13"/>
                <w:szCs w:val="21"/>
                <w:lang w:val="en-US" w:eastAsia="zh-CN"/>
              </w:rPr>
              <w:t>Publication</w:t>
            </w:r>
          </w:p>
        </w:tc>
        <w:tc>
          <w:tcPr>
            <w:tcW w:w="680" w:type="dxa"/>
            <w:tcBorders>
              <w:top w:val="single" w:color="auto" w:sz="12" w:space="0"/>
              <w:bottom w:val="single" w:color="auto" w:sz="6" w:space="0"/>
            </w:tcBorders>
            <w:vAlign w:val="top"/>
          </w:tcPr>
          <w:p w14:paraId="127073DD">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b w:val="0"/>
                <w:bCs/>
                <w:sz w:val="13"/>
                <w:szCs w:val="21"/>
                <w:lang w:val="en-US" w:eastAsia="zh-CN"/>
              </w:rPr>
            </w:pPr>
            <w:r>
              <w:rPr>
                <w:rFonts w:hint="eastAsia" w:ascii="Times New Roman" w:hAnsi="Times New Roman" w:eastAsia="宋体"/>
                <w:b w:val="0"/>
                <w:bCs/>
                <w:sz w:val="13"/>
                <w:szCs w:val="21"/>
                <w:lang w:val="en-US" w:eastAsia="zh-CN"/>
              </w:rPr>
              <w:t>Backbone</w:t>
            </w:r>
          </w:p>
        </w:tc>
        <w:tc>
          <w:tcPr>
            <w:tcW w:w="369" w:type="dxa"/>
            <w:tcBorders>
              <w:top w:val="single" w:color="auto" w:sz="12" w:space="0"/>
              <w:bottom w:val="single" w:color="auto" w:sz="6" w:space="0"/>
            </w:tcBorders>
            <w:vAlign w:val="top"/>
          </w:tcPr>
          <w:p w14:paraId="123C1F0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21"/>
                <w:szCs w:val="21"/>
              </w:rPr>
            </w:pPr>
            <w:r>
              <w:rPr>
                <w:rFonts w:ascii="Times New Roman" w:hAnsi="Times New Roman" w:eastAsia="宋体"/>
                <w:b w:val="0"/>
                <w:bCs/>
                <w:sz w:val="13"/>
                <w:szCs w:val="21"/>
              </w:rPr>
              <w:t>PL</w:t>
            </w:r>
          </w:p>
        </w:tc>
        <w:tc>
          <w:tcPr>
            <w:tcW w:w="369" w:type="dxa"/>
            <w:tcBorders>
              <w:top w:val="single" w:color="auto" w:sz="12" w:space="0"/>
              <w:bottom w:val="single" w:color="auto" w:sz="6" w:space="0"/>
            </w:tcBorders>
            <w:vAlign w:val="top"/>
          </w:tcPr>
          <w:p w14:paraId="23177AB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21"/>
                <w:szCs w:val="21"/>
              </w:rPr>
            </w:pPr>
            <w:r>
              <w:rPr>
                <w:rFonts w:ascii="Times New Roman" w:hAnsi="Times New Roman" w:eastAsia="宋体"/>
                <w:b w:val="0"/>
                <w:bCs/>
                <w:sz w:val="13"/>
                <w:szCs w:val="21"/>
              </w:rPr>
              <w:t>BD</w:t>
            </w:r>
          </w:p>
        </w:tc>
        <w:tc>
          <w:tcPr>
            <w:tcW w:w="369" w:type="dxa"/>
            <w:tcBorders>
              <w:top w:val="single" w:color="auto" w:sz="12" w:space="0"/>
              <w:bottom w:val="single" w:color="auto" w:sz="6" w:space="0"/>
            </w:tcBorders>
            <w:vAlign w:val="top"/>
          </w:tcPr>
          <w:p w14:paraId="0BCDD1B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21"/>
                <w:szCs w:val="21"/>
              </w:rPr>
            </w:pPr>
            <w:r>
              <w:rPr>
                <w:rFonts w:ascii="Times New Roman" w:hAnsi="Times New Roman" w:eastAsia="宋体"/>
                <w:b w:val="0"/>
                <w:bCs/>
                <w:sz w:val="13"/>
                <w:szCs w:val="21"/>
              </w:rPr>
              <w:t>BR</w:t>
            </w:r>
          </w:p>
        </w:tc>
        <w:tc>
          <w:tcPr>
            <w:tcW w:w="369" w:type="dxa"/>
            <w:tcBorders>
              <w:top w:val="single" w:color="auto" w:sz="12" w:space="0"/>
              <w:bottom w:val="single" w:color="auto" w:sz="6" w:space="0"/>
            </w:tcBorders>
            <w:vAlign w:val="top"/>
          </w:tcPr>
          <w:p w14:paraId="510BB1FB">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21"/>
                <w:szCs w:val="21"/>
              </w:rPr>
            </w:pPr>
            <w:r>
              <w:rPr>
                <w:rFonts w:ascii="Times New Roman" w:hAnsi="Times New Roman" w:eastAsia="宋体"/>
                <w:b w:val="0"/>
                <w:bCs/>
                <w:sz w:val="13"/>
                <w:szCs w:val="21"/>
              </w:rPr>
              <w:t>GTF</w:t>
            </w:r>
          </w:p>
        </w:tc>
        <w:tc>
          <w:tcPr>
            <w:tcW w:w="369" w:type="dxa"/>
            <w:tcBorders>
              <w:top w:val="single" w:color="auto" w:sz="12" w:space="0"/>
              <w:bottom w:val="single" w:color="auto" w:sz="6" w:space="0"/>
            </w:tcBorders>
            <w:vAlign w:val="top"/>
          </w:tcPr>
          <w:p w14:paraId="3F74926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21"/>
                <w:szCs w:val="21"/>
              </w:rPr>
            </w:pPr>
            <w:r>
              <w:rPr>
                <w:rFonts w:ascii="Times New Roman" w:hAnsi="Times New Roman" w:eastAsia="宋体"/>
                <w:b w:val="0"/>
                <w:bCs/>
                <w:sz w:val="13"/>
                <w:szCs w:val="21"/>
              </w:rPr>
              <w:t>SV</w:t>
            </w:r>
          </w:p>
        </w:tc>
        <w:tc>
          <w:tcPr>
            <w:tcW w:w="369" w:type="dxa"/>
            <w:tcBorders>
              <w:top w:val="single" w:color="auto" w:sz="12" w:space="0"/>
              <w:bottom w:val="single" w:color="auto" w:sz="6" w:space="0"/>
            </w:tcBorders>
            <w:vAlign w:val="top"/>
          </w:tcPr>
          <w:p w14:paraId="14350F1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21"/>
                <w:szCs w:val="21"/>
              </w:rPr>
            </w:pPr>
            <w:r>
              <w:rPr>
                <w:rFonts w:ascii="Times New Roman" w:hAnsi="Times New Roman" w:eastAsia="宋体"/>
                <w:b w:val="0"/>
                <w:bCs/>
                <w:sz w:val="13"/>
                <w:szCs w:val="21"/>
              </w:rPr>
              <w:t>LV</w:t>
            </w:r>
          </w:p>
        </w:tc>
        <w:tc>
          <w:tcPr>
            <w:tcW w:w="369" w:type="dxa"/>
            <w:tcBorders>
              <w:top w:val="single" w:color="auto" w:sz="12" w:space="0"/>
              <w:bottom w:val="single" w:color="auto" w:sz="6" w:space="0"/>
            </w:tcBorders>
            <w:vAlign w:val="top"/>
          </w:tcPr>
          <w:p w14:paraId="723BAB1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21"/>
                <w:szCs w:val="21"/>
              </w:rPr>
            </w:pPr>
            <w:r>
              <w:rPr>
                <w:rFonts w:ascii="Times New Roman" w:hAnsi="Times New Roman" w:eastAsia="宋体"/>
                <w:b w:val="0"/>
                <w:bCs/>
                <w:sz w:val="13"/>
                <w:szCs w:val="21"/>
              </w:rPr>
              <w:t>SH</w:t>
            </w:r>
          </w:p>
        </w:tc>
        <w:tc>
          <w:tcPr>
            <w:tcW w:w="369" w:type="dxa"/>
            <w:tcBorders>
              <w:top w:val="single" w:color="auto" w:sz="12" w:space="0"/>
              <w:bottom w:val="single" w:color="auto" w:sz="6" w:space="0"/>
            </w:tcBorders>
            <w:vAlign w:val="top"/>
          </w:tcPr>
          <w:p w14:paraId="48513BD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21"/>
                <w:szCs w:val="21"/>
              </w:rPr>
            </w:pPr>
            <w:r>
              <w:rPr>
                <w:rFonts w:ascii="Times New Roman" w:hAnsi="Times New Roman" w:eastAsia="宋体"/>
                <w:b w:val="0"/>
                <w:bCs/>
                <w:sz w:val="13"/>
                <w:szCs w:val="21"/>
              </w:rPr>
              <w:t>TC</w:t>
            </w:r>
          </w:p>
        </w:tc>
        <w:tc>
          <w:tcPr>
            <w:tcW w:w="369" w:type="dxa"/>
            <w:tcBorders>
              <w:top w:val="single" w:color="auto" w:sz="12" w:space="0"/>
              <w:bottom w:val="single" w:color="auto" w:sz="6" w:space="0"/>
            </w:tcBorders>
            <w:vAlign w:val="top"/>
          </w:tcPr>
          <w:p w14:paraId="3767652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21"/>
                <w:szCs w:val="21"/>
              </w:rPr>
            </w:pPr>
            <w:r>
              <w:rPr>
                <w:rFonts w:ascii="Times New Roman" w:hAnsi="Times New Roman" w:eastAsia="宋体"/>
                <w:b w:val="0"/>
                <w:bCs/>
                <w:sz w:val="13"/>
                <w:szCs w:val="21"/>
              </w:rPr>
              <w:t>BC</w:t>
            </w:r>
          </w:p>
        </w:tc>
        <w:tc>
          <w:tcPr>
            <w:tcW w:w="369" w:type="dxa"/>
            <w:tcBorders>
              <w:top w:val="single" w:color="auto" w:sz="12" w:space="0"/>
              <w:bottom w:val="single" w:color="auto" w:sz="6" w:space="0"/>
            </w:tcBorders>
            <w:vAlign w:val="top"/>
          </w:tcPr>
          <w:p w14:paraId="1C8DFDB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21"/>
                <w:szCs w:val="21"/>
              </w:rPr>
            </w:pPr>
            <w:r>
              <w:rPr>
                <w:rFonts w:ascii="Times New Roman" w:hAnsi="Times New Roman" w:eastAsia="宋体"/>
                <w:b w:val="0"/>
                <w:bCs/>
                <w:sz w:val="13"/>
                <w:szCs w:val="21"/>
              </w:rPr>
              <w:t>ST</w:t>
            </w:r>
          </w:p>
        </w:tc>
        <w:tc>
          <w:tcPr>
            <w:tcW w:w="369" w:type="dxa"/>
            <w:tcBorders>
              <w:top w:val="single" w:color="auto" w:sz="12" w:space="0"/>
              <w:bottom w:val="single" w:color="auto" w:sz="6" w:space="0"/>
            </w:tcBorders>
            <w:vAlign w:val="top"/>
          </w:tcPr>
          <w:p w14:paraId="39847DB1">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21"/>
                <w:szCs w:val="21"/>
              </w:rPr>
            </w:pPr>
            <w:r>
              <w:rPr>
                <w:rFonts w:ascii="Times New Roman" w:hAnsi="Times New Roman" w:eastAsia="宋体"/>
                <w:b w:val="0"/>
                <w:bCs/>
                <w:sz w:val="13"/>
                <w:szCs w:val="21"/>
              </w:rPr>
              <w:t>SBF</w:t>
            </w:r>
          </w:p>
        </w:tc>
        <w:tc>
          <w:tcPr>
            <w:tcW w:w="369" w:type="dxa"/>
            <w:tcBorders>
              <w:top w:val="single" w:color="auto" w:sz="12" w:space="0"/>
              <w:bottom w:val="single" w:color="auto" w:sz="6" w:space="0"/>
            </w:tcBorders>
            <w:vAlign w:val="top"/>
          </w:tcPr>
          <w:p w14:paraId="66BC6673">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21"/>
                <w:szCs w:val="21"/>
              </w:rPr>
            </w:pPr>
            <w:r>
              <w:rPr>
                <w:rFonts w:ascii="Times New Roman" w:hAnsi="Times New Roman" w:eastAsia="宋体"/>
                <w:b w:val="0"/>
                <w:bCs/>
                <w:sz w:val="13"/>
                <w:szCs w:val="21"/>
              </w:rPr>
              <w:t>RA</w:t>
            </w:r>
          </w:p>
        </w:tc>
        <w:tc>
          <w:tcPr>
            <w:tcW w:w="369" w:type="dxa"/>
            <w:tcBorders>
              <w:top w:val="single" w:color="auto" w:sz="12" w:space="0"/>
              <w:bottom w:val="single" w:color="auto" w:sz="6" w:space="0"/>
            </w:tcBorders>
            <w:vAlign w:val="top"/>
          </w:tcPr>
          <w:p w14:paraId="1896496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21"/>
                <w:szCs w:val="21"/>
              </w:rPr>
            </w:pPr>
            <w:r>
              <w:rPr>
                <w:rFonts w:ascii="Times New Roman" w:hAnsi="Times New Roman" w:eastAsia="宋体"/>
                <w:b w:val="0"/>
                <w:bCs/>
                <w:sz w:val="13"/>
                <w:szCs w:val="21"/>
              </w:rPr>
              <w:t>HA</w:t>
            </w:r>
          </w:p>
        </w:tc>
        <w:tc>
          <w:tcPr>
            <w:tcW w:w="369" w:type="dxa"/>
            <w:tcBorders>
              <w:top w:val="single" w:color="auto" w:sz="12" w:space="0"/>
              <w:bottom w:val="single" w:color="auto" w:sz="6" w:space="0"/>
            </w:tcBorders>
            <w:vAlign w:val="top"/>
          </w:tcPr>
          <w:p w14:paraId="4A71A65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21"/>
                <w:szCs w:val="21"/>
              </w:rPr>
            </w:pPr>
            <w:r>
              <w:rPr>
                <w:rFonts w:ascii="Times New Roman" w:hAnsi="Times New Roman" w:eastAsia="宋体"/>
                <w:b w:val="0"/>
                <w:bCs/>
                <w:sz w:val="13"/>
                <w:szCs w:val="21"/>
              </w:rPr>
              <w:t>SP</w:t>
            </w:r>
          </w:p>
        </w:tc>
        <w:tc>
          <w:tcPr>
            <w:tcW w:w="369" w:type="dxa"/>
            <w:tcBorders>
              <w:top w:val="single" w:color="auto" w:sz="12" w:space="0"/>
              <w:bottom w:val="single" w:color="auto" w:sz="6" w:space="0"/>
            </w:tcBorders>
            <w:vAlign w:val="top"/>
          </w:tcPr>
          <w:p w14:paraId="70E4C24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21"/>
                <w:szCs w:val="21"/>
              </w:rPr>
            </w:pPr>
            <w:r>
              <w:rPr>
                <w:rFonts w:ascii="Times New Roman" w:hAnsi="Times New Roman" w:eastAsia="宋体"/>
                <w:b w:val="0"/>
                <w:bCs/>
                <w:sz w:val="13"/>
                <w:szCs w:val="21"/>
              </w:rPr>
              <w:t>HC</w:t>
            </w:r>
          </w:p>
        </w:tc>
        <w:tc>
          <w:tcPr>
            <w:tcW w:w="369" w:type="dxa"/>
            <w:tcBorders>
              <w:top w:val="single" w:color="auto" w:sz="12" w:space="0"/>
              <w:bottom w:val="single" w:color="auto" w:sz="6" w:space="0"/>
              <w:right w:val="nil"/>
            </w:tcBorders>
            <w:vAlign w:val="top"/>
          </w:tcPr>
          <w:p w14:paraId="17BEA27D">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21"/>
                <w:szCs w:val="21"/>
              </w:rPr>
            </w:pPr>
            <w:r>
              <w:rPr>
                <w:rFonts w:ascii="Times New Roman" w:hAnsi="Times New Roman" w:eastAsia="宋体"/>
                <w:b w:val="0"/>
                <w:bCs/>
                <w:sz w:val="13"/>
                <w:szCs w:val="21"/>
              </w:rPr>
              <w:t>mAP</w:t>
            </w:r>
          </w:p>
        </w:tc>
      </w:tr>
      <w:tr w14:paraId="0EEE0B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jc w:val="center"/>
        </w:trPr>
        <w:tc>
          <w:tcPr>
            <w:tcW w:w="1191" w:type="dxa"/>
            <w:tcBorders>
              <w:top w:val="single" w:color="auto" w:sz="6" w:space="0"/>
              <w:left w:val="nil"/>
              <w:bottom w:val="nil"/>
            </w:tcBorders>
            <w:shd w:val="clear" w:color="auto" w:fill="auto"/>
            <w:vAlign w:val="top"/>
          </w:tcPr>
          <w:p w14:paraId="6EAB2F9D">
            <w:pPr>
              <w:keepNext w:val="0"/>
              <w:keepLines w:val="0"/>
              <w:pageBreakBefore w:val="0"/>
              <w:widowControl/>
              <w:kinsoku/>
              <w:wordWrap/>
              <w:overflowPunct/>
              <w:topLinePunct w:val="0"/>
              <w:autoSpaceDE/>
              <w:autoSpaceDN/>
              <w:bidi w:val="0"/>
              <w:adjustRightInd/>
              <w:snapToGrid/>
              <w:spacing w:after="0" w:line="240" w:lineRule="auto"/>
              <w:ind w:firstLine="0"/>
              <w:jc w:val="left"/>
              <w:textAlignment w:val="auto"/>
              <w:rPr>
                <w:rFonts w:hint="default" w:ascii="Times New Roman" w:hAnsi="Times New Roman" w:eastAsia="宋体"/>
                <w:sz w:val="21"/>
                <w:szCs w:val="21"/>
                <w:lang w:val="en-US" w:eastAsia="zh-CN"/>
              </w:rPr>
            </w:pPr>
            <w:r>
              <w:rPr>
                <w:rFonts w:hint="eastAsia" w:ascii="Times New Roman" w:hAnsi="Times New Roman" w:eastAsia="宋体"/>
                <w:b w:val="0"/>
                <w:bCs/>
                <w:i/>
                <w:iCs/>
                <w:sz w:val="13"/>
                <w:szCs w:val="21"/>
                <w:lang w:val="en-US" w:eastAsia="zh-CN"/>
              </w:rPr>
              <w:t>One-stage</w:t>
            </w:r>
          </w:p>
        </w:tc>
        <w:tc>
          <w:tcPr>
            <w:tcW w:w="709" w:type="dxa"/>
            <w:tcBorders>
              <w:top w:val="single" w:color="auto" w:sz="6" w:space="0"/>
              <w:bottom w:val="nil"/>
            </w:tcBorders>
            <w:shd w:val="clear" w:color="auto" w:fill="auto"/>
            <w:vAlign w:val="top"/>
          </w:tcPr>
          <w:p w14:paraId="567DCC02">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680" w:type="dxa"/>
            <w:tcBorders>
              <w:top w:val="single" w:color="auto" w:sz="6" w:space="0"/>
              <w:bottom w:val="nil"/>
            </w:tcBorders>
            <w:shd w:val="clear" w:color="auto" w:fill="auto"/>
            <w:vAlign w:val="top"/>
          </w:tcPr>
          <w:p w14:paraId="430B864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tcBorders>
              <w:top w:val="single" w:color="auto" w:sz="6" w:space="0"/>
              <w:bottom w:val="nil"/>
            </w:tcBorders>
            <w:shd w:val="clear" w:color="auto" w:fill="auto"/>
            <w:vAlign w:val="top"/>
          </w:tcPr>
          <w:p w14:paraId="7F0D9FDB">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tcBorders>
              <w:top w:val="single" w:color="auto" w:sz="6" w:space="0"/>
              <w:bottom w:val="nil"/>
            </w:tcBorders>
            <w:shd w:val="clear" w:color="auto" w:fill="auto"/>
            <w:vAlign w:val="top"/>
          </w:tcPr>
          <w:p w14:paraId="35CC1B7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tcBorders>
              <w:top w:val="single" w:color="auto" w:sz="6" w:space="0"/>
              <w:bottom w:val="nil"/>
            </w:tcBorders>
            <w:shd w:val="clear" w:color="auto" w:fill="auto"/>
            <w:vAlign w:val="top"/>
          </w:tcPr>
          <w:p w14:paraId="60C2697D">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tcBorders>
              <w:top w:val="single" w:color="auto" w:sz="6" w:space="0"/>
              <w:bottom w:val="nil"/>
            </w:tcBorders>
            <w:shd w:val="clear" w:color="auto" w:fill="auto"/>
            <w:vAlign w:val="top"/>
          </w:tcPr>
          <w:p w14:paraId="6522672B">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tcBorders>
              <w:top w:val="single" w:color="auto" w:sz="6" w:space="0"/>
              <w:bottom w:val="nil"/>
            </w:tcBorders>
            <w:shd w:val="clear" w:color="auto" w:fill="auto"/>
            <w:vAlign w:val="top"/>
          </w:tcPr>
          <w:p w14:paraId="67F4330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tcBorders>
              <w:top w:val="single" w:color="auto" w:sz="6" w:space="0"/>
              <w:bottom w:val="nil"/>
            </w:tcBorders>
            <w:shd w:val="clear" w:color="auto" w:fill="auto"/>
            <w:vAlign w:val="top"/>
          </w:tcPr>
          <w:p w14:paraId="1EFC79F2">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tcBorders>
              <w:top w:val="single" w:color="auto" w:sz="6" w:space="0"/>
              <w:bottom w:val="nil"/>
            </w:tcBorders>
            <w:shd w:val="clear" w:color="auto" w:fill="auto"/>
            <w:vAlign w:val="top"/>
          </w:tcPr>
          <w:p w14:paraId="7F638D0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tcBorders>
              <w:top w:val="single" w:color="auto" w:sz="6" w:space="0"/>
              <w:bottom w:val="nil"/>
            </w:tcBorders>
            <w:shd w:val="clear" w:color="auto" w:fill="auto"/>
            <w:vAlign w:val="top"/>
          </w:tcPr>
          <w:p w14:paraId="0593FFD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tcBorders>
              <w:top w:val="single" w:color="auto" w:sz="6" w:space="0"/>
              <w:bottom w:val="nil"/>
            </w:tcBorders>
            <w:shd w:val="clear" w:color="auto" w:fill="auto"/>
            <w:vAlign w:val="top"/>
          </w:tcPr>
          <w:p w14:paraId="351B6E6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tcBorders>
              <w:top w:val="single" w:color="auto" w:sz="6" w:space="0"/>
              <w:bottom w:val="nil"/>
            </w:tcBorders>
            <w:shd w:val="clear" w:color="auto" w:fill="auto"/>
            <w:vAlign w:val="top"/>
          </w:tcPr>
          <w:p w14:paraId="201BCA7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tcBorders>
              <w:top w:val="single" w:color="auto" w:sz="6" w:space="0"/>
              <w:bottom w:val="nil"/>
            </w:tcBorders>
            <w:shd w:val="clear" w:color="auto" w:fill="auto"/>
            <w:vAlign w:val="top"/>
          </w:tcPr>
          <w:p w14:paraId="184B51D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tcBorders>
              <w:top w:val="single" w:color="auto" w:sz="6" w:space="0"/>
              <w:bottom w:val="nil"/>
            </w:tcBorders>
            <w:shd w:val="clear" w:color="auto" w:fill="auto"/>
            <w:vAlign w:val="top"/>
          </w:tcPr>
          <w:p w14:paraId="7346D86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tcBorders>
              <w:top w:val="single" w:color="auto" w:sz="6" w:space="0"/>
              <w:bottom w:val="nil"/>
            </w:tcBorders>
            <w:shd w:val="clear" w:color="auto" w:fill="auto"/>
            <w:vAlign w:val="top"/>
          </w:tcPr>
          <w:p w14:paraId="0FC544B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tcBorders>
              <w:top w:val="single" w:color="auto" w:sz="6" w:space="0"/>
              <w:bottom w:val="nil"/>
            </w:tcBorders>
            <w:shd w:val="clear" w:color="auto" w:fill="auto"/>
            <w:vAlign w:val="top"/>
          </w:tcPr>
          <w:p w14:paraId="423D6EF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tcBorders>
              <w:top w:val="single" w:color="auto" w:sz="6" w:space="0"/>
              <w:bottom w:val="nil"/>
            </w:tcBorders>
            <w:shd w:val="clear" w:color="auto" w:fill="auto"/>
            <w:vAlign w:val="top"/>
          </w:tcPr>
          <w:p w14:paraId="538810D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tcBorders>
              <w:top w:val="single" w:color="auto" w:sz="6" w:space="0"/>
              <w:bottom w:val="nil"/>
              <w:right w:val="nil"/>
            </w:tcBorders>
            <w:shd w:val="clear" w:color="auto" w:fill="auto"/>
            <w:vAlign w:val="top"/>
          </w:tcPr>
          <w:p w14:paraId="47528BD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r>
      <w:tr w14:paraId="141A04C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jc w:val="center"/>
        </w:trPr>
        <w:tc>
          <w:tcPr>
            <w:tcW w:w="1191" w:type="dxa"/>
            <w:tcBorders>
              <w:top w:val="nil"/>
              <w:left w:val="nil"/>
            </w:tcBorders>
            <w:shd w:val="clear" w:color="auto" w:fill="auto"/>
            <w:vAlign w:val="top"/>
          </w:tcPr>
          <w:p w14:paraId="377EF417">
            <w:pPr>
              <w:keepNext w:val="0"/>
              <w:keepLines w:val="0"/>
              <w:pageBreakBefore w:val="0"/>
              <w:widowControl/>
              <w:kinsoku/>
              <w:wordWrap/>
              <w:overflowPunct/>
              <w:topLinePunct w:val="0"/>
              <w:autoSpaceDE/>
              <w:autoSpaceDN/>
              <w:bidi w:val="0"/>
              <w:adjustRightInd/>
              <w:snapToGrid/>
              <w:spacing w:after="0" w:line="240" w:lineRule="auto"/>
              <w:ind w:firstLine="0"/>
              <w:jc w:val="left"/>
              <w:textAlignment w:val="auto"/>
              <w:rPr>
                <w:rFonts w:hint="eastAsia" w:ascii="Times New Roman" w:hAnsi="Times New Roman" w:eastAsia="宋体"/>
                <w:b w:val="0"/>
                <w:bCs/>
                <w:sz w:val="13"/>
                <w:szCs w:val="21"/>
                <w:lang w:val="en-US" w:eastAsia="zh-CN"/>
              </w:rPr>
            </w:pPr>
            <w:r>
              <w:rPr>
                <w:rFonts w:hint="eastAsia" w:ascii="Times New Roman" w:hAnsi="Times New Roman" w:eastAsia="宋体"/>
                <w:b w:val="0"/>
                <w:bCs/>
                <w:sz w:val="13"/>
                <w:szCs w:val="21"/>
                <w:lang w:val="en-US" w:eastAsia="zh-CN"/>
              </w:rPr>
              <w:t>DRN</w:t>
            </w:r>
          </w:p>
        </w:tc>
        <w:tc>
          <w:tcPr>
            <w:tcW w:w="709" w:type="dxa"/>
            <w:tcBorders>
              <w:top w:val="nil"/>
            </w:tcBorders>
            <w:shd w:val="clear" w:color="auto" w:fill="auto"/>
            <w:vAlign w:val="top"/>
          </w:tcPr>
          <w:p w14:paraId="5F0ACB7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b w:val="0"/>
                <w:bCs/>
                <w:sz w:val="13"/>
                <w:szCs w:val="21"/>
                <w:lang w:val="en-US" w:eastAsia="zh-CN"/>
              </w:rPr>
            </w:pPr>
            <w:r>
              <w:rPr>
                <w:rFonts w:hint="eastAsia" w:ascii="Times New Roman" w:hAnsi="Times New Roman" w:eastAsia="宋体"/>
                <w:b w:val="0"/>
                <w:bCs/>
                <w:sz w:val="13"/>
                <w:szCs w:val="21"/>
                <w:lang w:val="en-US" w:eastAsia="zh-CN"/>
              </w:rPr>
              <w:t>CVPR2020</w:t>
            </w:r>
          </w:p>
        </w:tc>
        <w:tc>
          <w:tcPr>
            <w:tcW w:w="680" w:type="dxa"/>
            <w:tcBorders>
              <w:top w:val="nil"/>
            </w:tcBorders>
            <w:shd w:val="clear" w:color="auto" w:fill="auto"/>
            <w:vAlign w:val="top"/>
          </w:tcPr>
          <w:p w14:paraId="5B3373C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b w:val="0"/>
                <w:bCs/>
                <w:sz w:val="13"/>
                <w:szCs w:val="21"/>
                <w:lang w:val="en-US" w:eastAsia="zh-CN"/>
              </w:rPr>
            </w:pPr>
            <w:r>
              <w:rPr>
                <w:rFonts w:hint="eastAsia" w:ascii="Times New Roman" w:hAnsi="Times New Roman" w:eastAsia="宋体"/>
                <w:b w:val="0"/>
                <w:bCs/>
                <w:sz w:val="13"/>
                <w:szCs w:val="21"/>
                <w:lang w:val="en-US" w:eastAsia="zh-CN"/>
              </w:rPr>
              <w:t>H-104</w:t>
            </w:r>
          </w:p>
        </w:tc>
        <w:tc>
          <w:tcPr>
            <w:tcW w:w="369" w:type="dxa"/>
            <w:tcBorders>
              <w:top w:val="nil"/>
            </w:tcBorders>
            <w:shd w:val="clear" w:color="auto" w:fill="auto"/>
            <w:vAlign w:val="top"/>
          </w:tcPr>
          <w:p w14:paraId="7BF0168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b w:val="0"/>
                <w:bCs/>
                <w:sz w:val="13"/>
                <w:szCs w:val="21"/>
                <w:lang w:val="en-US" w:eastAsia="zh-CN"/>
              </w:rPr>
            </w:pPr>
            <w:r>
              <w:rPr>
                <w:rFonts w:hint="eastAsia" w:ascii="Times New Roman" w:hAnsi="Times New Roman" w:eastAsia="宋体"/>
                <w:b w:val="0"/>
                <w:bCs/>
                <w:sz w:val="13"/>
                <w:szCs w:val="21"/>
                <w:lang w:val="en-US" w:eastAsia="zh-CN"/>
              </w:rPr>
              <w:t>88.91</w:t>
            </w:r>
          </w:p>
        </w:tc>
        <w:tc>
          <w:tcPr>
            <w:tcW w:w="369" w:type="dxa"/>
            <w:tcBorders>
              <w:top w:val="nil"/>
            </w:tcBorders>
            <w:shd w:val="clear" w:color="auto" w:fill="auto"/>
            <w:vAlign w:val="top"/>
          </w:tcPr>
          <w:p w14:paraId="5A4E44A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b w:val="0"/>
                <w:bCs/>
                <w:sz w:val="13"/>
                <w:szCs w:val="21"/>
                <w:lang w:val="en-US" w:eastAsia="zh-CN"/>
              </w:rPr>
            </w:pPr>
            <w:r>
              <w:rPr>
                <w:rFonts w:hint="eastAsia" w:ascii="Times New Roman" w:hAnsi="Times New Roman" w:eastAsia="宋体"/>
                <w:b w:val="0"/>
                <w:bCs/>
                <w:sz w:val="13"/>
                <w:szCs w:val="21"/>
                <w:lang w:val="en-US" w:eastAsia="zh-CN"/>
              </w:rPr>
              <w:t>80.22</w:t>
            </w:r>
          </w:p>
        </w:tc>
        <w:tc>
          <w:tcPr>
            <w:tcW w:w="369" w:type="dxa"/>
            <w:tcBorders>
              <w:top w:val="nil"/>
            </w:tcBorders>
            <w:shd w:val="clear" w:color="auto" w:fill="auto"/>
            <w:vAlign w:val="top"/>
          </w:tcPr>
          <w:p w14:paraId="1F053EFB">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b w:val="0"/>
                <w:bCs/>
                <w:sz w:val="13"/>
                <w:szCs w:val="21"/>
                <w:lang w:val="en-US" w:eastAsia="zh-CN"/>
              </w:rPr>
            </w:pPr>
            <w:r>
              <w:rPr>
                <w:rFonts w:hint="eastAsia" w:ascii="Times New Roman" w:hAnsi="Times New Roman" w:eastAsia="宋体"/>
                <w:b w:val="0"/>
                <w:bCs/>
                <w:sz w:val="13"/>
                <w:szCs w:val="21"/>
                <w:lang w:val="en-US" w:eastAsia="zh-CN"/>
              </w:rPr>
              <w:t>43.52</w:t>
            </w:r>
          </w:p>
        </w:tc>
        <w:tc>
          <w:tcPr>
            <w:tcW w:w="369" w:type="dxa"/>
            <w:tcBorders>
              <w:top w:val="nil"/>
            </w:tcBorders>
            <w:shd w:val="clear" w:color="auto" w:fill="auto"/>
            <w:vAlign w:val="top"/>
          </w:tcPr>
          <w:p w14:paraId="15422A12">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b w:val="0"/>
                <w:bCs/>
                <w:sz w:val="13"/>
                <w:szCs w:val="21"/>
                <w:lang w:val="en-US" w:eastAsia="zh-CN"/>
              </w:rPr>
            </w:pPr>
            <w:r>
              <w:rPr>
                <w:rFonts w:hint="eastAsia" w:ascii="Times New Roman" w:hAnsi="Times New Roman" w:eastAsia="宋体"/>
                <w:b w:val="0"/>
                <w:bCs/>
                <w:sz w:val="13"/>
                <w:szCs w:val="21"/>
                <w:lang w:val="en-US" w:eastAsia="zh-CN"/>
              </w:rPr>
              <w:t>63.35</w:t>
            </w:r>
          </w:p>
        </w:tc>
        <w:tc>
          <w:tcPr>
            <w:tcW w:w="369" w:type="dxa"/>
            <w:tcBorders>
              <w:top w:val="nil"/>
            </w:tcBorders>
            <w:shd w:val="clear" w:color="auto" w:fill="auto"/>
            <w:vAlign w:val="top"/>
          </w:tcPr>
          <w:p w14:paraId="77B236D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b w:val="0"/>
                <w:bCs/>
                <w:sz w:val="13"/>
                <w:szCs w:val="21"/>
                <w:lang w:val="en-US" w:eastAsia="zh-CN"/>
              </w:rPr>
            </w:pPr>
            <w:r>
              <w:rPr>
                <w:rFonts w:hint="eastAsia" w:ascii="Times New Roman" w:hAnsi="Times New Roman" w:eastAsia="宋体"/>
                <w:b w:val="0"/>
                <w:bCs/>
                <w:sz w:val="13"/>
                <w:szCs w:val="21"/>
                <w:lang w:val="en-US" w:eastAsia="zh-CN"/>
              </w:rPr>
              <w:t>73.48</w:t>
            </w:r>
          </w:p>
        </w:tc>
        <w:tc>
          <w:tcPr>
            <w:tcW w:w="369" w:type="dxa"/>
            <w:tcBorders>
              <w:top w:val="nil"/>
            </w:tcBorders>
            <w:shd w:val="clear" w:color="auto" w:fill="auto"/>
            <w:vAlign w:val="top"/>
          </w:tcPr>
          <w:p w14:paraId="1BFC3EA4">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b w:val="0"/>
                <w:bCs/>
                <w:sz w:val="13"/>
                <w:szCs w:val="21"/>
                <w:lang w:val="en-US" w:eastAsia="zh-CN"/>
              </w:rPr>
            </w:pPr>
            <w:r>
              <w:rPr>
                <w:rFonts w:hint="eastAsia" w:ascii="Times New Roman" w:hAnsi="Times New Roman" w:eastAsia="宋体"/>
                <w:b w:val="0"/>
                <w:bCs/>
                <w:sz w:val="13"/>
                <w:szCs w:val="21"/>
                <w:lang w:val="en-US" w:eastAsia="zh-CN"/>
              </w:rPr>
              <w:t>70.69</w:t>
            </w:r>
          </w:p>
        </w:tc>
        <w:tc>
          <w:tcPr>
            <w:tcW w:w="369" w:type="dxa"/>
            <w:tcBorders>
              <w:top w:val="nil"/>
            </w:tcBorders>
            <w:shd w:val="clear" w:color="auto" w:fill="auto"/>
            <w:vAlign w:val="top"/>
          </w:tcPr>
          <w:p w14:paraId="64F0844B">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b w:val="0"/>
                <w:bCs/>
                <w:sz w:val="13"/>
                <w:szCs w:val="21"/>
                <w:lang w:val="en-US" w:eastAsia="zh-CN"/>
              </w:rPr>
            </w:pPr>
            <w:r>
              <w:rPr>
                <w:rFonts w:hint="eastAsia" w:ascii="Times New Roman" w:hAnsi="Times New Roman" w:eastAsia="宋体"/>
                <w:b w:val="0"/>
                <w:bCs/>
                <w:sz w:val="13"/>
                <w:szCs w:val="21"/>
                <w:lang w:val="en-US" w:eastAsia="zh-CN"/>
              </w:rPr>
              <w:t>84.94</w:t>
            </w:r>
          </w:p>
        </w:tc>
        <w:tc>
          <w:tcPr>
            <w:tcW w:w="369" w:type="dxa"/>
            <w:tcBorders>
              <w:top w:val="nil"/>
            </w:tcBorders>
            <w:shd w:val="clear" w:color="auto" w:fill="auto"/>
            <w:vAlign w:val="top"/>
          </w:tcPr>
          <w:p w14:paraId="739BDD1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b w:val="0"/>
                <w:bCs/>
                <w:sz w:val="13"/>
                <w:szCs w:val="21"/>
                <w:lang w:val="en-US" w:eastAsia="zh-CN"/>
              </w:rPr>
            </w:pPr>
            <w:r>
              <w:rPr>
                <w:rFonts w:hint="eastAsia" w:ascii="Times New Roman" w:hAnsi="Times New Roman" w:eastAsia="宋体"/>
                <w:b w:val="0"/>
                <w:bCs/>
                <w:sz w:val="13"/>
                <w:szCs w:val="21"/>
                <w:lang w:val="en-US" w:eastAsia="zh-CN"/>
              </w:rPr>
              <w:t>90.14</w:t>
            </w:r>
          </w:p>
        </w:tc>
        <w:tc>
          <w:tcPr>
            <w:tcW w:w="369" w:type="dxa"/>
            <w:tcBorders>
              <w:top w:val="nil"/>
            </w:tcBorders>
            <w:shd w:val="clear" w:color="auto" w:fill="auto"/>
            <w:vAlign w:val="top"/>
          </w:tcPr>
          <w:p w14:paraId="12F313F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b w:val="0"/>
                <w:bCs/>
                <w:sz w:val="13"/>
                <w:szCs w:val="21"/>
                <w:lang w:val="en-US" w:eastAsia="zh-CN"/>
              </w:rPr>
            </w:pPr>
            <w:r>
              <w:rPr>
                <w:rFonts w:hint="eastAsia" w:ascii="Times New Roman" w:hAnsi="Times New Roman" w:eastAsia="宋体"/>
                <w:b w:val="0"/>
                <w:bCs/>
                <w:sz w:val="13"/>
                <w:szCs w:val="21"/>
                <w:lang w:val="en-US" w:eastAsia="zh-CN"/>
              </w:rPr>
              <w:t>83.85</w:t>
            </w:r>
          </w:p>
        </w:tc>
        <w:tc>
          <w:tcPr>
            <w:tcW w:w="369" w:type="dxa"/>
            <w:tcBorders>
              <w:top w:val="nil"/>
            </w:tcBorders>
            <w:shd w:val="clear" w:color="auto" w:fill="auto"/>
            <w:vAlign w:val="top"/>
          </w:tcPr>
          <w:p w14:paraId="5328B8EE">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b w:val="0"/>
                <w:bCs/>
                <w:sz w:val="13"/>
                <w:szCs w:val="21"/>
                <w:lang w:val="en-US" w:eastAsia="zh-CN"/>
              </w:rPr>
            </w:pPr>
            <w:r>
              <w:rPr>
                <w:rFonts w:hint="eastAsia" w:ascii="Times New Roman" w:hAnsi="Times New Roman" w:eastAsia="宋体"/>
                <w:b w:val="0"/>
                <w:bCs/>
                <w:sz w:val="13"/>
                <w:szCs w:val="21"/>
                <w:lang w:val="en-US" w:eastAsia="zh-CN"/>
              </w:rPr>
              <w:t>84.11</w:t>
            </w:r>
          </w:p>
        </w:tc>
        <w:tc>
          <w:tcPr>
            <w:tcW w:w="369" w:type="dxa"/>
            <w:tcBorders>
              <w:top w:val="nil"/>
            </w:tcBorders>
            <w:shd w:val="clear" w:color="auto" w:fill="auto"/>
            <w:vAlign w:val="top"/>
          </w:tcPr>
          <w:p w14:paraId="7F43994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b w:val="0"/>
                <w:bCs/>
                <w:sz w:val="13"/>
                <w:szCs w:val="21"/>
                <w:lang w:val="en-US" w:eastAsia="zh-CN"/>
              </w:rPr>
            </w:pPr>
            <w:r>
              <w:rPr>
                <w:rFonts w:hint="eastAsia" w:ascii="Times New Roman" w:hAnsi="Times New Roman" w:eastAsia="宋体"/>
                <w:b w:val="0"/>
                <w:bCs/>
                <w:sz w:val="13"/>
                <w:szCs w:val="21"/>
                <w:lang w:val="en-US" w:eastAsia="zh-CN"/>
              </w:rPr>
              <w:t>50.12</w:t>
            </w:r>
          </w:p>
        </w:tc>
        <w:tc>
          <w:tcPr>
            <w:tcW w:w="369" w:type="dxa"/>
            <w:tcBorders>
              <w:top w:val="nil"/>
            </w:tcBorders>
            <w:shd w:val="clear" w:color="auto" w:fill="auto"/>
            <w:vAlign w:val="top"/>
          </w:tcPr>
          <w:p w14:paraId="6137D5A1">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b w:val="0"/>
                <w:bCs/>
                <w:sz w:val="13"/>
                <w:szCs w:val="21"/>
                <w:lang w:val="en-US" w:eastAsia="zh-CN"/>
              </w:rPr>
            </w:pPr>
            <w:r>
              <w:rPr>
                <w:rFonts w:hint="eastAsia" w:ascii="Times New Roman" w:hAnsi="Times New Roman" w:eastAsia="宋体"/>
                <w:b w:val="0"/>
                <w:bCs/>
                <w:sz w:val="13"/>
                <w:szCs w:val="21"/>
                <w:lang w:val="en-US" w:eastAsia="zh-CN"/>
              </w:rPr>
              <w:t>58.41</w:t>
            </w:r>
          </w:p>
        </w:tc>
        <w:tc>
          <w:tcPr>
            <w:tcW w:w="369" w:type="dxa"/>
            <w:tcBorders>
              <w:top w:val="nil"/>
            </w:tcBorders>
            <w:shd w:val="clear" w:color="auto" w:fill="auto"/>
            <w:vAlign w:val="top"/>
          </w:tcPr>
          <w:p w14:paraId="26F7115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b w:val="0"/>
                <w:bCs/>
                <w:sz w:val="13"/>
                <w:szCs w:val="21"/>
                <w:lang w:val="en-US" w:eastAsia="zh-CN"/>
              </w:rPr>
            </w:pPr>
            <w:r>
              <w:rPr>
                <w:rFonts w:hint="eastAsia" w:ascii="Times New Roman" w:hAnsi="Times New Roman" w:eastAsia="宋体"/>
                <w:b w:val="0"/>
                <w:bCs/>
                <w:sz w:val="13"/>
                <w:szCs w:val="21"/>
                <w:lang w:val="en-US" w:eastAsia="zh-CN"/>
              </w:rPr>
              <w:t>67.62</w:t>
            </w:r>
          </w:p>
        </w:tc>
        <w:tc>
          <w:tcPr>
            <w:tcW w:w="369" w:type="dxa"/>
            <w:tcBorders>
              <w:top w:val="nil"/>
            </w:tcBorders>
            <w:shd w:val="clear" w:color="auto" w:fill="auto"/>
            <w:vAlign w:val="top"/>
          </w:tcPr>
          <w:p w14:paraId="493C1C8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b w:val="0"/>
                <w:bCs/>
                <w:sz w:val="13"/>
                <w:szCs w:val="21"/>
                <w:lang w:val="en-US" w:eastAsia="zh-CN"/>
              </w:rPr>
            </w:pPr>
            <w:r>
              <w:rPr>
                <w:rFonts w:hint="eastAsia" w:ascii="Times New Roman" w:hAnsi="Times New Roman" w:eastAsia="宋体"/>
                <w:b w:val="0"/>
                <w:bCs/>
                <w:sz w:val="13"/>
                <w:szCs w:val="21"/>
                <w:lang w:val="en-US" w:eastAsia="zh-CN"/>
              </w:rPr>
              <w:t>68.60</w:t>
            </w:r>
          </w:p>
        </w:tc>
        <w:tc>
          <w:tcPr>
            <w:tcW w:w="369" w:type="dxa"/>
            <w:tcBorders>
              <w:top w:val="nil"/>
            </w:tcBorders>
            <w:shd w:val="clear" w:color="auto" w:fill="auto"/>
            <w:vAlign w:val="top"/>
          </w:tcPr>
          <w:p w14:paraId="709CD4B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b w:val="0"/>
                <w:bCs/>
                <w:sz w:val="13"/>
                <w:szCs w:val="21"/>
                <w:lang w:val="en-US" w:eastAsia="zh-CN"/>
              </w:rPr>
            </w:pPr>
            <w:r>
              <w:rPr>
                <w:rFonts w:hint="eastAsia" w:ascii="Times New Roman" w:hAnsi="Times New Roman" w:eastAsia="宋体"/>
                <w:b w:val="0"/>
                <w:bCs/>
                <w:sz w:val="13"/>
                <w:szCs w:val="21"/>
                <w:lang w:val="en-US" w:eastAsia="zh-CN"/>
              </w:rPr>
              <w:t>52.50</w:t>
            </w:r>
          </w:p>
        </w:tc>
        <w:tc>
          <w:tcPr>
            <w:tcW w:w="369" w:type="dxa"/>
            <w:tcBorders>
              <w:top w:val="nil"/>
              <w:right w:val="nil"/>
            </w:tcBorders>
            <w:shd w:val="clear" w:color="auto" w:fill="auto"/>
            <w:vAlign w:val="top"/>
          </w:tcPr>
          <w:p w14:paraId="405A5AF2">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b w:val="0"/>
                <w:bCs/>
                <w:sz w:val="13"/>
                <w:szCs w:val="21"/>
                <w:lang w:val="en-US" w:eastAsia="zh-CN"/>
              </w:rPr>
            </w:pPr>
            <w:r>
              <w:rPr>
                <w:rFonts w:hint="eastAsia" w:ascii="Times New Roman" w:hAnsi="Times New Roman" w:eastAsia="宋体"/>
                <w:b w:val="0"/>
                <w:bCs/>
                <w:sz w:val="13"/>
                <w:szCs w:val="21"/>
                <w:lang w:val="en-US" w:eastAsia="zh-CN"/>
              </w:rPr>
              <w:t>70.70</w:t>
            </w:r>
          </w:p>
        </w:tc>
      </w:tr>
      <w:tr w14:paraId="696EE2F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jc w:val="center"/>
        </w:trPr>
        <w:tc>
          <w:tcPr>
            <w:tcW w:w="1191" w:type="dxa"/>
            <w:tcBorders>
              <w:left w:val="nil"/>
            </w:tcBorders>
            <w:vAlign w:val="top"/>
          </w:tcPr>
          <w:p w14:paraId="23732DD0">
            <w:pPr>
              <w:keepNext w:val="0"/>
              <w:keepLines w:val="0"/>
              <w:pageBreakBefore w:val="0"/>
              <w:widowControl/>
              <w:kinsoku/>
              <w:wordWrap/>
              <w:overflowPunct/>
              <w:topLinePunct w:val="0"/>
              <w:autoSpaceDE/>
              <w:autoSpaceDN/>
              <w:bidi w:val="0"/>
              <w:adjustRightInd/>
              <w:snapToGrid/>
              <w:spacing w:after="0" w:line="240" w:lineRule="auto"/>
              <w:ind w:firstLine="0"/>
              <w:jc w:val="left"/>
              <w:textAlignment w:val="auto"/>
              <w:rPr>
                <w:rFonts w:ascii="Times New Roman" w:hAnsi="Times New Roman" w:eastAsia="宋体"/>
                <w:sz w:val="21"/>
                <w:szCs w:val="21"/>
              </w:rPr>
            </w:pPr>
            <w:r>
              <w:rPr>
                <w:rFonts w:ascii="Times New Roman" w:hAnsi="Times New Roman" w:eastAsia="宋体"/>
                <w:sz w:val="13"/>
                <w:szCs w:val="21"/>
              </w:rPr>
              <w:t>R3Det</w:t>
            </w:r>
          </w:p>
        </w:tc>
        <w:tc>
          <w:tcPr>
            <w:tcW w:w="709" w:type="dxa"/>
            <w:vAlign w:val="top"/>
          </w:tcPr>
          <w:p w14:paraId="6C64954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AAAI</w:t>
            </w:r>
            <w:r>
              <w:rPr>
                <w:rFonts w:hint="eastAsia" w:ascii="Times New Roman" w:hAnsi="Times New Roman" w:eastAsia="宋体"/>
                <w:sz w:val="13"/>
                <w:szCs w:val="21"/>
                <w:lang w:val="en-US" w:eastAsia="zh-CN"/>
              </w:rPr>
              <w:t>20</w:t>
            </w:r>
            <w:r>
              <w:rPr>
                <w:rFonts w:ascii="Times New Roman" w:hAnsi="Times New Roman" w:eastAsia="宋体"/>
                <w:sz w:val="13"/>
                <w:szCs w:val="21"/>
              </w:rPr>
              <w:t>21</w:t>
            </w:r>
          </w:p>
        </w:tc>
        <w:tc>
          <w:tcPr>
            <w:tcW w:w="680" w:type="dxa"/>
            <w:vAlign w:val="top"/>
          </w:tcPr>
          <w:p w14:paraId="675DF67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R101-FPN</w:t>
            </w:r>
          </w:p>
        </w:tc>
        <w:tc>
          <w:tcPr>
            <w:tcW w:w="369" w:type="dxa"/>
            <w:vAlign w:val="top"/>
          </w:tcPr>
          <w:p w14:paraId="3E83875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88.76</w:t>
            </w:r>
          </w:p>
        </w:tc>
        <w:tc>
          <w:tcPr>
            <w:tcW w:w="369" w:type="dxa"/>
            <w:vAlign w:val="top"/>
          </w:tcPr>
          <w:p w14:paraId="0A64272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83.09</w:t>
            </w:r>
          </w:p>
        </w:tc>
        <w:tc>
          <w:tcPr>
            <w:tcW w:w="369" w:type="dxa"/>
            <w:vAlign w:val="top"/>
          </w:tcPr>
          <w:p w14:paraId="6A28187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50.91</w:t>
            </w:r>
          </w:p>
        </w:tc>
        <w:tc>
          <w:tcPr>
            <w:tcW w:w="369" w:type="dxa"/>
            <w:vAlign w:val="top"/>
          </w:tcPr>
          <w:p w14:paraId="60E37DA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67.27</w:t>
            </w:r>
          </w:p>
        </w:tc>
        <w:tc>
          <w:tcPr>
            <w:tcW w:w="369" w:type="dxa"/>
            <w:vAlign w:val="top"/>
          </w:tcPr>
          <w:p w14:paraId="0B86D6AE">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76.23</w:t>
            </w:r>
          </w:p>
        </w:tc>
        <w:tc>
          <w:tcPr>
            <w:tcW w:w="369" w:type="dxa"/>
            <w:vAlign w:val="top"/>
          </w:tcPr>
          <w:p w14:paraId="45C7A05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80.39</w:t>
            </w:r>
          </w:p>
        </w:tc>
        <w:tc>
          <w:tcPr>
            <w:tcW w:w="369" w:type="dxa"/>
            <w:vAlign w:val="top"/>
          </w:tcPr>
          <w:p w14:paraId="343D71D3">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86.72</w:t>
            </w:r>
          </w:p>
        </w:tc>
        <w:tc>
          <w:tcPr>
            <w:tcW w:w="369" w:type="dxa"/>
            <w:vAlign w:val="top"/>
          </w:tcPr>
          <w:p w14:paraId="038E304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90.78</w:t>
            </w:r>
          </w:p>
        </w:tc>
        <w:tc>
          <w:tcPr>
            <w:tcW w:w="369" w:type="dxa"/>
            <w:vAlign w:val="top"/>
          </w:tcPr>
          <w:p w14:paraId="513D800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84.68</w:t>
            </w:r>
          </w:p>
        </w:tc>
        <w:tc>
          <w:tcPr>
            <w:tcW w:w="369" w:type="dxa"/>
            <w:vAlign w:val="top"/>
          </w:tcPr>
          <w:p w14:paraId="7BAC2B12">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83.24</w:t>
            </w:r>
          </w:p>
        </w:tc>
        <w:tc>
          <w:tcPr>
            <w:tcW w:w="369" w:type="dxa"/>
            <w:vAlign w:val="top"/>
          </w:tcPr>
          <w:p w14:paraId="07F3902D">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61.98</w:t>
            </w:r>
          </w:p>
        </w:tc>
        <w:tc>
          <w:tcPr>
            <w:tcW w:w="369" w:type="dxa"/>
            <w:vAlign w:val="top"/>
          </w:tcPr>
          <w:p w14:paraId="3BBCF5C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61.35</w:t>
            </w:r>
          </w:p>
        </w:tc>
        <w:tc>
          <w:tcPr>
            <w:tcW w:w="369" w:type="dxa"/>
            <w:vAlign w:val="top"/>
          </w:tcPr>
          <w:p w14:paraId="4D017D8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66.91</w:t>
            </w:r>
          </w:p>
        </w:tc>
        <w:tc>
          <w:tcPr>
            <w:tcW w:w="369" w:type="dxa"/>
            <w:vAlign w:val="top"/>
          </w:tcPr>
          <w:p w14:paraId="524F04B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70.63</w:t>
            </w:r>
          </w:p>
        </w:tc>
        <w:tc>
          <w:tcPr>
            <w:tcW w:w="369" w:type="dxa"/>
            <w:vAlign w:val="top"/>
          </w:tcPr>
          <w:p w14:paraId="47D7030B">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53.94</w:t>
            </w:r>
          </w:p>
        </w:tc>
        <w:tc>
          <w:tcPr>
            <w:tcW w:w="369" w:type="dxa"/>
            <w:tcBorders>
              <w:right w:val="nil"/>
            </w:tcBorders>
            <w:vAlign w:val="top"/>
          </w:tcPr>
          <w:p w14:paraId="39E43F4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73.79</w:t>
            </w:r>
          </w:p>
        </w:tc>
      </w:tr>
      <w:tr w14:paraId="272F553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jc w:val="center"/>
        </w:trPr>
        <w:tc>
          <w:tcPr>
            <w:tcW w:w="1191" w:type="dxa"/>
            <w:tcBorders>
              <w:left w:val="nil"/>
            </w:tcBorders>
            <w:vAlign w:val="top"/>
          </w:tcPr>
          <w:p w14:paraId="484B0976">
            <w:pPr>
              <w:keepNext w:val="0"/>
              <w:keepLines w:val="0"/>
              <w:pageBreakBefore w:val="0"/>
              <w:widowControl/>
              <w:kinsoku/>
              <w:wordWrap/>
              <w:overflowPunct/>
              <w:topLinePunct w:val="0"/>
              <w:autoSpaceDE/>
              <w:autoSpaceDN/>
              <w:bidi w:val="0"/>
              <w:adjustRightInd/>
              <w:snapToGrid/>
              <w:spacing w:after="0" w:line="240" w:lineRule="auto"/>
              <w:ind w:firstLine="0"/>
              <w:jc w:val="left"/>
              <w:textAlignment w:val="auto"/>
              <w:rPr>
                <w:rFonts w:ascii="Times New Roman" w:hAnsi="Times New Roman" w:eastAsia="宋体"/>
                <w:sz w:val="21"/>
                <w:szCs w:val="21"/>
              </w:rPr>
            </w:pPr>
            <w:r>
              <w:rPr>
                <w:rFonts w:ascii="Times New Roman" w:hAnsi="Times New Roman" w:eastAsia="宋体"/>
                <w:sz w:val="13"/>
                <w:szCs w:val="21"/>
              </w:rPr>
              <w:t>GWD</w:t>
            </w:r>
          </w:p>
        </w:tc>
        <w:tc>
          <w:tcPr>
            <w:tcW w:w="709" w:type="dxa"/>
            <w:vAlign w:val="top"/>
          </w:tcPr>
          <w:p w14:paraId="347D409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ICML</w:t>
            </w:r>
            <w:r>
              <w:rPr>
                <w:rFonts w:hint="eastAsia" w:ascii="Times New Roman" w:hAnsi="Times New Roman" w:eastAsia="宋体"/>
                <w:sz w:val="13"/>
                <w:szCs w:val="21"/>
                <w:lang w:val="en-US" w:eastAsia="zh-CN"/>
              </w:rPr>
              <w:t>20</w:t>
            </w:r>
            <w:r>
              <w:rPr>
                <w:rFonts w:ascii="Times New Roman" w:hAnsi="Times New Roman" w:eastAsia="宋体"/>
                <w:sz w:val="13"/>
                <w:szCs w:val="21"/>
              </w:rPr>
              <w:t>21</w:t>
            </w:r>
          </w:p>
        </w:tc>
        <w:tc>
          <w:tcPr>
            <w:tcW w:w="680" w:type="dxa"/>
            <w:vAlign w:val="top"/>
          </w:tcPr>
          <w:p w14:paraId="17C698F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R101-FPN</w:t>
            </w:r>
          </w:p>
        </w:tc>
        <w:tc>
          <w:tcPr>
            <w:tcW w:w="369" w:type="dxa"/>
            <w:vAlign w:val="top"/>
          </w:tcPr>
          <w:p w14:paraId="44ABEC0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89.59</w:t>
            </w:r>
          </w:p>
        </w:tc>
        <w:tc>
          <w:tcPr>
            <w:tcW w:w="369" w:type="dxa"/>
            <w:vAlign w:val="top"/>
          </w:tcPr>
          <w:p w14:paraId="4102014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81.18</w:t>
            </w:r>
          </w:p>
        </w:tc>
        <w:tc>
          <w:tcPr>
            <w:tcW w:w="369" w:type="dxa"/>
            <w:vAlign w:val="top"/>
          </w:tcPr>
          <w:p w14:paraId="3E89156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52.89</w:t>
            </w:r>
          </w:p>
        </w:tc>
        <w:tc>
          <w:tcPr>
            <w:tcW w:w="369" w:type="dxa"/>
            <w:vAlign w:val="top"/>
          </w:tcPr>
          <w:p w14:paraId="43DC89A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70.37</w:t>
            </w:r>
          </w:p>
        </w:tc>
        <w:tc>
          <w:tcPr>
            <w:tcW w:w="369" w:type="dxa"/>
            <w:vAlign w:val="top"/>
          </w:tcPr>
          <w:p w14:paraId="0A47021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77.73</w:t>
            </w:r>
          </w:p>
        </w:tc>
        <w:tc>
          <w:tcPr>
            <w:tcW w:w="369" w:type="dxa"/>
            <w:vAlign w:val="top"/>
          </w:tcPr>
          <w:p w14:paraId="44C8A8DD">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82.42</w:t>
            </w:r>
          </w:p>
        </w:tc>
        <w:tc>
          <w:tcPr>
            <w:tcW w:w="369" w:type="dxa"/>
            <w:vAlign w:val="top"/>
          </w:tcPr>
          <w:p w14:paraId="69E981AB">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86.99</w:t>
            </w:r>
          </w:p>
        </w:tc>
        <w:tc>
          <w:tcPr>
            <w:tcW w:w="369" w:type="dxa"/>
            <w:vAlign w:val="top"/>
          </w:tcPr>
          <w:p w14:paraId="354797BB">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89.31</w:t>
            </w:r>
          </w:p>
        </w:tc>
        <w:tc>
          <w:tcPr>
            <w:tcW w:w="369" w:type="dxa"/>
            <w:vAlign w:val="top"/>
          </w:tcPr>
          <w:p w14:paraId="3D327E43">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83.06</w:t>
            </w:r>
          </w:p>
        </w:tc>
        <w:tc>
          <w:tcPr>
            <w:tcW w:w="369" w:type="dxa"/>
            <w:vAlign w:val="top"/>
          </w:tcPr>
          <w:p w14:paraId="685B1A9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85.97</w:t>
            </w:r>
          </w:p>
        </w:tc>
        <w:tc>
          <w:tcPr>
            <w:tcW w:w="369" w:type="dxa"/>
            <w:vAlign w:val="top"/>
          </w:tcPr>
          <w:p w14:paraId="388F5621">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64.07</w:t>
            </w:r>
          </w:p>
        </w:tc>
        <w:tc>
          <w:tcPr>
            <w:tcW w:w="369" w:type="dxa"/>
            <w:vAlign w:val="top"/>
          </w:tcPr>
          <w:p w14:paraId="39217B6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65.14</w:t>
            </w:r>
          </w:p>
        </w:tc>
        <w:tc>
          <w:tcPr>
            <w:tcW w:w="369" w:type="dxa"/>
            <w:vAlign w:val="top"/>
          </w:tcPr>
          <w:p w14:paraId="0979048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68.05</w:t>
            </w:r>
          </w:p>
        </w:tc>
        <w:tc>
          <w:tcPr>
            <w:tcW w:w="369" w:type="dxa"/>
            <w:vAlign w:val="top"/>
          </w:tcPr>
          <w:p w14:paraId="23C1E801">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70.95</w:t>
            </w:r>
          </w:p>
        </w:tc>
        <w:tc>
          <w:tcPr>
            <w:tcW w:w="369" w:type="dxa"/>
            <w:vAlign w:val="top"/>
          </w:tcPr>
          <w:p w14:paraId="697E6E3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58.45</w:t>
            </w:r>
          </w:p>
        </w:tc>
        <w:tc>
          <w:tcPr>
            <w:tcW w:w="369" w:type="dxa"/>
            <w:tcBorders>
              <w:right w:val="nil"/>
            </w:tcBorders>
            <w:vAlign w:val="top"/>
          </w:tcPr>
          <w:p w14:paraId="3452DD11">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74.09</w:t>
            </w:r>
          </w:p>
        </w:tc>
      </w:tr>
      <w:tr w14:paraId="5BDB2C4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jc w:val="center"/>
        </w:trPr>
        <w:tc>
          <w:tcPr>
            <w:tcW w:w="1191" w:type="dxa"/>
            <w:tcBorders>
              <w:left w:val="nil"/>
            </w:tcBorders>
            <w:vAlign w:val="top"/>
          </w:tcPr>
          <w:p w14:paraId="7957D13E">
            <w:pPr>
              <w:keepNext w:val="0"/>
              <w:keepLines w:val="0"/>
              <w:pageBreakBefore w:val="0"/>
              <w:widowControl/>
              <w:kinsoku/>
              <w:wordWrap/>
              <w:overflowPunct/>
              <w:topLinePunct w:val="0"/>
              <w:autoSpaceDE/>
              <w:autoSpaceDN/>
              <w:bidi w:val="0"/>
              <w:adjustRightInd/>
              <w:snapToGrid/>
              <w:spacing w:after="0" w:line="240" w:lineRule="auto"/>
              <w:ind w:firstLine="0"/>
              <w:jc w:val="left"/>
              <w:textAlignment w:val="auto"/>
              <w:rPr>
                <w:rFonts w:ascii="Times New Roman" w:hAnsi="Times New Roman" w:eastAsia="宋体"/>
                <w:sz w:val="21"/>
                <w:szCs w:val="21"/>
              </w:rPr>
            </w:pPr>
            <w:r>
              <w:rPr>
                <w:rFonts w:ascii="Times New Roman" w:hAnsi="Times New Roman" w:eastAsia="宋体"/>
                <w:sz w:val="13"/>
                <w:szCs w:val="21"/>
              </w:rPr>
              <w:t>S2ANet</w:t>
            </w:r>
          </w:p>
        </w:tc>
        <w:tc>
          <w:tcPr>
            <w:tcW w:w="709" w:type="dxa"/>
            <w:vAlign w:val="top"/>
          </w:tcPr>
          <w:p w14:paraId="3C577513">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TGRS</w:t>
            </w:r>
            <w:r>
              <w:rPr>
                <w:rFonts w:hint="eastAsia" w:ascii="Times New Roman" w:hAnsi="Times New Roman" w:eastAsia="宋体"/>
                <w:sz w:val="13"/>
                <w:szCs w:val="21"/>
                <w:lang w:val="en-US" w:eastAsia="zh-CN"/>
              </w:rPr>
              <w:t>20</w:t>
            </w:r>
            <w:r>
              <w:rPr>
                <w:rFonts w:ascii="Times New Roman" w:hAnsi="Times New Roman" w:eastAsia="宋体"/>
                <w:sz w:val="13"/>
                <w:szCs w:val="21"/>
              </w:rPr>
              <w:t>21</w:t>
            </w:r>
          </w:p>
        </w:tc>
        <w:tc>
          <w:tcPr>
            <w:tcW w:w="680" w:type="dxa"/>
            <w:vAlign w:val="top"/>
          </w:tcPr>
          <w:p w14:paraId="2ABFE86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R50-FPN</w:t>
            </w:r>
          </w:p>
        </w:tc>
        <w:tc>
          <w:tcPr>
            <w:tcW w:w="369" w:type="dxa"/>
            <w:vAlign w:val="top"/>
          </w:tcPr>
          <w:p w14:paraId="7251C8C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89.11</w:t>
            </w:r>
          </w:p>
        </w:tc>
        <w:tc>
          <w:tcPr>
            <w:tcW w:w="369" w:type="dxa"/>
            <w:vAlign w:val="top"/>
          </w:tcPr>
          <w:p w14:paraId="4D84DFA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82.84</w:t>
            </w:r>
          </w:p>
        </w:tc>
        <w:tc>
          <w:tcPr>
            <w:tcW w:w="369" w:type="dxa"/>
            <w:vAlign w:val="top"/>
          </w:tcPr>
          <w:p w14:paraId="1ED08B74">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48.37</w:t>
            </w:r>
          </w:p>
        </w:tc>
        <w:tc>
          <w:tcPr>
            <w:tcW w:w="369" w:type="dxa"/>
            <w:vAlign w:val="top"/>
          </w:tcPr>
          <w:p w14:paraId="02A9E52E">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71.11</w:t>
            </w:r>
          </w:p>
        </w:tc>
        <w:tc>
          <w:tcPr>
            <w:tcW w:w="369" w:type="dxa"/>
            <w:vAlign w:val="top"/>
          </w:tcPr>
          <w:p w14:paraId="49A2884D">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78.11</w:t>
            </w:r>
          </w:p>
        </w:tc>
        <w:tc>
          <w:tcPr>
            <w:tcW w:w="369" w:type="dxa"/>
            <w:vAlign w:val="top"/>
          </w:tcPr>
          <w:p w14:paraId="132A65FB">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78.39</w:t>
            </w:r>
          </w:p>
        </w:tc>
        <w:tc>
          <w:tcPr>
            <w:tcW w:w="369" w:type="dxa"/>
            <w:vAlign w:val="top"/>
          </w:tcPr>
          <w:p w14:paraId="058012E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87.25</w:t>
            </w:r>
          </w:p>
        </w:tc>
        <w:tc>
          <w:tcPr>
            <w:tcW w:w="369" w:type="dxa"/>
            <w:vAlign w:val="top"/>
          </w:tcPr>
          <w:p w14:paraId="032B74A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90.83</w:t>
            </w:r>
          </w:p>
        </w:tc>
        <w:tc>
          <w:tcPr>
            <w:tcW w:w="369" w:type="dxa"/>
            <w:vAlign w:val="top"/>
          </w:tcPr>
          <w:p w14:paraId="2A45062B">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84.90</w:t>
            </w:r>
          </w:p>
        </w:tc>
        <w:tc>
          <w:tcPr>
            <w:tcW w:w="369" w:type="dxa"/>
            <w:vAlign w:val="top"/>
          </w:tcPr>
          <w:p w14:paraId="736F796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85.64</w:t>
            </w:r>
          </w:p>
        </w:tc>
        <w:tc>
          <w:tcPr>
            <w:tcW w:w="369" w:type="dxa"/>
            <w:vAlign w:val="top"/>
          </w:tcPr>
          <w:p w14:paraId="70B215A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60.36</w:t>
            </w:r>
          </w:p>
        </w:tc>
        <w:tc>
          <w:tcPr>
            <w:tcW w:w="369" w:type="dxa"/>
            <w:vAlign w:val="top"/>
          </w:tcPr>
          <w:p w14:paraId="1FF8E25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62.60</w:t>
            </w:r>
          </w:p>
        </w:tc>
        <w:tc>
          <w:tcPr>
            <w:tcW w:w="369" w:type="dxa"/>
            <w:vAlign w:val="top"/>
          </w:tcPr>
          <w:p w14:paraId="543CEFCD">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65.26</w:t>
            </w:r>
          </w:p>
        </w:tc>
        <w:tc>
          <w:tcPr>
            <w:tcW w:w="369" w:type="dxa"/>
            <w:vAlign w:val="top"/>
          </w:tcPr>
          <w:p w14:paraId="6EBE49D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69.13</w:t>
            </w:r>
          </w:p>
        </w:tc>
        <w:tc>
          <w:tcPr>
            <w:tcW w:w="369" w:type="dxa"/>
            <w:vAlign w:val="top"/>
          </w:tcPr>
          <w:p w14:paraId="185C85E2">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57.94</w:t>
            </w:r>
          </w:p>
        </w:tc>
        <w:tc>
          <w:tcPr>
            <w:tcW w:w="369" w:type="dxa"/>
            <w:tcBorders>
              <w:right w:val="nil"/>
            </w:tcBorders>
            <w:vAlign w:val="top"/>
          </w:tcPr>
          <w:p w14:paraId="7A30AB7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74.12</w:t>
            </w:r>
          </w:p>
        </w:tc>
      </w:tr>
      <w:tr w14:paraId="4A71AC4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jc w:val="center"/>
        </w:trPr>
        <w:tc>
          <w:tcPr>
            <w:tcW w:w="1191" w:type="dxa"/>
            <w:tcBorders>
              <w:left w:val="nil"/>
            </w:tcBorders>
            <w:vAlign w:val="top"/>
          </w:tcPr>
          <w:p w14:paraId="2B648033">
            <w:pPr>
              <w:keepNext w:val="0"/>
              <w:keepLines w:val="0"/>
              <w:pageBreakBefore w:val="0"/>
              <w:widowControl/>
              <w:kinsoku/>
              <w:wordWrap/>
              <w:overflowPunct/>
              <w:topLinePunct w:val="0"/>
              <w:autoSpaceDE/>
              <w:autoSpaceDN/>
              <w:bidi w:val="0"/>
              <w:adjustRightInd/>
              <w:snapToGrid/>
              <w:spacing w:after="0" w:line="240" w:lineRule="auto"/>
              <w:ind w:firstLine="0"/>
              <w:jc w:val="left"/>
              <w:textAlignment w:val="auto"/>
              <w:rPr>
                <w:rFonts w:ascii="Times New Roman" w:hAnsi="Times New Roman" w:eastAsia="宋体"/>
                <w:sz w:val="13"/>
                <w:szCs w:val="21"/>
              </w:rPr>
            </w:pPr>
            <w:r>
              <w:rPr>
                <w:rFonts w:ascii="Times New Roman" w:hAnsi="Times New Roman" w:eastAsia="宋体"/>
                <w:sz w:val="13"/>
                <w:szCs w:val="21"/>
              </w:rPr>
              <w:t>Oriented Reppoint</w:t>
            </w:r>
          </w:p>
        </w:tc>
        <w:tc>
          <w:tcPr>
            <w:tcW w:w="709" w:type="dxa"/>
            <w:vAlign w:val="top"/>
          </w:tcPr>
          <w:p w14:paraId="2501174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CVPR2022</w:t>
            </w:r>
          </w:p>
        </w:tc>
        <w:tc>
          <w:tcPr>
            <w:tcW w:w="680" w:type="dxa"/>
            <w:vAlign w:val="top"/>
          </w:tcPr>
          <w:p w14:paraId="51C4253B">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R50-FPN</w:t>
            </w:r>
          </w:p>
        </w:tc>
        <w:tc>
          <w:tcPr>
            <w:tcW w:w="369" w:type="dxa"/>
            <w:vAlign w:val="top"/>
          </w:tcPr>
          <w:p w14:paraId="39C50651">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87.78</w:t>
            </w:r>
          </w:p>
        </w:tc>
        <w:tc>
          <w:tcPr>
            <w:tcW w:w="369" w:type="dxa"/>
            <w:vAlign w:val="top"/>
          </w:tcPr>
          <w:p w14:paraId="2E30D504">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77.68</w:t>
            </w:r>
          </w:p>
        </w:tc>
        <w:tc>
          <w:tcPr>
            <w:tcW w:w="369" w:type="dxa"/>
            <w:vAlign w:val="top"/>
          </w:tcPr>
          <w:p w14:paraId="4E13903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49.54</w:t>
            </w:r>
          </w:p>
        </w:tc>
        <w:tc>
          <w:tcPr>
            <w:tcW w:w="369" w:type="dxa"/>
            <w:vAlign w:val="top"/>
          </w:tcPr>
          <w:p w14:paraId="20CD1CC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66.46</w:t>
            </w:r>
          </w:p>
        </w:tc>
        <w:tc>
          <w:tcPr>
            <w:tcW w:w="369" w:type="dxa"/>
            <w:vAlign w:val="top"/>
          </w:tcPr>
          <w:p w14:paraId="67BF14A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78.52</w:t>
            </w:r>
          </w:p>
        </w:tc>
        <w:tc>
          <w:tcPr>
            <w:tcW w:w="369" w:type="dxa"/>
            <w:vAlign w:val="top"/>
          </w:tcPr>
          <w:p w14:paraId="2945D36B">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73.12</w:t>
            </w:r>
          </w:p>
        </w:tc>
        <w:tc>
          <w:tcPr>
            <w:tcW w:w="369" w:type="dxa"/>
            <w:vAlign w:val="top"/>
          </w:tcPr>
          <w:p w14:paraId="7D968DB4">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86.59</w:t>
            </w:r>
          </w:p>
        </w:tc>
        <w:tc>
          <w:tcPr>
            <w:tcW w:w="369" w:type="dxa"/>
            <w:vAlign w:val="top"/>
          </w:tcPr>
          <w:p w14:paraId="2504D49E">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90.87</w:t>
            </w:r>
          </w:p>
        </w:tc>
        <w:tc>
          <w:tcPr>
            <w:tcW w:w="369" w:type="dxa"/>
            <w:vAlign w:val="top"/>
          </w:tcPr>
          <w:p w14:paraId="75273C0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83.75</w:t>
            </w:r>
          </w:p>
        </w:tc>
        <w:tc>
          <w:tcPr>
            <w:tcW w:w="369" w:type="dxa"/>
            <w:vAlign w:val="top"/>
          </w:tcPr>
          <w:p w14:paraId="2B63754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84.35</w:t>
            </w:r>
          </w:p>
        </w:tc>
        <w:tc>
          <w:tcPr>
            <w:tcW w:w="369" w:type="dxa"/>
            <w:vAlign w:val="top"/>
          </w:tcPr>
          <w:p w14:paraId="108612ED">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53.14</w:t>
            </w:r>
          </w:p>
        </w:tc>
        <w:tc>
          <w:tcPr>
            <w:tcW w:w="369" w:type="dxa"/>
            <w:vAlign w:val="top"/>
          </w:tcPr>
          <w:p w14:paraId="5F6CF1C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65.63</w:t>
            </w:r>
          </w:p>
        </w:tc>
        <w:tc>
          <w:tcPr>
            <w:tcW w:w="369" w:type="dxa"/>
            <w:vAlign w:val="top"/>
          </w:tcPr>
          <w:p w14:paraId="265091C1">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63.70</w:t>
            </w:r>
          </w:p>
        </w:tc>
        <w:tc>
          <w:tcPr>
            <w:tcW w:w="369" w:type="dxa"/>
            <w:vAlign w:val="top"/>
          </w:tcPr>
          <w:p w14:paraId="46B2043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68.71</w:t>
            </w:r>
          </w:p>
        </w:tc>
        <w:tc>
          <w:tcPr>
            <w:tcW w:w="369" w:type="dxa"/>
            <w:vAlign w:val="top"/>
          </w:tcPr>
          <w:p w14:paraId="553A03D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45.91</w:t>
            </w:r>
          </w:p>
        </w:tc>
        <w:tc>
          <w:tcPr>
            <w:tcW w:w="369" w:type="dxa"/>
            <w:tcBorders>
              <w:right w:val="nil"/>
            </w:tcBorders>
            <w:vAlign w:val="top"/>
          </w:tcPr>
          <w:p w14:paraId="0C06B30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71.72</w:t>
            </w:r>
          </w:p>
        </w:tc>
      </w:tr>
      <w:tr w14:paraId="4FFAE29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jc w:val="center"/>
        </w:trPr>
        <w:tc>
          <w:tcPr>
            <w:tcW w:w="1191" w:type="dxa"/>
            <w:tcBorders>
              <w:left w:val="nil"/>
            </w:tcBorders>
            <w:vAlign w:val="top"/>
          </w:tcPr>
          <w:p w14:paraId="48FF2C8A">
            <w:pPr>
              <w:keepNext w:val="0"/>
              <w:keepLines w:val="0"/>
              <w:pageBreakBefore w:val="0"/>
              <w:widowControl/>
              <w:kinsoku/>
              <w:wordWrap/>
              <w:overflowPunct/>
              <w:topLinePunct w:val="0"/>
              <w:autoSpaceDE/>
              <w:autoSpaceDN/>
              <w:bidi w:val="0"/>
              <w:adjustRightInd/>
              <w:snapToGrid/>
              <w:spacing w:after="0" w:line="240" w:lineRule="auto"/>
              <w:ind w:firstLine="0"/>
              <w:jc w:val="left"/>
              <w:textAlignment w:val="auto"/>
              <w:rPr>
                <w:rFonts w:hint="eastAsia" w:ascii="Times New Roman" w:hAnsi="Times New Roman" w:eastAsia="宋体"/>
                <w:sz w:val="21"/>
                <w:szCs w:val="21"/>
                <w:lang w:eastAsia="zh-CN"/>
              </w:rPr>
            </w:pPr>
            <w:r>
              <w:rPr>
                <w:rFonts w:hint="eastAsia" w:ascii="Times New Roman" w:hAnsi="Times New Roman" w:eastAsia="宋体"/>
                <w:sz w:val="13"/>
                <w:szCs w:val="21"/>
                <w:lang w:val="en-US" w:eastAsia="zh-CN"/>
              </w:rPr>
              <w:t>SASM</w:t>
            </w:r>
          </w:p>
        </w:tc>
        <w:tc>
          <w:tcPr>
            <w:tcW w:w="709" w:type="dxa"/>
            <w:vAlign w:val="top"/>
          </w:tcPr>
          <w:p w14:paraId="51522F5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Times New Roman" w:hAnsi="Times New Roman" w:eastAsia="宋体"/>
                <w:sz w:val="21"/>
                <w:szCs w:val="21"/>
                <w:lang w:val="en-US" w:eastAsia="zh-CN"/>
              </w:rPr>
            </w:pPr>
            <w:r>
              <w:rPr>
                <w:rFonts w:hint="eastAsia" w:ascii="Times New Roman" w:hAnsi="Times New Roman" w:eastAsia="宋体"/>
                <w:sz w:val="13"/>
                <w:szCs w:val="21"/>
                <w:lang w:val="en-US" w:eastAsia="zh-CN"/>
              </w:rPr>
              <w:t>AAAI20</w:t>
            </w:r>
            <w:r>
              <w:rPr>
                <w:rFonts w:ascii="Times New Roman" w:hAnsi="Times New Roman" w:eastAsia="宋体"/>
                <w:sz w:val="13"/>
                <w:szCs w:val="21"/>
              </w:rPr>
              <w:t>2</w:t>
            </w:r>
            <w:r>
              <w:rPr>
                <w:rFonts w:hint="eastAsia" w:ascii="Times New Roman" w:hAnsi="Times New Roman" w:eastAsia="宋体"/>
                <w:sz w:val="13"/>
                <w:szCs w:val="21"/>
                <w:lang w:val="en-US" w:eastAsia="zh-CN"/>
              </w:rPr>
              <w:t>2</w:t>
            </w:r>
          </w:p>
        </w:tc>
        <w:tc>
          <w:tcPr>
            <w:tcW w:w="680" w:type="dxa"/>
            <w:vAlign w:val="top"/>
          </w:tcPr>
          <w:p w14:paraId="0EEA0BF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21"/>
                <w:szCs w:val="21"/>
                <w:lang w:val="en-US" w:eastAsia="zh-CN"/>
              </w:rPr>
            </w:pPr>
            <w:r>
              <w:rPr>
                <w:rFonts w:ascii="Times New Roman" w:hAnsi="Times New Roman" w:eastAsia="宋体"/>
                <w:sz w:val="13"/>
                <w:szCs w:val="21"/>
              </w:rPr>
              <w:t>R50</w:t>
            </w:r>
            <w:r>
              <w:rPr>
                <w:rFonts w:hint="eastAsia" w:ascii="Times New Roman" w:hAnsi="Times New Roman" w:eastAsia="宋体"/>
                <w:sz w:val="13"/>
                <w:szCs w:val="21"/>
                <w:lang w:val="en-US" w:eastAsia="zh-CN"/>
              </w:rPr>
              <w:t>-FPN</w:t>
            </w:r>
          </w:p>
        </w:tc>
        <w:tc>
          <w:tcPr>
            <w:tcW w:w="369" w:type="dxa"/>
            <w:vAlign w:val="top"/>
          </w:tcPr>
          <w:p w14:paraId="3082D4EE">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87.44</w:t>
            </w:r>
          </w:p>
        </w:tc>
        <w:tc>
          <w:tcPr>
            <w:tcW w:w="369" w:type="dxa"/>
            <w:vAlign w:val="top"/>
          </w:tcPr>
          <w:p w14:paraId="1358831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71.31</w:t>
            </w:r>
          </w:p>
        </w:tc>
        <w:tc>
          <w:tcPr>
            <w:tcW w:w="369" w:type="dxa"/>
            <w:vAlign w:val="top"/>
          </w:tcPr>
          <w:p w14:paraId="7A9B3A0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48.46</w:t>
            </w:r>
          </w:p>
        </w:tc>
        <w:tc>
          <w:tcPr>
            <w:tcW w:w="369" w:type="dxa"/>
            <w:vAlign w:val="top"/>
          </w:tcPr>
          <w:p w14:paraId="04C5791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68.07</w:t>
            </w:r>
          </w:p>
        </w:tc>
        <w:tc>
          <w:tcPr>
            <w:tcW w:w="369" w:type="dxa"/>
            <w:vAlign w:val="top"/>
          </w:tcPr>
          <w:p w14:paraId="769AA9B1">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73.93</w:t>
            </w:r>
          </w:p>
        </w:tc>
        <w:tc>
          <w:tcPr>
            <w:tcW w:w="369" w:type="dxa"/>
            <w:vAlign w:val="top"/>
          </w:tcPr>
          <w:p w14:paraId="63CD440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74.24</w:t>
            </w:r>
          </w:p>
        </w:tc>
        <w:tc>
          <w:tcPr>
            <w:tcW w:w="369" w:type="dxa"/>
            <w:vAlign w:val="top"/>
          </w:tcPr>
          <w:p w14:paraId="14A6F2A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Times New Roman" w:hAnsi="Times New Roman" w:eastAsia="宋体"/>
                <w:sz w:val="13"/>
                <w:szCs w:val="21"/>
                <w:lang w:val="en-US" w:eastAsia="zh-CN"/>
              </w:rPr>
            </w:pPr>
            <w:r>
              <w:rPr>
                <w:rFonts w:hint="eastAsia" w:ascii="Times New Roman" w:hAnsi="Times New Roman" w:eastAsia="宋体"/>
                <w:sz w:val="13"/>
                <w:szCs w:val="21"/>
                <w:lang w:val="en-US" w:eastAsia="zh-CN"/>
              </w:rPr>
              <w:t>83.55</w:t>
            </w:r>
          </w:p>
        </w:tc>
        <w:tc>
          <w:tcPr>
            <w:tcW w:w="369" w:type="dxa"/>
            <w:vAlign w:val="top"/>
          </w:tcPr>
          <w:p w14:paraId="2D95398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90.91</w:t>
            </w:r>
          </w:p>
        </w:tc>
        <w:tc>
          <w:tcPr>
            <w:tcW w:w="369" w:type="dxa"/>
            <w:vAlign w:val="top"/>
          </w:tcPr>
          <w:p w14:paraId="29B3703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80.36</w:t>
            </w:r>
          </w:p>
        </w:tc>
        <w:tc>
          <w:tcPr>
            <w:tcW w:w="369" w:type="dxa"/>
            <w:vAlign w:val="top"/>
          </w:tcPr>
          <w:p w14:paraId="2E52E7F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84.59</w:t>
            </w:r>
          </w:p>
        </w:tc>
        <w:tc>
          <w:tcPr>
            <w:tcW w:w="369" w:type="dxa"/>
            <w:vAlign w:val="top"/>
          </w:tcPr>
          <w:p w14:paraId="6F723E71">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57.98</w:t>
            </w:r>
          </w:p>
        </w:tc>
        <w:tc>
          <w:tcPr>
            <w:tcW w:w="369" w:type="dxa"/>
            <w:vAlign w:val="top"/>
          </w:tcPr>
          <w:p w14:paraId="5F52270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62.84</w:t>
            </w:r>
          </w:p>
        </w:tc>
        <w:tc>
          <w:tcPr>
            <w:tcW w:w="369" w:type="dxa"/>
            <w:vAlign w:val="top"/>
          </w:tcPr>
          <w:p w14:paraId="27C3EEF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66.51</w:t>
            </w:r>
          </w:p>
        </w:tc>
        <w:tc>
          <w:tcPr>
            <w:tcW w:w="369" w:type="dxa"/>
            <w:vAlign w:val="top"/>
          </w:tcPr>
          <w:p w14:paraId="148E6672">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63.82</w:t>
            </w:r>
          </w:p>
        </w:tc>
        <w:tc>
          <w:tcPr>
            <w:tcW w:w="369" w:type="dxa"/>
            <w:vAlign w:val="top"/>
          </w:tcPr>
          <w:p w14:paraId="301B0803">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41.17</w:t>
            </w:r>
          </w:p>
        </w:tc>
        <w:tc>
          <w:tcPr>
            <w:tcW w:w="369" w:type="dxa"/>
            <w:tcBorders>
              <w:right w:val="nil"/>
            </w:tcBorders>
            <w:vAlign w:val="top"/>
          </w:tcPr>
          <w:p w14:paraId="4AE3A87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70.35</w:t>
            </w:r>
          </w:p>
        </w:tc>
      </w:tr>
      <w:tr w14:paraId="2149EB0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jc w:val="center"/>
        </w:trPr>
        <w:tc>
          <w:tcPr>
            <w:tcW w:w="1191" w:type="dxa"/>
            <w:tcBorders>
              <w:left w:val="nil"/>
            </w:tcBorders>
            <w:vAlign w:val="top"/>
          </w:tcPr>
          <w:p w14:paraId="1A044BB5">
            <w:pPr>
              <w:keepNext w:val="0"/>
              <w:keepLines w:val="0"/>
              <w:pageBreakBefore w:val="0"/>
              <w:widowControl/>
              <w:kinsoku/>
              <w:wordWrap/>
              <w:overflowPunct/>
              <w:topLinePunct w:val="0"/>
              <w:autoSpaceDE/>
              <w:autoSpaceDN/>
              <w:bidi w:val="0"/>
              <w:adjustRightInd/>
              <w:snapToGrid/>
              <w:spacing w:after="0" w:line="240" w:lineRule="auto"/>
              <w:ind w:firstLine="0"/>
              <w:jc w:val="left"/>
              <w:textAlignment w:val="auto"/>
              <w:rPr>
                <w:rFonts w:hint="eastAsia" w:ascii="Times New Roman" w:hAnsi="Times New Roman" w:eastAsia="宋体"/>
                <w:sz w:val="21"/>
                <w:szCs w:val="21"/>
                <w:lang w:eastAsia="zh-CN"/>
              </w:rPr>
            </w:pPr>
            <w:r>
              <w:rPr>
                <w:rFonts w:hint="eastAsia" w:ascii="Times New Roman" w:hAnsi="Times New Roman" w:eastAsia="宋体"/>
                <w:sz w:val="13"/>
                <w:szCs w:val="21"/>
                <w:lang w:val="en-US" w:eastAsia="zh-CN"/>
              </w:rPr>
              <w:t>KFIOU</w:t>
            </w:r>
          </w:p>
        </w:tc>
        <w:tc>
          <w:tcPr>
            <w:tcW w:w="709" w:type="dxa"/>
            <w:vAlign w:val="top"/>
          </w:tcPr>
          <w:p w14:paraId="10355A7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21"/>
                <w:szCs w:val="21"/>
                <w:lang w:val="en-US" w:eastAsia="zh-CN"/>
              </w:rPr>
            </w:pPr>
            <w:r>
              <w:rPr>
                <w:rFonts w:hint="eastAsia" w:ascii="Times New Roman" w:hAnsi="Times New Roman" w:eastAsia="宋体"/>
                <w:sz w:val="13"/>
                <w:szCs w:val="21"/>
                <w:lang w:val="en-US" w:eastAsia="zh-CN"/>
              </w:rPr>
              <w:t>ICLR2023</w:t>
            </w:r>
          </w:p>
        </w:tc>
        <w:tc>
          <w:tcPr>
            <w:tcW w:w="680" w:type="dxa"/>
            <w:vAlign w:val="top"/>
          </w:tcPr>
          <w:p w14:paraId="481E34E4">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21"/>
                <w:szCs w:val="21"/>
                <w:lang w:val="en-US" w:eastAsia="zh-CN"/>
              </w:rPr>
            </w:pPr>
            <w:r>
              <w:rPr>
                <w:rFonts w:ascii="Times New Roman" w:hAnsi="Times New Roman" w:eastAsia="宋体"/>
                <w:sz w:val="13"/>
                <w:szCs w:val="21"/>
              </w:rPr>
              <w:t>R50</w:t>
            </w:r>
            <w:r>
              <w:rPr>
                <w:rFonts w:hint="eastAsia" w:ascii="Times New Roman" w:hAnsi="Times New Roman" w:eastAsia="宋体"/>
                <w:sz w:val="13"/>
                <w:szCs w:val="21"/>
                <w:lang w:val="en-US" w:eastAsia="zh-CN"/>
              </w:rPr>
              <w:t>-FPN</w:t>
            </w:r>
          </w:p>
        </w:tc>
        <w:tc>
          <w:tcPr>
            <w:tcW w:w="369" w:type="dxa"/>
            <w:vAlign w:val="top"/>
          </w:tcPr>
          <w:p w14:paraId="7138EB2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88.83</w:t>
            </w:r>
          </w:p>
        </w:tc>
        <w:tc>
          <w:tcPr>
            <w:tcW w:w="369" w:type="dxa"/>
            <w:vAlign w:val="top"/>
          </w:tcPr>
          <w:p w14:paraId="59C0BEF4">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77.51</w:t>
            </w:r>
          </w:p>
        </w:tc>
        <w:tc>
          <w:tcPr>
            <w:tcW w:w="369" w:type="dxa"/>
            <w:vAlign w:val="top"/>
          </w:tcPr>
          <w:p w14:paraId="7DE92E84">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47.79</w:t>
            </w:r>
          </w:p>
        </w:tc>
        <w:tc>
          <w:tcPr>
            <w:tcW w:w="369" w:type="dxa"/>
            <w:vAlign w:val="top"/>
          </w:tcPr>
          <w:p w14:paraId="70CC052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74.28</w:t>
            </w:r>
          </w:p>
        </w:tc>
        <w:tc>
          <w:tcPr>
            <w:tcW w:w="369" w:type="dxa"/>
            <w:vAlign w:val="top"/>
          </w:tcPr>
          <w:p w14:paraId="2F7E263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71.27</w:t>
            </w:r>
          </w:p>
        </w:tc>
        <w:tc>
          <w:tcPr>
            <w:tcW w:w="369" w:type="dxa"/>
            <w:vAlign w:val="top"/>
          </w:tcPr>
          <w:p w14:paraId="68C48E0D">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62.72</w:t>
            </w:r>
          </w:p>
        </w:tc>
        <w:tc>
          <w:tcPr>
            <w:tcW w:w="369" w:type="dxa"/>
            <w:vAlign w:val="top"/>
          </w:tcPr>
          <w:p w14:paraId="1306784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74.75</w:t>
            </w:r>
          </w:p>
        </w:tc>
        <w:tc>
          <w:tcPr>
            <w:tcW w:w="369" w:type="dxa"/>
            <w:vAlign w:val="top"/>
          </w:tcPr>
          <w:p w14:paraId="7DF745B4">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90.72</w:t>
            </w:r>
          </w:p>
        </w:tc>
        <w:tc>
          <w:tcPr>
            <w:tcW w:w="369" w:type="dxa"/>
            <w:vAlign w:val="top"/>
          </w:tcPr>
          <w:p w14:paraId="0C684F4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82.34</w:t>
            </w:r>
          </w:p>
        </w:tc>
        <w:tc>
          <w:tcPr>
            <w:tcW w:w="369" w:type="dxa"/>
            <w:vAlign w:val="top"/>
          </w:tcPr>
          <w:p w14:paraId="6C8DEFED">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81.61</w:t>
            </w:r>
          </w:p>
        </w:tc>
        <w:tc>
          <w:tcPr>
            <w:tcW w:w="369" w:type="dxa"/>
            <w:vAlign w:val="top"/>
          </w:tcPr>
          <w:p w14:paraId="5B2DE741">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58.44</w:t>
            </w:r>
          </w:p>
        </w:tc>
        <w:tc>
          <w:tcPr>
            <w:tcW w:w="369" w:type="dxa"/>
            <w:vAlign w:val="top"/>
          </w:tcPr>
          <w:p w14:paraId="48A6ECE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64.23</w:t>
            </w:r>
          </w:p>
        </w:tc>
        <w:tc>
          <w:tcPr>
            <w:tcW w:w="369" w:type="dxa"/>
            <w:vAlign w:val="top"/>
          </w:tcPr>
          <w:p w14:paraId="6DF8F40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64.39</w:t>
            </w:r>
          </w:p>
        </w:tc>
        <w:tc>
          <w:tcPr>
            <w:tcW w:w="369" w:type="dxa"/>
            <w:vAlign w:val="top"/>
          </w:tcPr>
          <w:p w14:paraId="10A53F32">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67.87</w:t>
            </w:r>
          </w:p>
        </w:tc>
        <w:tc>
          <w:tcPr>
            <w:tcW w:w="369" w:type="dxa"/>
            <w:vAlign w:val="top"/>
          </w:tcPr>
          <w:p w14:paraId="1542A67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Times New Roman" w:hAnsi="Times New Roman" w:eastAsia="宋体"/>
                <w:sz w:val="13"/>
                <w:szCs w:val="21"/>
                <w:lang w:val="en-US" w:eastAsia="zh-CN"/>
              </w:rPr>
            </w:pPr>
            <w:r>
              <w:rPr>
                <w:rFonts w:hint="eastAsia" w:ascii="Times New Roman" w:hAnsi="Times New Roman" w:eastAsia="宋体"/>
                <w:sz w:val="13"/>
                <w:szCs w:val="21"/>
                <w:lang w:val="en-US" w:eastAsia="zh-CN"/>
              </w:rPr>
              <w:t>44.07</w:t>
            </w:r>
          </w:p>
        </w:tc>
        <w:tc>
          <w:tcPr>
            <w:tcW w:w="369" w:type="dxa"/>
            <w:tcBorders>
              <w:right w:val="nil"/>
            </w:tcBorders>
            <w:vAlign w:val="top"/>
          </w:tcPr>
          <w:p w14:paraId="3507D33D">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70.05</w:t>
            </w:r>
          </w:p>
        </w:tc>
      </w:tr>
      <w:tr w14:paraId="0FF165A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jc w:val="center"/>
        </w:trPr>
        <w:tc>
          <w:tcPr>
            <w:tcW w:w="1191" w:type="dxa"/>
            <w:tcBorders>
              <w:left w:val="nil"/>
            </w:tcBorders>
            <w:shd w:val="clear" w:color="auto" w:fill="auto"/>
            <w:vAlign w:val="top"/>
          </w:tcPr>
          <w:p w14:paraId="65B1905F">
            <w:pPr>
              <w:keepNext w:val="0"/>
              <w:keepLines w:val="0"/>
              <w:pageBreakBefore w:val="0"/>
              <w:widowControl/>
              <w:kinsoku/>
              <w:wordWrap/>
              <w:overflowPunct/>
              <w:topLinePunct w:val="0"/>
              <w:autoSpaceDE/>
              <w:autoSpaceDN/>
              <w:bidi w:val="0"/>
              <w:adjustRightInd/>
              <w:snapToGrid/>
              <w:spacing w:after="0" w:line="240" w:lineRule="auto"/>
              <w:ind w:firstLine="0"/>
              <w:jc w:val="left"/>
              <w:textAlignment w:val="auto"/>
              <w:rPr>
                <w:rFonts w:hint="eastAsia" w:ascii="Times New Roman" w:hAnsi="Times New Roman" w:eastAsia="宋体"/>
                <w:sz w:val="21"/>
                <w:szCs w:val="21"/>
                <w:lang w:eastAsia="zh-CN"/>
              </w:rPr>
            </w:pPr>
            <w:r>
              <w:rPr>
                <w:rFonts w:hint="eastAsia" w:ascii="Times New Roman" w:hAnsi="Times New Roman" w:eastAsia="宋体"/>
                <w:b w:val="0"/>
                <w:bCs/>
                <w:i/>
                <w:iCs/>
                <w:sz w:val="13"/>
                <w:szCs w:val="21"/>
                <w:lang w:val="en-US" w:eastAsia="zh-CN"/>
              </w:rPr>
              <w:t>Two-stage</w:t>
            </w:r>
          </w:p>
        </w:tc>
        <w:tc>
          <w:tcPr>
            <w:tcW w:w="709" w:type="dxa"/>
            <w:shd w:val="clear" w:color="auto" w:fill="auto"/>
            <w:vAlign w:val="top"/>
          </w:tcPr>
          <w:p w14:paraId="674B486E">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680" w:type="dxa"/>
            <w:shd w:val="clear" w:color="auto" w:fill="auto"/>
            <w:vAlign w:val="top"/>
          </w:tcPr>
          <w:p w14:paraId="311CAA6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shd w:val="clear" w:color="auto" w:fill="auto"/>
            <w:vAlign w:val="top"/>
          </w:tcPr>
          <w:p w14:paraId="0F6EE65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shd w:val="clear" w:color="auto" w:fill="auto"/>
            <w:vAlign w:val="top"/>
          </w:tcPr>
          <w:p w14:paraId="5AEB4D2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shd w:val="clear" w:color="auto" w:fill="auto"/>
            <w:vAlign w:val="top"/>
          </w:tcPr>
          <w:p w14:paraId="24740EF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shd w:val="clear" w:color="auto" w:fill="auto"/>
            <w:vAlign w:val="top"/>
          </w:tcPr>
          <w:p w14:paraId="7ECCADA2">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shd w:val="clear" w:color="auto" w:fill="auto"/>
            <w:vAlign w:val="top"/>
          </w:tcPr>
          <w:p w14:paraId="73AAB36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shd w:val="clear" w:color="auto" w:fill="auto"/>
            <w:vAlign w:val="top"/>
          </w:tcPr>
          <w:p w14:paraId="6FEBAC5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shd w:val="clear" w:color="auto" w:fill="auto"/>
            <w:vAlign w:val="top"/>
          </w:tcPr>
          <w:p w14:paraId="587D38CB">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shd w:val="clear" w:color="auto" w:fill="auto"/>
            <w:vAlign w:val="top"/>
          </w:tcPr>
          <w:p w14:paraId="77325A1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shd w:val="clear" w:color="auto" w:fill="auto"/>
            <w:vAlign w:val="top"/>
          </w:tcPr>
          <w:p w14:paraId="64080F7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shd w:val="clear" w:color="auto" w:fill="auto"/>
            <w:vAlign w:val="top"/>
          </w:tcPr>
          <w:p w14:paraId="11E14B2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shd w:val="clear" w:color="auto" w:fill="auto"/>
            <w:vAlign w:val="top"/>
          </w:tcPr>
          <w:p w14:paraId="4F63DFB1">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shd w:val="clear" w:color="auto" w:fill="auto"/>
            <w:vAlign w:val="top"/>
          </w:tcPr>
          <w:p w14:paraId="36A453E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shd w:val="clear" w:color="auto" w:fill="auto"/>
            <w:vAlign w:val="top"/>
          </w:tcPr>
          <w:p w14:paraId="0F88E05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shd w:val="clear" w:color="auto" w:fill="auto"/>
            <w:vAlign w:val="top"/>
          </w:tcPr>
          <w:p w14:paraId="4FA9A4ED">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shd w:val="clear" w:color="auto" w:fill="auto"/>
            <w:vAlign w:val="top"/>
          </w:tcPr>
          <w:p w14:paraId="423BD01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c>
          <w:tcPr>
            <w:tcW w:w="369" w:type="dxa"/>
            <w:tcBorders>
              <w:right w:val="nil"/>
            </w:tcBorders>
            <w:shd w:val="clear" w:color="auto" w:fill="auto"/>
            <w:vAlign w:val="top"/>
          </w:tcPr>
          <w:p w14:paraId="35E72C0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b w:val="0"/>
                <w:bCs/>
                <w:sz w:val="13"/>
                <w:szCs w:val="21"/>
              </w:rPr>
            </w:pPr>
          </w:p>
        </w:tc>
      </w:tr>
      <w:tr w14:paraId="3EE3A6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jc w:val="center"/>
        </w:trPr>
        <w:tc>
          <w:tcPr>
            <w:tcW w:w="1191" w:type="dxa"/>
            <w:tcBorders>
              <w:left w:val="nil"/>
            </w:tcBorders>
            <w:vAlign w:val="top"/>
          </w:tcPr>
          <w:p w14:paraId="537732B3">
            <w:pPr>
              <w:keepNext w:val="0"/>
              <w:keepLines w:val="0"/>
              <w:pageBreakBefore w:val="0"/>
              <w:widowControl/>
              <w:kinsoku/>
              <w:wordWrap/>
              <w:overflowPunct/>
              <w:topLinePunct w:val="0"/>
              <w:autoSpaceDE/>
              <w:autoSpaceDN/>
              <w:bidi w:val="0"/>
              <w:adjustRightInd/>
              <w:snapToGrid/>
              <w:spacing w:after="0" w:line="240" w:lineRule="auto"/>
              <w:ind w:firstLine="0"/>
              <w:jc w:val="left"/>
              <w:textAlignment w:val="auto"/>
              <w:rPr>
                <w:rFonts w:ascii="Times New Roman" w:hAnsi="Times New Roman" w:eastAsia="宋体"/>
                <w:sz w:val="21"/>
                <w:szCs w:val="21"/>
              </w:rPr>
            </w:pPr>
            <w:r>
              <w:rPr>
                <w:rFonts w:ascii="Times New Roman" w:hAnsi="Times New Roman" w:eastAsia="宋体"/>
                <w:sz w:val="13"/>
                <w:szCs w:val="21"/>
              </w:rPr>
              <w:t>Faster R-CNN-O</w:t>
            </w:r>
          </w:p>
        </w:tc>
        <w:tc>
          <w:tcPr>
            <w:tcW w:w="709" w:type="dxa"/>
            <w:vAlign w:val="top"/>
          </w:tcPr>
          <w:p w14:paraId="02AA56A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TPAMI</w:t>
            </w:r>
            <w:r>
              <w:rPr>
                <w:rFonts w:hint="eastAsia" w:ascii="Times New Roman" w:hAnsi="Times New Roman" w:eastAsia="宋体"/>
                <w:sz w:val="13"/>
                <w:szCs w:val="21"/>
                <w:lang w:val="en-US" w:eastAsia="zh-CN"/>
              </w:rPr>
              <w:t>20</w:t>
            </w:r>
            <w:r>
              <w:rPr>
                <w:rFonts w:ascii="Times New Roman" w:hAnsi="Times New Roman" w:eastAsia="宋体"/>
                <w:sz w:val="13"/>
                <w:szCs w:val="21"/>
              </w:rPr>
              <w:t>17</w:t>
            </w:r>
          </w:p>
        </w:tc>
        <w:tc>
          <w:tcPr>
            <w:tcW w:w="680" w:type="dxa"/>
            <w:vAlign w:val="top"/>
          </w:tcPr>
          <w:p w14:paraId="3F8B0D6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R50-FPN</w:t>
            </w:r>
          </w:p>
        </w:tc>
        <w:tc>
          <w:tcPr>
            <w:tcW w:w="369" w:type="dxa"/>
            <w:vAlign w:val="top"/>
          </w:tcPr>
          <w:p w14:paraId="3041714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88.44</w:t>
            </w:r>
          </w:p>
        </w:tc>
        <w:tc>
          <w:tcPr>
            <w:tcW w:w="369" w:type="dxa"/>
            <w:vAlign w:val="top"/>
          </w:tcPr>
          <w:p w14:paraId="43F2D7F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73.06</w:t>
            </w:r>
          </w:p>
        </w:tc>
        <w:tc>
          <w:tcPr>
            <w:tcW w:w="369" w:type="dxa"/>
            <w:vAlign w:val="top"/>
          </w:tcPr>
          <w:p w14:paraId="33A8D1B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44.86</w:t>
            </w:r>
          </w:p>
        </w:tc>
        <w:tc>
          <w:tcPr>
            <w:tcW w:w="369" w:type="dxa"/>
            <w:vAlign w:val="top"/>
          </w:tcPr>
          <w:p w14:paraId="07708EB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59.09</w:t>
            </w:r>
          </w:p>
        </w:tc>
        <w:tc>
          <w:tcPr>
            <w:tcW w:w="369" w:type="dxa"/>
            <w:vAlign w:val="top"/>
          </w:tcPr>
          <w:p w14:paraId="4C93765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73.25</w:t>
            </w:r>
          </w:p>
        </w:tc>
        <w:tc>
          <w:tcPr>
            <w:tcW w:w="369" w:type="dxa"/>
            <w:vAlign w:val="top"/>
          </w:tcPr>
          <w:p w14:paraId="5FF3067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71.49</w:t>
            </w:r>
          </w:p>
        </w:tc>
        <w:tc>
          <w:tcPr>
            <w:tcW w:w="369" w:type="dxa"/>
            <w:vAlign w:val="top"/>
          </w:tcPr>
          <w:p w14:paraId="36E8B3E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77.11</w:t>
            </w:r>
          </w:p>
        </w:tc>
        <w:tc>
          <w:tcPr>
            <w:tcW w:w="369" w:type="dxa"/>
            <w:vAlign w:val="top"/>
          </w:tcPr>
          <w:p w14:paraId="66C39EC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90.84</w:t>
            </w:r>
          </w:p>
        </w:tc>
        <w:tc>
          <w:tcPr>
            <w:tcW w:w="369" w:type="dxa"/>
            <w:vAlign w:val="top"/>
          </w:tcPr>
          <w:p w14:paraId="16C82D7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78.94</w:t>
            </w:r>
          </w:p>
        </w:tc>
        <w:tc>
          <w:tcPr>
            <w:tcW w:w="369" w:type="dxa"/>
            <w:vAlign w:val="top"/>
          </w:tcPr>
          <w:p w14:paraId="2A4F9FCE">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83.90</w:t>
            </w:r>
          </w:p>
        </w:tc>
        <w:tc>
          <w:tcPr>
            <w:tcW w:w="369" w:type="dxa"/>
            <w:vAlign w:val="top"/>
          </w:tcPr>
          <w:p w14:paraId="0DFF893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48.59</w:t>
            </w:r>
          </w:p>
        </w:tc>
        <w:tc>
          <w:tcPr>
            <w:tcW w:w="369" w:type="dxa"/>
            <w:vAlign w:val="top"/>
          </w:tcPr>
          <w:p w14:paraId="1C14541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62.95</w:t>
            </w:r>
          </w:p>
        </w:tc>
        <w:tc>
          <w:tcPr>
            <w:tcW w:w="369" w:type="dxa"/>
            <w:vAlign w:val="top"/>
          </w:tcPr>
          <w:p w14:paraId="6348293E">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62.18</w:t>
            </w:r>
          </w:p>
        </w:tc>
        <w:tc>
          <w:tcPr>
            <w:tcW w:w="369" w:type="dxa"/>
            <w:vAlign w:val="top"/>
          </w:tcPr>
          <w:p w14:paraId="1AA370D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64.91</w:t>
            </w:r>
          </w:p>
        </w:tc>
        <w:tc>
          <w:tcPr>
            <w:tcW w:w="369" w:type="dxa"/>
            <w:vAlign w:val="top"/>
          </w:tcPr>
          <w:p w14:paraId="75060894">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56.18</w:t>
            </w:r>
          </w:p>
        </w:tc>
        <w:tc>
          <w:tcPr>
            <w:tcW w:w="369" w:type="dxa"/>
            <w:tcBorders>
              <w:right w:val="nil"/>
            </w:tcBorders>
            <w:vAlign w:val="top"/>
          </w:tcPr>
          <w:p w14:paraId="49226EC4">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69.05</w:t>
            </w:r>
          </w:p>
        </w:tc>
      </w:tr>
      <w:tr w14:paraId="30115EE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jc w:val="center"/>
        </w:trPr>
        <w:tc>
          <w:tcPr>
            <w:tcW w:w="1191" w:type="dxa"/>
            <w:tcBorders>
              <w:left w:val="nil"/>
            </w:tcBorders>
            <w:vAlign w:val="top"/>
          </w:tcPr>
          <w:p w14:paraId="71D6B2F0">
            <w:pPr>
              <w:keepNext w:val="0"/>
              <w:keepLines w:val="0"/>
              <w:pageBreakBefore w:val="0"/>
              <w:widowControl/>
              <w:kinsoku/>
              <w:wordWrap/>
              <w:overflowPunct/>
              <w:topLinePunct w:val="0"/>
              <w:autoSpaceDE/>
              <w:autoSpaceDN/>
              <w:bidi w:val="0"/>
              <w:adjustRightInd/>
              <w:snapToGrid/>
              <w:spacing w:after="0" w:line="240" w:lineRule="auto"/>
              <w:ind w:firstLine="0"/>
              <w:jc w:val="left"/>
              <w:textAlignment w:val="auto"/>
              <w:rPr>
                <w:rFonts w:ascii="Times New Roman" w:hAnsi="Times New Roman" w:eastAsia="宋体"/>
                <w:sz w:val="21"/>
                <w:szCs w:val="21"/>
              </w:rPr>
            </w:pPr>
            <w:r>
              <w:rPr>
                <w:rFonts w:ascii="Times New Roman" w:hAnsi="Times New Roman" w:eastAsia="宋体"/>
                <w:sz w:val="13"/>
                <w:szCs w:val="21"/>
              </w:rPr>
              <w:t>RoI Transformer</w:t>
            </w:r>
          </w:p>
        </w:tc>
        <w:tc>
          <w:tcPr>
            <w:tcW w:w="709" w:type="dxa"/>
            <w:vAlign w:val="top"/>
          </w:tcPr>
          <w:p w14:paraId="3EFDD78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CVPR</w:t>
            </w:r>
            <w:r>
              <w:rPr>
                <w:rFonts w:hint="eastAsia" w:ascii="Times New Roman" w:hAnsi="Times New Roman" w:eastAsia="宋体"/>
                <w:sz w:val="13"/>
                <w:szCs w:val="21"/>
                <w:lang w:val="en-US" w:eastAsia="zh-CN"/>
              </w:rPr>
              <w:t>20</w:t>
            </w:r>
            <w:r>
              <w:rPr>
                <w:rFonts w:ascii="Times New Roman" w:hAnsi="Times New Roman" w:eastAsia="宋体"/>
                <w:sz w:val="13"/>
                <w:szCs w:val="21"/>
              </w:rPr>
              <w:t>19</w:t>
            </w:r>
          </w:p>
        </w:tc>
        <w:tc>
          <w:tcPr>
            <w:tcW w:w="680" w:type="dxa"/>
            <w:vAlign w:val="top"/>
          </w:tcPr>
          <w:p w14:paraId="2DBDE34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R50-FPN</w:t>
            </w:r>
          </w:p>
        </w:tc>
        <w:tc>
          <w:tcPr>
            <w:tcW w:w="369" w:type="dxa"/>
            <w:vAlign w:val="top"/>
          </w:tcPr>
          <w:p w14:paraId="76BFC853">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88.65</w:t>
            </w:r>
          </w:p>
        </w:tc>
        <w:tc>
          <w:tcPr>
            <w:tcW w:w="369" w:type="dxa"/>
            <w:vAlign w:val="top"/>
          </w:tcPr>
          <w:p w14:paraId="60F3AD4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82.60</w:t>
            </w:r>
          </w:p>
        </w:tc>
        <w:tc>
          <w:tcPr>
            <w:tcW w:w="369" w:type="dxa"/>
            <w:vAlign w:val="top"/>
          </w:tcPr>
          <w:p w14:paraId="4C2C223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52.53</w:t>
            </w:r>
          </w:p>
        </w:tc>
        <w:tc>
          <w:tcPr>
            <w:tcW w:w="369" w:type="dxa"/>
            <w:vAlign w:val="top"/>
          </w:tcPr>
          <w:p w14:paraId="2A3ACE9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70.87</w:t>
            </w:r>
          </w:p>
        </w:tc>
        <w:tc>
          <w:tcPr>
            <w:tcW w:w="369" w:type="dxa"/>
            <w:vAlign w:val="top"/>
          </w:tcPr>
          <w:p w14:paraId="47CB973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77.93</w:t>
            </w:r>
          </w:p>
        </w:tc>
        <w:tc>
          <w:tcPr>
            <w:tcW w:w="369" w:type="dxa"/>
            <w:vAlign w:val="top"/>
          </w:tcPr>
          <w:p w14:paraId="3DFC5E64">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76.67</w:t>
            </w:r>
          </w:p>
        </w:tc>
        <w:tc>
          <w:tcPr>
            <w:tcW w:w="369" w:type="dxa"/>
            <w:vAlign w:val="top"/>
          </w:tcPr>
          <w:p w14:paraId="0D799CE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86.87</w:t>
            </w:r>
          </w:p>
        </w:tc>
        <w:tc>
          <w:tcPr>
            <w:tcW w:w="369" w:type="dxa"/>
            <w:vAlign w:val="top"/>
          </w:tcPr>
          <w:p w14:paraId="7890F2B4">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90.71</w:t>
            </w:r>
          </w:p>
        </w:tc>
        <w:tc>
          <w:tcPr>
            <w:tcW w:w="369" w:type="dxa"/>
            <w:vAlign w:val="top"/>
          </w:tcPr>
          <w:p w14:paraId="2C80D64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83.83</w:t>
            </w:r>
          </w:p>
        </w:tc>
        <w:tc>
          <w:tcPr>
            <w:tcW w:w="369" w:type="dxa"/>
            <w:vAlign w:val="top"/>
          </w:tcPr>
          <w:p w14:paraId="73798A4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82.51</w:t>
            </w:r>
          </w:p>
        </w:tc>
        <w:tc>
          <w:tcPr>
            <w:tcW w:w="369" w:type="dxa"/>
            <w:vAlign w:val="top"/>
          </w:tcPr>
          <w:p w14:paraId="5FDAC95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53.95</w:t>
            </w:r>
          </w:p>
        </w:tc>
        <w:tc>
          <w:tcPr>
            <w:tcW w:w="369" w:type="dxa"/>
            <w:vAlign w:val="top"/>
          </w:tcPr>
          <w:p w14:paraId="776CF01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67.61</w:t>
            </w:r>
          </w:p>
        </w:tc>
        <w:tc>
          <w:tcPr>
            <w:tcW w:w="369" w:type="dxa"/>
            <w:vAlign w:val="top"/>
          </w:tcPr>
          <w:p w14:paraId="25989741">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74.67</w:t>
            </w:r>
          </w:p>
        </w:tc>
        <w:tc>
          <w:tcPr>
            <w:tcW w:w="369" w:type="dxa"/>
            <w:vAlign w:val="top"/>
          </w:tcPr>
          <w:p w14:paraId="58F3840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68.75</w:t>
            </w:r>
          </w:p>
        </w:tc>
        <w:tc>
          <w:tcPr>
            <w:tcW w:w="369" w:type="dxa"/>
            <w:vAlign w:val="top"/>
          </w:tcPr>
          <w:p w14:paraId="66CD97E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61.03</w:t>
            </w:r>
          </w:p>
        </w:tc>
        <w:tc>
          <w:tcPr>
            <w:tcW w:w="369" w:type="dxa"/>
            <w:tcBorders>
              <w:right w:val="nil"/>
            </w:tcBorders>
            <w:vAlign w:val="top"/>
          </w:tcPr>
          <w:p w14:paraId="668B35B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74.61</w:t>
            </w:r>
          </w:p>
        </w:tc>
      </w:tr>
      <w:tr w14:paraId="5D7B74C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jc w:val="center"/>
        </w:trPr>
        <w:tc>
          <w:tcPr>
            <w:tcW w:w="1191" w:type="dxa"/>
            <w:tcBorders>
              <w:left w:val="nil"/>
            </w:tcBorders>
            <w:vAlign w:val="top"/>
          </w:tcPr>
          <w:p w14:paraId="4FF209F4">
            <w:pPr>
              <w:keepNext w:val="0"/>
              <w:keepLines w:val="0"/>
              <w:pageBreakBefore w:val="0"/>
              <w:widowControl/>
              <w:kinsoku/>
              <w:wordWrap/>
              <w:overflowPunct/>
              <w:topLinePunct w:val="0"/>
              <w:autoSpaceDE/>
              <w:autoSpaceDN/>
              <w:bidi w:val="0"/>
              <w:adjustRightInd/>
              <w:snapToGrid/>
              <w:spacing w:after="0" w:line="240" w:lineRule="auto"/>
              <w:ind w:firstLine="0"/>
              <w:jc w:val="left"/>
              <w:textAlignment w:val="auto"/>
              <w:rPr>
                <w:rFonts w:ascii="Times New Roman" w:hAnsi="Times New Roman" w:eastAsia="宋体"/>
                <w:sz w:val="21"/>
                <w:szCs w:val="21"/>
              </w:rPr>
            </w:pPr>
            <w:r>
              <w:rPr>
                <w:rFonts w:ascii="Times New Roman" w:hAnsi="Times New Roman" w:eastAsia="宋体"/>
                <w:sz w:val="13"/>
                <w:szCs w:val="21"/>
              </w:rPr>
              <w:t>Gliding Vertex</w:t>
            </w:r>
          </w:p>
        </w:tc>
        <w:tc>
          <w:tcPr>
            <w:tcW w:w="709" w:type="dxa"/>
            <w:vAlign w:val="top"/>
          </w:tcPr>
          <w:p w14:paraId="334D015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TPAMI</w:t>
            </w:r>
            <w:r>
              <w:rPr>
                <w:rFonts w:hint="eastAsia" w:ascii="Times New Roman" w:hAnsi="Times New Roman" w:eastAsia="宋体"/>
                <w:sz w:val="13"/>
                <w:szCs w:val="21"/>
                <w:lang w:val="en-US" w:eastAsia="zh-CN"/>
              </w:rPr>
              <w:t>20</w:t>
            </w:r>
            <w:r>
              <w:rPr>
                <w:rFonts w:ascii="Times New Roman" w:hAnsi="Times New Roman" w:eastAsia="宋体"/>
                <w:sz w:val="13"/>
                <w:szCs w:val="21"/>
              </w:rPr>
              <w:t>21</w:t>
            </w:r>
          </w:p>
        </w:tc>
        <w:tc>
          <w:tcPr>
            <w:tcW w:w="680" w:type="dxa"/>
            <w:vAlign w:val="top"/>
          </w:tcPr>
          <w:p w14:paraId="0384FCD2">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R101-FPN</w:t>
            </w:r>
          </w:p>
        </w:tc>
        <w:tc>
          <w:tcPr>
            <w:tcW w:w="369" w:type="dxa"/>
            <w:vAlign w:val="top"/>
          </w:tcPr>
          <w:p w14:paraId="7A79967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89.64</w:t>
            </w:r>
          </w:p>
        </w:tc>
        <w:tc>
          <w:tcPr>
            <w:tcW w:w="369" w:type="dxa"/>
            <w:vAlign w:val="top"/>
          </w:tcPr>
          <w:p w14:paraId="50DC24B1">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85.00</w:t>
            </w:r>
          </w:p>
        </w:tc>
        <w:tc>
          <w:tcPr>
            <w:tcW w:w="369" w:type="dxa"/>
            <w:vAlign w:val="top"/>
          </w:tcPr>
          <w:p w14:paraId="1070D88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52.26</w:t>
            </w:r>
          </w:p>
        </w:tc>
        <w:tc>
          <w:tcPr>
            <w:tcW w:w="369" w:type="dxa"/>
            <w:vAlign w:val="top"/>
          </w:tcPr>
          <w:p w14:paraId="5D0BCEE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77.34</w:t>
            </w:r>
          </w:p>
        </w:tc>
        <w:tc>
          <w:tcPr>
            <w:tcW w:w="369" w:type="dxa"/>
            <w:vAlign w:val="top"/>
          </w:tcPr>
          <w:p w14:paraId="53809A1D">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73.01</w:t>
            </w:r>
          </w:p>
        </w:tc>
        <w:tc>
          <w:tcPr>
            <w:tcW w:w="369" w:type="dxa"/>
            <w:vAlign w:val="top"/>
          </w:tcPr>
          <w:p w14:paraId="178E4211">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73.14</w:t>
            </w:r>
          </w:p>
        </w:tc>
        <w:tc>
          <w:tcPr>
            <w:tcW w:w="369" w:type="dxa"/>
            <w:vAlign w:val="top"/>
          </w:tcPr>
          <w:p w14:paraId="50AEB14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86.82</w:t>
            </w:r>
          </w:p>
        </w:tc>
        <w:tc>
          <w:tcPr>
            <w:tcW w:w="369" w:type="dxa"/>
            <w:vAlign w:val="top"/>
          </w:tcPr>
          <w:p w14:paraId="2DC07C1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90.74</w:t>
            </w:r>
          </w:p>
        </w:tc>
        <w:tc>
          <w:tcPr>
            <w:tcW w:w="369" w:type="dxa"/>
            <w:vAlign w:val="top"/>
          </w:tcPr>
          <w:p w14:paraId="63E3532E">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79.02</w:t>
            </w:r>
          </w:p>
        </w:tc>
        <w:tc>
          <w:tcPr>
            <w:tcW w:w="369" w:type="dxa"/>
            <w:vAlign w:val="top"/>
          </w:tcPr>
          <w:p w14:paraId="2A92D1C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86.81</w:t>
            </w:r>
          </w:p>
        </w:tc>
        <w:tc>
          <w:tcPr>
            <w:tcW w:w="369" w:type="dxa"/>
            <w:vAlign w:val="top"/>
          </w:tcPr>
          <w:p w14:paraId="5F268AC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59.55</w:t>
            </w:r>
          </w:p>
        </w:tc>
        <w:tc>
          <w:tcPr>
            <w:tcW w:w="369" w:type="dxa"/>
            <w:vAlign w:val="top"/>
          </w:tcPr>
          <w:p w14:paraId="25D9149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70.91</w:t>
            </w:r>
          </w:p>
        </w:tc>
        <w:tc>
          <w:tcPr>
            <w:tcW w:w="369" w:type="dxa"/>
            <w:vAlign w:val="top"/>
          </w:tcPr>
          <w:p w14:paraId="1238520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72.94</w:t>
            </w:r>
          </w:p>
        </w:tc>
        <w:tc>
          <w:tcPr>
            <w:tcW w:w="369" w:type="dxa"/>
            <w:vAlign w:val="top"/>
          </w:tcPr>
          <w:p w14:paraId="0561DB9D">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70.86</w:t>
            </w:r>
          </w:p>
        </w:tc>
        <w:tc>
          <w:tcPr>
            <w:tcW w:w="369" w:type="dxa"/>
            <w:vAlign w:val="top"/>
          </w:tcPr>
          <w:p w14:paraId="59D254A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57.32</w:t>
            </w:r>
          </w:p>
        </w:tc>
        <w:tc>
          <w:tcPr>
            <w:tcW w:w="369" w:type="dxa"/>
            <w:tcBorders>
              <w:right w:val="nil"/>
            </w:tcBorders>
            <w:vAlign w:val="top"/>
          </w:tcPr>
          <w:p w14:paraId="13EB023E">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75.02</w:t>
            </w:r>
          </w:p>
        </w:tc>
      </w:tr>
      <w:tr w14:paraId="0DA9A9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jc w:val="center"/>
        </w:trPr>
        <w:tc>
          <w:tcPr>
            <w:tcW w:w="1191" w:type="dxa"/>
            <w:tcBorders>
              <w:left w:val="nil"/>
            </w:tcBorders>
            <w:vAlign w:val="top"/>
          </w:tcPr>
          <w:p w14:paraId="3D6231E4">
            <w:pPr>
              <w:keepNext w:val="0"/>
              <w:keepLines w:val="0"/>
              <w:pageBreakBefore w:val="0"/>
              <w:widowControl/>
              <w:kinsoku/>
              <w:wordWrap/>
              <w:overflowPunct/>
              <w:topLinePunct w:val="0"/>
              <w:autoSpaceDE/>
              <w:autoSpaceDN/>
              <w:bidi w:val="0"/>
              <w:adjustRightInd/>
              <w:snapToGrid/>
              <w:spacing w:after="0" w:line="240" w:lineRule="auto"/>
              <w:ind w:firstLine="0"/>
              <w:jc w:val="left"/>
              <w:textAlignment w:val="auto"/>
              <w:rPr>
                <w:rFonts w:ascii="Times New Roman" w:hAnsi="Times New Roman" w:eastAsia="宋体"/>
                <w:sz w:val="21"/>
                <w:szCs w:val="21"/>
              </w:rPr>
            </w:pPr>
            <w:r>
              <w:rPr>
                <w:rFonts w:ascii="Times New Roman" w:hAnsi="Times New Roman" w:eastAsia="宋体"/>
                <w:sz w:val="13"/>
                <w:szCs w:val="21"/>
              </w:rPr>
              <w:t>ReDet</w:t>
            </w:r>
          </w:p>
        </w:tc>
        <w:tc>
          <w:tcPr>
            <w:tcW w:w="709" w:type="dxa"/>
            <w:vAlign w:val="top"/>
          </w:tcPr>
          <w:p w14:paraId="6DEA889E">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CVPR</w:t>
            </w:r>
            <w:r>
              <w:rPr>
                <w:rFonts w:hint="eastAsia" w:ascii="Times New Roman" w:hAnsi="Times New Roman" w:eastAsia="宋体"/>
                <w:sz w:val="13"/>
                <w:szCs w:val="21"/>
                <w:lang w:val="en-US" w:eastAsia="zh-CN"/>
              </w:rPr>
              <w:t>20</w:t>
            </w:r>
            <w:r>
              <w:rPr>
                <w:rFonts w:ascii="Times New Roman" w:hAnsi="Times New Roman" w:eastAsia="宋体"/>
                <w:sz w:val="13"/>
                <w:szCs w:val="21"/>
              </w:rPr>
              <w:t>21</w:t>
            </w:r>
          </w:p>
        </w:tc>
        <w:tc>
          <w:tcPr>
            <w:tcW w:w="680" w:type="dxa"/>
            <w:vAlign w:val="top"/>
          </w:tcPr>
          <w:p w14:paraId="6EB015C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ReR50-FPN</w:t>
            </w:r>
          </w:p>
        </w:tc>
        <w:tc>
          <w:tcPr>
            <w:tcW w:w="369" w:type="dxa"/>
            <w:vAlign w:val="top"/>
          </w:tcPr>
          <w:p w14:paraId="2D24B05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88.79</w:t>
            </w:r>
          </w:p>
        </w:tc>
        <w:tc>
          <w:tcPr>
            <w:tcW w:w="369" w:type="dxa"/>
            <w:vAlign w:val="top"/>
          </w:tcPr>
          <w:p w14:paraId="68F186F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82.64</w:t>
            </w:r>
          </w:p>
        </w:tc>
        <w:tc>
          <w:tcPr>
            <w:tcW w:w="369" w:type="dxa"/>
            <w:vAlign w:val="top"/>
          </w:tcPr>
          <w:p w14:paraId="0D7FEFD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53.97</w:t>
            </w:r>
          </w:p>
        </w:tc>
        <w:tc>
          <w:tcPr>
            <w:tcW w:w="369" w:type="dxa"/>
            <w:vAlign w:val="top"/>
          </w:tcPr>
          <w:p w14:paraId="6C0EF1F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74.00</w:t>
            </w:r>
          </w:p>
        </w:tc>
        <w:tc>
          <w:tcPr>
            <w:tcW w:w="369" w:type="dxa"/>
            <w:vAlign w:val="top"/>
          </w:tcPr>
          <w:p w14:paraId="75DD885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78.13</w:t>
            </w:r>
          </w:p>
        </w:tc>
        <w:tc>
          <w:tcPr>
            <w:tcW w:w="369" w:type="dxa"/>
            <w:vAlign w:val="top"/>
          </w:tcPr>
          <w:p w14:paraId="4C2641AE">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84.06</w:t>
            </w:r>
          </w:p>
        </w:tc>
        <w:tc>
          <w:tcPr>
            <w:tcW w:w="369" w:type="dxa"/>
            <w:vAlign w:val="top"/>
          </w:tcPr>
          <w:p w14:paraId="416F250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88.04</w:t>
            </w:r>
          </w:p>
        </w:tc>
        <w:tc>
          <w:tcPr>
            <w:tcW w:w="369" w:type="dxa"/>
            <w:vAlign w:val="top"/>
          </w:tcPr>
          <w:p w14:paraId="7B2212A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90.89</w:t>
            </w:r>
          </w:p>
        </w:tc>
        <w:tc>
          <w:tcPr>
            <w:tcW w:w="369" w:type="dxa"/>
            <w:vAlign w:val="top"/>
          </w:tcPr>
          <w:p w14:paraId="6F21146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87.78</w:t>
            </w:r>
          </w:p>
        </w:tc>
        <w:tc>
          <w:tcPr>
            <w:tcW w:w="369" w:type="dxa"/>
            <w:vAlign w:val="top"/>
          </w:tcPr>
          <w:p w14:paraId="6B900CC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85.75</w:t>
            </w:r>
          </w:p>
        </w:tc>
        <w:tc>
          <w:tcPr>
            <w:tcW w:w="369" w:type="dxa"/>
            <w:vAlign w:val="top"/>
          </w:tcPr>
          <w:p w14:paraId="73C263D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61.76</w:t>
            </w:r>
          </w:p>
        </w:tc>
        <w:tc>
          <w:tcPr>
            <w:tcW w:w="369" w:type="dxa"/>
            <w:vAlign w:val="top"/>
          </w:tcPr>
          <w:p w14:paraId="4033F7A1">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60.39</w:t>
            </w:r>
          </w:p>
        </w:tc>
        <w:tc>
          <w:tcPr>
            <w:tcW w:w="369" w:type="dxa"/>
            <w:vAlign w:val="top"/>
          </w:tcPr>
          <w:p w14:paraId="0CA116FE">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75.96</w:t>
            </w:r>
          </w:p>
        </w:tc>
        <w:tc>
          <w:tcPr>
            <w:tcW w:w="369" w:type="dxa"/>
            <w:vAlign w:val="top"/>
          </w:tcPr>
          <w:p w14:paraId="23E9CA8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68.07</w:t>
            </w:r>
          </w:p>
        </w:tc>
        <w:tc>
          <w:tcPr>
            <w:tcW w:w="369" w:type="dxa"/>
            <w:vAlign w:val="top"/>
          </w:tcPr>
          <w:p w14:paraId="2F2E4A9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63.59</w:t>
            </w:r>
          </w:p>
        </w:tc>
        <w:tc>
          <w:tcPr>
            <w:tcW w:w="369" w:type="dxa"/>
            <w:tcBorders>
              <w:right w:val="nil"/>
            </w:tcBorders>
            <w:vAlign w:val="top"/>
          </w:tcPr>
          <w:p w14:paraId="70FECB9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rPr>
              <w:t>76.25</w:t>
            </w:r>
          </w:p>
        </w:tc>
      </w:tr>
      <w:tr w14:paraId="627336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jc w:val="center"/>
        </w:trPr>
        <w:tc>
          <w:tcPr>
            <w:tcW w:w="1191" w:type="dxa"/>
            <w:tcBorders>
              <w:left w:val="nil"/>
            </w:tcBorders>
            <w:vAlign w:val="top"/>
          </w:tcPr>
          <w:p w14:paraId="53600B8A">
            <w:pPr>
              <w:keepNext w:val="0"/>
              <w:keepLines w:val="0"/>
              <w:pageBreakBefore w:val="0"/>
              <w:widowControl/>
              <w:kinsoku/>
              <w:wordWrap/>
              <w:overflowPunct/>
              <w:topLinePunct w:val="0"/>
              <w:autoSpaceDE/>
              <w:autoSpaceDN/>
              <w:bidi w:val="0"/>
              <w:adjustRightInd/>
              <w:snapToGrid/>
              <w:spacing w:after="0" w:line="240" w:lineRule="auto"/>
              <w:ind w:firstLine="0"/>
              <w:jc w:val="left"/>
              <w:textAlignment w:val="auto"/>
              <w:rPr>
                <w:rFonts w:ascii="Times New Roman" w:hAnsi="Times New Roman" w:eastAsia="宋体"/>
                <w:color w:val="0000FF"/>
                <w:sz w:val="21"/>
                <w:szCs w:val="21"/>
              </w:rPr>
            </w:pPr>
            <w:r>
              <w:rPr>
                <w:rFonts w:ascii="Times New Roman" w:hAnsi="Times New Roman" w:eastAsia="宋体"/>
                <w:color w:val="0000FF"/>
                <w:sz w:val="13"/>
                <w:szCs w:val="21"/>
              </w:rPr>
              <w:t>ARC</w:t>
            </w:r>
          </w:p>
        </w:tc>
        <w:tc>
          <w:tcPr>
            <w:tcW w:w="709" w:type="dxa"/>
            <w:vAlign w:val="top"/>
          </w:tcPr>
          <w:p w14:paraId="65EA173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ICCV</w:t>
            </w:r>
            <w:r>
              <w:rPr>
                <w:rFonts w:hint="eastAsia" w:ascii="Times New Roman" w:hAnsi="Times New Roman" w:eastAsia="宋体"/>
                <w:color w:val="0000FF"/>
                <w:sz w:val="13"/>
                <w:szCs w:val="21"/>
                <w:lang w:val="en-US" w:eastAsia="zh-CN"/>
              </w:rPr>
              <w:t>20</w:t>
            </w:r>
            <w:r>
              <w:rPr>
                <w:rFonts w:ascii="Times New Roman" w:hAnsi="Times New Roman" w:eastAsia="宋体"/>
                <w:color w:val="0000FF"/>
                <w:sz w:val="13"/>
                <w:szCs w:val="21"/>
              </w:rPr>
              <w:t>23</w:t>
            </w:r>
          </w:p>
        </w:tc>
        <w:tc>
          <w:tcPr>
            <w:tcW w:w="680" w:type="dxa"/>
            <w:vAlign w:val="top"/>
          </w:tcPr>
          <w:p w14:paraId="50FB866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R50-ARC</w:t>
            </w:r>
          </w:p>
        </w:tc>
        <w:tc>
          <w:tcPr>
            <w:tcW w:w="369" w:type="dxa"/>
            <w:vAlign w:val="top"/>
          </w:tcPr>
          <w:p w14:paraId="0F60BD94">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89.40</w:t>
            </w:r>
          </w:p>
        </w:tc>
        <w:tc>
          <w:tcPr>
            <w:tcW w:w="369" w:type="dxa"/>
            <w:vAlign w:val="top"/>
          </w:tcPr>
          <w:p w14:paraId="0C8CD75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82.48</w:t>
            </w:r>
          </w:p>
        </w:tc>
        <w:tc>
          <w:tcPr>
            <w:tcW w:w="369" w:type="dxa"/>
            <w:vAlign w:val="top"/>
          </w:tcPr>
          <w:p w14:paraId="08CA02A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55.33</w:t>
            </w:r>
          </w:p>
        </w:tc>
        <w:tc>
          <w:tcPr>
            <w:tcW w:w="369" w:type="dxa"/>
            <w:vAlign w:val="top"/>
          </w:tcPr>
          <w:p w14:paraId="6A43D2F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73.88</w:t>
            </w:r>
          </w:p>
        </w:tc>
        <w:tc>
          <w:tcPr>
            <w:tcW w:w="369" w:type="dxa"/>
            <w:vAlign w:val="top"/>
          </w:tcPr>
          <w:p w14:paraId="5552DBC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79.37</w:t>
            </w:r>
          </w:p>
        </w:tc>
        <w:tc>
          <w:tcPr>
            <w:tcW w:w="369" w:type="dxa"/>
            <w:vAlign w:val="top"/>
          </w:tcPr>
          <w:p w14:paraId="1BEF560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84.05</w:t>
            </w:r>
          </w:p>
        </w:tc>
        <w:tc>
          <w:tcPr>
            <w:tcW w:w="369" w:type="dxa"/>
            <w:vAlign w:val="top"/>
          </w:tcPr>
          <w:p w14:paraId="7289D1D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88.06</w:t>
            </w:r>
          </w:p>
        </w:tc>
        <w:tc>
          <w:tcPr>
            <w:tcW w:w="369" w:type="dxa"/>
            <w:vAlign w:val="top"/>
          </w:tcPr>
          <w:p w14:paraId="67492E6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90.90</w:t>
            </w:r>
          </w:p>
        </w:tc>
        <w:tc>
          <w:tcPr>
            <w:tcW w:w="369" w:type="dxa"/>
            <w:vAlign w:val="top"/>
          </w:tcPr>
          <w:p w14:paraId="3BEDF70B">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86.44</w:t>
            </w:r>
          </w:p>
        </w:tc>
        <w:tc>
          <w:tcPr>
            <w:tcW w:w="369" w:type="dxa"/>
            <w:vAlign w:val="top"/>
          </w:tcPr>
          <w:p w14:paraId="15B3E633">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84.83</w:t>
            </w:r>
          </w:p>
        </w:tc>
        <w:tc>
          <w:tcPr>
            <w:tcW w:w="369" w:type="dxa"/>
            <w:vAlign w:val="top"/>
          </w:tcPr>
          <w:p w14:paraId="3B18025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63.63</w:t>
            </w:r>
          </w:p>
        </w:tc>
        <w:tc>
          <w:tcPr>
            <w:tcW w:w="369" w:type="dxa"/>
            <w:vAlign w:val="top"/>
          </w:tcPr>
          <w:p w14:paraId="0A18C82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70.32</w:t>
            </w:r>
          </w:p>
        </w:tc>
        <w:tc>
          <w:tcPr>
            <w:tcW w:w="369" w:type="dxa"/>
            <w:vAlign w:val="top"/>
          </w:tcPr>
          <w:p w14:paraId="65E36DA1">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74.29</w:t>
            </w:r>
          </w:p>
        </w:tc>
        <w:tc>
          <w:tcPr>
            <w:tcW w:w="369" w:type="dxa"/>
            <w:vAlign w:val="top"/>
          </w:tcPr>
          <w:p w14:paraId="1219D18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71.91</w:t>
            </w:r>
          </w:p>
        </w:tc>
        <w:tc>
          <w:tcPr>
            <w:tcW w:w="369" w:type="dxa"/>
            <w:vAlign w:val="top"/>
          </w:tcPr>
          <w:p w14:paraId="0135ACCB">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65.43</w:t>
            </w:r>
          </w:p>
        </w:tc>
        <w:tc>
          <w:tcPr>
            <w:tcW w:w="369" w:type="dxa"/>
            <w:tcBorders>
              <w:right w:val="nil"/>
            </w:tcBorders>
            <w:vAlign w:val="top"/>
          </w:tcPr>
          <w:p w14:paraId="5CC9E98B">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77.35</w:t>
            </w:r>
          </w:p>
        </w:tc>
      </w:tr>
      <w:tr w14:paraId="15060E5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jc w:val="center"/>
        </w:trPr>
        <w:tc>
          <w:tcPr>
            <w:tcW w:w="1191" w:type="dxa"/>
            <w:tcBorders>
              <w:left w:val="nil"/>
            </w:tcBorders>
            <w:vAlign w:val="top"/>
          </w:tcPr>
          <w:p w14:paraId="05EE7A7B">
            <w:pPr>
              <w:keepNext w:val="0"/>
              <w:keepLines w:val="0"/>
              <w:pageBreakBefore w:val="0"/>
              <w:widowControl/>
              <w:kinsoku/>
              <w:wordWrap/>
              <w:overflowPunct/>
              <w:topLinePunct w:val="0"/>
              <w:autoSpaceDE/>
              <w:autoSpaceDN/>
              <w:bidi w:val="0"/>
              <w:adjustRightInd/>
              <w:snapToGrid/>
              <w:spacing w:after="0" w:line="240" w:lineRule="auto"/>
              <w:ind w:firstLine="0"/>
              <w:jc w:val="left"/>
              <w:textAlignment w:val="auto"/>
              <w:rPr>
                <w:rFonts w:ascii="Times New Roman" w:hAnsi="Times New Roman" w:eastAsia="宋体"/>
                <w:sz w:val="21"/>
                <w:szCs w:val="21"/>
              </w:rPr>
            </w:pPr>
            <w:r>
              <w:rPr>
                <w:rFonts w:ascii="Times New Roman" w:hAnsi="Times New Roman" w:eastAsia="宋体"/>
                <w:sz w:val="13"/>
                <w:szCs w:val="21"/>
                <w:u w:val="none"/>
              </w:rPr>
              <w:t xml:space="preserve">Oriented R-CNN </w:t>
            </w:r>
          </w:p>
        </w:tc>
        <w:tc>
          <w:tcPr>
            <w:tcW w:w="709" w:type="dxa"/>
            <w:vAlign w:val="top"/>
          </w:tcPr>
          <w:p w14:paraId="32DF44FB">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u w:val="none"/>
              </w:rPr>
              <w:t>IJCV</w:t>
            </w:r>
            <w:r>
              <w:rPr>
                <w:rFonts w:hint="eastAsia" w:ascii="Times New Roman" w:hAnsi="Times New Roman" w:eastAsia="宋体"/>
                <w:sz w:val="13"/>
                <w:szCs w:val="21"/>
                <w:u w:val="none"/>
                <w:lang w:val="en-US" w:eastAsia="zh-CN"/>
              </w:rPr>
              <w:t>20</w:t>
            </w:r>
            <w:r>
              <w:rPr>
                <w:rFonts w:ascii="Times New Roman" w:hAnsi="Times New Roman" w:eastAsia="宋体"/>
                <w:sz w:val="13"/>
                <w:szCs w:val="21"/>
                <w:u w:val="none"/>
              </w:rPr>
              <w:t>24</w:t>
            </w:r>
          </w:p>
        </w:tc>
        <w:tc>
          <w:tcPr>
            <w:tcW w:w="680" w:type="dxa"/>
            <w:vAlign w:val="top"/>
          </w:tcPr>
          <w:p w14:paraId="7123B28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u w:val="none"/>
              </w:rPr>
              <w:t>R50-FPN</w:t>
            </w:r>
          </w:p>
        </w:tc>
        <w:tc>
          <w:tcPr>
            <w:tcW w:w="369" w:type="dxa"/>
            <w:vAlign w:val="top"/>
          </w:tcPr>
          <w:p w14:paraId="5F3CAD9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u w:val="none"/>
              </w:rPr>
              <w:t>89.46</w:t>
            </w:r>
          </w:p>
        </w:tc>
        <w:tc>
          <w:tcPr>
            <w:tcW w:w="369" w:type="dxa"/>
            <w:vAlign w:val="top"/>
          </w:tcPr>
          <w:p w14:paraId="3EB0B4D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u w:val="none"/>
              </w:rPr>
              <w:t>82.12</w:t>
            </w:r>
          </w:p>
        </w:tc>
        <w:tc>
          <w:tcPr>
            <w:tcW w:w="369" w:type="dxa"/>
            <w:vAlign w:val="top"/>
          </w:tcPr>
          <w:p w14:paraId="3E4BD80D">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u w:val="none"/>
              </w:rPr>
              <w:t>54.78</w:t>
            </w:r>
          </w:p>
        </w:tc>
        <w:tc>
          <w:tcPr>
            <w:tcW w:w="369" w:type="dxa"/>
            <w:vAlign w:val="top"/>
          </w:tcPr>
          <w:p w14:paraId="7B3C9EF1">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u w:val="none"/>
              </w:rPr>
              <w:t>70.86</w:t>
            </w:r>
          </w:p>
        </w:tc>
        <w:tc>
          <w:tcPr>
            <w:tcW w:w="369" w:type="dxa"/>
            <w:vAlign w:val="top"/>
          </w:tcPr>
          <w:p w14:paraId="0DB47D9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u w:val="none"/>
              </w:rPr>
              <w:t>78.93</w:t>
            </w:r>
          </w:p>
        </w:tc>
        <w:tc>
          <w:tcPr>
            <w:tcW w:w="369" w:type="dxa"/>
            <w:vAlign w:val="top"/>
          </w:tcPr>
          <w:p w14:paraId="5E697021">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u w:val="none"/>
              </w:rPr>
              <w:t>83.00</w:t>
            </w:r>
          </w:p>
        </w:tc>
        <w:tc>
          <w:tcPr>
            <w:tcW w:w="369" w:type="dxa"/>
            <w:vAlign w:val="top"/>
          </w:tcPr>
          <w:p w14:paraId="14AC3F54">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u w:val="none"/>
              </w:rPr>
              <w:t>88.20</w:t>
            </w:r>
          </w:p>
        </w:tc>
        <w:tc>
          <w:tcPr>
            <w:tcW w:w="369" w:type="dxa"/>
            <w:vAlign w:val="top"/>
          </w:tcPr>
          <w:p w14:paraId="3005B86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u w:val="none"/>
              </w:rPr>
              <w:t>90.90</w:t>
            </w:r>
          </w:p>
        </w:tc>
        <w:tc>
          <w:tcPr>
            <w:tcW w:w="369" w:type="dxa"/>
            <w:vAlign w:val="top"/>
          </w:tcPr>
          <w:p w14:paraId="1E331A2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u w:val="none"/>
              </w:rPr>
              <w:t>87.50</w:t>
            </w:r>
          </w:p>
        </w:tc>
        <w:tc>
          <w:tcPr>
            <w:tcW w:w="369" w:type="dxa"/>
            <w:vAlign w:val="top"/>
          </w:tcPr>
          <w:p w14:paraId="6E8FC401">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u w:val="none"/>
              </w:rPr>
              <w:t>84.68</w:t>
            </w:r>
          </w:p>
        </w:tc>
        <w:tc>
          <w:tcPr>
            <w:tcW w:w="369" w:type="dxa"/>
            <w:vAlign w:val="top"/>
          </w:tcPr>
          <w:p w14:paraId="582F4B0D">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u w:val="none"/>
              </w:rPr>
              <w:t>63.97</w:t>
            </w:r>
          </w:p>
        </w:tc>
        <w:tc>
          <w:tcPr>
            <w:tcW w:w="369" w:type="dxa"/>
            <w:vAlign w:val="top"/>
          </w:tcPr>
          <w:p w14:paraId="0E442501">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u w:val="none"/>
              </w:rPr>
              <w:t>67.69</w:t>
            </w:r>
          </w:p>
        </w:tc>
        <w:tc>
          <w:tcPr>
            <w:tcW w:w="369" w:type="dxa"/>
            <w:vAlign w:val="top"/>
          </w:tcPr>
          <w:p w14:paraId="3132966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u w:val="none"/>
              </w:rPr>
              <w:t>74.94</w:t>
            </w:r>
          </w:p>
        </w:tc>
        <w:tc>
          <w:tcPr>
            <w:tcW w:w="369" w:type="dxa"/>
            <w:vAlign w:val="top"/>
          </w:tcPr>
          <w:p w14:paraId="5D30A9D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u w:val="none"/>
              </w:rPr>
              <w:t>68.84</w:t>
            </w:r>
          </w:p>
        </w:tc>
        <w:tc>
          <w:tcPr>
            <w:tcW w:w="369" w:type="dxa"/>
            <w:vAlign w:val="top"/>
          </w:tcPr>
          <w:p w14:paraId="3A6F766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u w:val="none"/>
              </w:rPr>
              <w:t>52.28</w:t>
            </w:r>
          </w:p>
        </w:tc>
        <w:tc>
          <w:tcPr>
            <w:tcW w:w="369" w:type="dxa"/>
            <w:tcBorders>
              <w:right w:val="nil"/>
            </w:tcBorders>
            <w:vAlign w:val="top"/>
          </w:tcPr>
          <w:p w14:paraId="593B50C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sz w:val="13"/>
                <w:szCs w:val="21"/>
                <w:u w:val="none"/>
              </w:rPr>
              <w:t>75.87</w:t>
            </w:r>
          </w:p>
        </w:tc>
      </w:tr>
      <w:tr w14:paraId="10AB8EA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jc w:val="center"/>
        </w:trPr>
        <w:tc>
          <w:tcPr>
            <w:tcW w:w="1191" w:type="dxa"/>
            <w:tcBorders>
              <w:left w:val="nil"/>
            </w:tcBorders>
            <w:vAlign w:val="top"/>
          </w:tcPr>
          <w:p w14:paraId="347D48D2">
            <w:pPr>
              <w:keepNext w:val="0"/>
              <w:keepLines w:val="0"/>
              <w:pageBreakBefore w:val="0"/>
              <w:widowControl/>
              <w:kinsoku/>
              <w:wordWrap/>
              <w:overflowPunct/>
              <w:topLinePunct w:val="0"/>
              <w:autoSpaceDE/>
              <w:autoSpaceDN/>
              <w:bidi w:val="0"/>
              <w:adjustRightInd/>
              <w:snapToGrid/>
              <w:spacing w:after="0" w:line="240" w:lineRule="auto"/>
              <w:ind w:firstLine="0"/>
              <w:jc w:val="left"/>
              <w:textAlignment w:val="auto"/>
              <w:rPr>
                <w:rFonts w:ascii="Times New Roman" w:hAnsi="Times New Roman" w:eastAsia="宋体"/>
                <w:color w:val="0000FF"/>
                <w:sz w:val="21"/>
                <w:szCs w:val="21"/>
              </w:rPr>
            </w:pPr>
            <w:r>
              <w:rPr>
                <w:rFonts w:ascii="Times New Roman" w:hAnsi="Times New Roman" w:eastAsia="宋体"/>
                <w:color w:val="0000FF"/>
                <w:sz w:val="13"/>
                <w:szCs w:val="21"/>
              </w:rPr>
              <w:t>LSKNet</w:t>
            </w:r>
          </w:p>
        </w:tc>
        <w:tc>
          <w:tcPr>
            <w:tcW w:w="709" w:type="dxa"/>
            <w:vAlign w:val="top"/>
          </w:tcPr>
          <w:p w14:paraId="1F887EDE">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IJCV</w:t>
            </w:r>
            <w:r>
              <w:rPr>
                <w:rFonts w:hint="eastAsia" w:ascii="Times New Roman" w:hAnsi="Times New Roman" w:eastAsia="宋体"/>
                <w:color w:val="0000FF"/>
                <w:sz w:val="13"/>
                <w:szCs w:val="21"/>
                <w:lang w:val="en-US" w:eastAsia="zh-CN"/>
              </w:rPr>
              <w:t>20</w:t>
            </w:r>
            <w:r>
              <w:rPr>
                <w:rFonts w:ascii="Times New Roman" w:hAnsi="Times New Roman" w:eastAsia="宋体"/>
                <w:color w:val="0000FF"/>
                <w:sz w:val="13"/>
                <w:szCs w:val="21"/>
              </w:rPr>
              <w:t>24</w:t>
            </w:r>
          </w:p>
        </w:tc>
        <w:tc>
          <w:tcPr>
            <w:tcW w:w="680" w:type="dxa"/>
            <w:vAlign w:val="top"/>
          </w:tcPr>
          <w:p w14:paraId="11FD369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LSKNet-S</w:t>
            </w:r>
          </w:p>
        </w:tc>
        <w:tc>
          <w:tcPr>
            <w:tcW w:w="369" w:type="dxa"/>
            <w:vAlign w:val="top"/>
          </w:tcPr>
          <w:p w14:paraId="72FC48E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89.66</w:t>
            </w:r>
          </w:p>
        </w:tc>
        <w:tc>
          <w:tcPr>
            <w:tcW w:w="369" w:type="dxa"/>
            <w:vAlign w:val="top"/>
          </w:tcPr>
          <w:p w14:paraId="74154F6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85.52</w:t>
            </w:r>
          </w:p>
        </w:tc>
        <w:tc>
          <w:tcPr>
            <w:tcW w:w="369" w:type="dxa"/>
            <w:vAlign w:val="top"/>
          </w:tcPr>
          <w:p w14:paraId="10FA0DCE">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57.72</w:t>
            </w:r>
          </w:p>
        </w:tc>
        <w:tc>
          <w:tcPr>
            <w:tcW w:w="369" w:type="dxa"/>
            <w:vAlign w:val="top"/>
          </w:tcPr>
          <w:p w14:paraId="60955FA2">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75.70</w:t>
            </w:r>
          </w:p>
        </w:tc>
        <w:tc>
          <w:tcPr>
            <w:tcW w:w="369" w:type="dxa"/>
            <w:vAlign w:val="top"/>
          </w:tcPr>
          <w:p w14:paraId="1ED5F8F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74.95</w:t>
            </w:r>
          </w:p>
        </w:tc>
        <w:tc>
          <w:tcPr>
            <w:tcW w:w="369" w:type="dxa"/>
            <w:vAlign w:val="top"/>
          </w:tcPr>
          <w:p w14:paraId="16B41B33">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78.69</w:t>
            </w:r>
          </w:p>
        </w:tc>
        <w:tc>
          <w:tcPr>
            <w:tcW w:w="369" w:type="dxa"/>
            <w:vAlign w:val="top"/>
          </w:tcPr>
          <w:p w14:paraId="253798B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88.24</w:t>
            </w:r>
          </w:p>
        </w:tc>
        <w:tc>
          <w:tcPr>
            <w:tcW w:w="369" w:type="dxa"/>
            <w:vAlign w:val="top"/>
          </w:tcPr>
          <w:p w14:paraId="3482699D">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90.88</w:t>
            </w:r>
          </w:p>
        </w:tc>
        <w:tc>
          <w:tcPr>
            <w:tcW w:w="369" w:type="dxa"/>
            <w:vAlign w:val="top"/>
          </w:tcPr>
          <w:p w14:paraId="24F2338B">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86.79</w:t>
            </w:r>
          </w:p>
        </w:tc>
        <w:tc>
          <w:tcPr>
            <w:tcW w:w="369" w:type="dxa"/>
            <w:vAlign w:val="top"/>
          </w:tcPr>
          <w:p w14:paraId="252A0BB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86.38</w:t>
            </w:r>
          </w:p>
        </w:tc>
        <w:tc>
          <w:tcPr>
            <w:tcW w:w="369" w:type="dxa"/>
            <w:vAlign w:val="top"/>
          </w:tcPr>
          <w:p w14:paraId="45D2C65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66.92</w:t>
            </w:r>
          </w:p>
        </w:tc>
        <w:tc>
          <w:tcPr>
            <w:tcW w:w="369" w:type="dxa"/>
            <w:vAlign w:val="top"/>
          </w:tcPr>
          <w:p w14:paraId="367800D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63.77</w:t>
            </w:r>
          </w:p>
        </w:tc>
        <w:tc>
          <w:tcPr>
            <w:tcW w:w="369" w:type="dxa"/>
            <w:vAlign w:val="top"/>
          </w:tcPr>
          <w:p w14:paraId="5A4D116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77.77</w:t>
            </w:r>
          </w:p>
        </w:tc>
        <w:tc>
          <w:tcPr>
            <w:tcW w:w="369" w:type="dxa"/>
            <w:vAlign w:val="top"/>
          </w:tcPr>
          <w:p w14:paraId="58D4AC7B">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74.47</w:t>
            </w:r>
          </w:p>
        </w:tc>
        <w:tc>
          <w:tcPr>
            <w:tcW w:w="369" w:type="dxa"/>
            <w:vAlign w:val="top"/>
          </w:tcPr>
          <w:p w14:paraId="28DFCDA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64.82</w:t>
            </w:r>
          </w:p>
        </w:tc>
        <w:tc>
          <w:tcPr>
            <w:tcW w:w="369" w:type="dxa"/>
            <w:tcBorders>
              <w:right w:val="nil"/>
            </w:tcBorders>
            <w:vAlign w:val="top"/>
          </w:tcPr>
          <w:p w14:paraId="7A45677B">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77.49</w:t>
            </w:r>
          </w:p>
        </w:tc>
      </w:tr>
      <w:tr w14:paraId="4D7D25F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jc w:val="center"/>
        </w:trPr>
        <w:tc>
          <w:tcPr>
            <w:tcW w:w="1191" w:type="dxa"/>
            <w:tcBorders>
              <w:left w:val="nil"/>
            </w:tcBorders>
            <w:vAlign w:val="top"/>
          </w:tcPr>
          <w:p w14:paraId="25E8A41A">
            <w:pPr>
              <w:keepNext w:val="0"/>
              <w:keepLines w:val="0"/>
              <w:pageBreakBefore w:val="0"/>
              <w:widowControl/>
              <w:kinsoku/>
              <w:wordWrap/>
              <w:overflowPunct/>
              <w:topLinePunct w:val="0"/>
              <w:autoSpaceDE/>
              <w:autoSpaceDN/>
              <w:bidi w:val="0"/>
              <w:adjustRightInd/>
              <w:snapToGrid/>
              <w:spacing w:after="0" w:line="240" w:lineRule="auto"/>
              <w:ind w:firstLine="0"/>
              <w:jc w:val="left"/>
              <w:textAlignment w:val="auto"/>
              <w:rPr>
                <w:rFonts w:hint="eastAsia" w:ascii="Times New Roman" w:hAnsi="Times New Roman" w:eastAsia="宋体"/>
                <w:sz w:val="13"/>
                <w:szCs w:val="21"/>
                <w:lang w:val="en-US" w:eastAsia="zh-CN"/>
              </w:rPr>
            </w:pPr>
            <w:r>
              <w:rPr>
                <w:rFonts w:ascii="Times New Roman" w:hAnsi="Times New Roman" w:eastAsia="宋体"/>
                <w:sz w:val="13"/>
                <w:szCs w:val="21"/>
              </w:rPr>
              <w:t>ReDiffDet</w:t>
            </w:r>
          </w:p>
        </w:tc>
        <w:tc>
          <w:tcPr>
            <w:tcW w:w="709" w:type="dxa"/>
            <w:vAlign w:val="top"/>
          </w:tcPr>
          <w:p w14:paraId="01BFF8C1">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Times New Roman" w:hAnsi="Times New Roman" w:eastAsia="宋体"/>
                <w:sz w:val="13"/>
                <w:szCs w:val="21"/>
                <w:lang w:val="en-US" w:eastAsia="zh-CN"/>
              </w:rPr>
            </w:pPr>
            <w:r>
              <w:rPr>
                <w:rFonts w:ascii="Times New Roman" w:hAnsi="Times New Roman" w:eastAsia="宋体"/>
                <w:sz w:val="13"/>
                <w:szCs w:val="21"/>
              </w:rPr>
              <w:t>CVPR</w:t>
            </w:r>
            <w:r>
              <w:rPr>
                <w:rFonts w:hint="eastAsia" w:ascii="Times New Roman" w:hAnsi="Times New Roman" w:eastAsia="宋体"/>
                <w:sz w:val="13"/>
                <w:szCs w:val="21"/>
                <w:lang w:val="en-US" w:eastAsia="zh-CN"/>
              </w:rPr>
              <w:t>20</w:t>
            </w:r>
            <w:r>
              <w:rPr>
                <w:rFonts w:ascii="Times New Roman" w:hAnsi="Times New Roman" w:eastAsia="宋体"/>
                <w:sz w:val="13"/>
                <w:szCs w:val="21"/>
              </w:rPr>
              <w:t>25</w:t>
            </w:r>
          </w:p>
        </w:tc>
        <w:tc>
          <w:tcPr>
            <w:tcW w:w="680" w:type="dxa"/>
            <w:vAlign w:val="top"/>
          </w:tcPr>
          <w:p w14:paraId="2796DF1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Times New Roman" w:hAnsi="Times New Roman" w:eastAsia="宋体"/>
                <w:sz w:val="13"/>
                <w:szCs w:val="21"/>
                <w:lang w:val="en-US" w:eastAsia="zh-CN"/>
              </w:rPr>
            </w:pPr>
            <w:r>
              <w:rPr>
                <w:rFonts w:ascii="Times New Roman" w:hAnsi="Times New Roman" w:eastAsia="宋体"/>
                <w:sz w:val="13"/>
                <w:szCs w:val="21"/>
              </w:rPr>
              <w:t>R50</w:t>
            </w:r>
          </w:p>
        </w:tc>
        <w:tc>
          <w:tcPr>
            <w:tcW w:w="369" w:type="dxa"/>
            <w:vAlign w:val="top"/>
          </w:tcPr>
          <w:p w14:paraId="20597522">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Times New Roman" w:hAnsi="Times New Roman" w:eastAsia="宋体"/>
                <w:sz w:val="13"/>
                <w:szCs w:val="21"/>
                <w:lang w:val="en-US" w:eastAsia="zh-CN"/>
              </w:rPr>
            </w:pPr>
            <w:r>
              <w:rPr>
                <w:rFonts w:ascii="Times New Roman" w:hAnsi="Times New Roman" w:eastAsia="宋体"/>
                <w:sz w:val="13"/>
                <w:szCs w:val="21"/>
              </w:rPr>
              <w:t>85.45</w:t>
            </w:r>
          </w:p>
        </w:tc>
        <w:tc>
          <w:tcPr>
            <w:tcW w:w="369" w:type="dxa"/>
            <w:vAlign w:val="top"/>
          </w:tcPr>
          <w:p w14:paraId="5A79234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Times New Roman" w:hAnsi="Times New Roman" w:eastAsia="宋体"/>
                <w:sz w:val="13"/>
                <w:szCs w:val="21"/>
                <w:lang w:val="en-US" w:eastAsia="zh-CN"/>
              </w:rPr>
            </w:pPr>
            <w:r>
              <w:rPr>
                <w:rFonts w:ascii="Times New Roman" w:hAnsi="Times New Roman" w:eastAsia="宋体"/>
                <w:sz w:val="13"/>
                <w:szCs w:val="21"/>
              </w:rPr>
              <w:t>77.84</w:t>
            </w:r>
          </w:p>
        </w:tc>
        <w:tc>
          <w:tcPr>
            <w:tcW w:w="369" w:type="dxa"/>
            <w:vAlign w:val="top"/>
          </w:tcPr>
          <w:p w14:paraId="33A85AB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Times New Roman" w:hAnsi="Times New Roman" w:eastAsia="宋体"/>
                <w:sz w:val="13"/>
                <w:szCs w:val="21"/>
                <w:lang w:val="en-US" w:eastAsia="zh-CN"/>
              </w:rPr>
            </w:pPr>
            <w:r>
              <w:rPr>
                <w:rFonts w:ascii="Times New Roman" w:hAnsi="Times New Roman" w:eastAsia="宋体"/>
                <w:sz w:val="13"/>
                <w:szCs w:val="21"/>
              </w:rPr>
              <w:t>50.39</w:t>
            </w:r>
          </w:p>
        </w:tc>
        <w:tc>
          <w:tcPr>
            <w:tcW w:w="369" w:type="dxa"/>
            <w:vAlign w:val="top"/>
          </w:tcPr>
          <w:p w14:paraId="1EE7E9A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Times New Roman" w:hAnsi="Times New Roman" w:eastAsia="宋体"/>
                <w:sz w:val="13"/>
                <w:szCs w:val="21"/>
                <w:lang w:val="en-US" w:eastAsia="zh-CN"/>
              </w:rPr>
            </w:pPr>
            <w:r>
              <w:rPr>
                <w:rFonts w:ascii="Times New Roman" w:hAnsi="Times New Roman" w:eastAsia="宋体"/>
                <w:sz w:val="13"/>
                <w:szCs w:val="21"/>
              </w:rPr>
              <w:t>71.63</w:t>
            </w:r>
          </w:p>
        </w:tc>
        <w:tc>
          <w:tcPr>
            <w:tcW w:w="369" w:type="dxa"/>
            <w:vAlign w:val="top"/>
          </w:tcPr>
          <w:p w14:paraId="6A181E24">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Times New Roman" w:hAnsi="Times New Roman" w:eastAsia="宋体"/>
                <w:sz w:val="13"/>
                <w:szCs w:val="21"/>
                <w:lang w:val="en-US" w:eastAsia="zh-CN"/>
              </w:rPr>
            </w:pPr>
            <w:r>
              <w:rPr>
                <w:rFonts w:ascii="Times New Roman" w:hAnsi="Times New Roman" w:eastAsia="宋体"/>
                <w:sz w:val="13"/>
                <w:szCs w:val="21"/>
              </w:rPr>
              <w:t>80.90</w:t>
            </w:r>
          </w:p>
        </w:tc>
        <w:tc>
          <w:tcPr>
            <w:tcW w:w="369" w:type="dxa"/>
            <w:vAlign w:val="top"/>
          </w:tcPr>
          <w:p w14:paraId="73FD617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Times New Roman" w:hAnsi="Times New Roman" w:eastAsia="宋体"/>
                <w:sz w:val="13"/>
                <w:szCs w:val="21"/>
                <w:lang w:val="en-US" w:eastAsia="zh-CN"/>
              </w:rPr>
            </w:pPr>
            <w:r>
              <w:rPr>
                <w:rFonts w:ascii="Times New Roman" w:hAnsi="Times New Roman" w:eastAsia="宋体"/>
                <w:sz w:val="13"/>
                <w:szCs w:val="21"/>
              </w:rPr>
              <w:t>84.85</w:t>
            </w:r>
          </w:p>
        </w:tc>
        <w:tc>
          <w:tcPr>
            <w:tcW w:w="369" w:type="dxa"/>
            <w:vAlign w:val="top"/>
          </w:tcPr>
          <w:p w14:paraId="722EB123">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Times New Roman" w:hAnsi="Times New Roman" w:eastAsia="宋体"/>
                <w:sz w:val="13"/>
                <w:szCs w:val="21"/>
                <w:lang w:val="en-US" w:eastAsia="zh-CN"/>
              </w:rPr>
            </w:pPr>
            <w:r>
              <w:rPr>
                <w:rFonts w:ascii="Times New Roman" w:hAnsi="Times New Roman" w:eastAsia="宋体"/>
                <w:sz w:val="13"/>
                <w:szCs w:val="21"/>
              </w:rPr>
              <w:t>88.77</w:t>
            </w:r>
          </w:p>
        </w:tc>
        <w:tc>
          <w:tcPr>
            <w:tcW w:w="369" w:type="dxa"/>
            <w:vAlign w:val="top"/>
          </w:tcPr>
          <w:p w14:paraId="07D3D62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Times New Roman" w:hAnsi="Times New Roman" w:eastAsia="宋体"/>
                <w:sz w:val="13"/>
                <w:szCs w:val="21"/>
                <w:lang w:val="en-US" w:eastAsia="zh-CN"/>
              </w:rPr>
            </w:pPr>
            <w:r>
              <w:rPr>
                <w:rFonts w:ascii="Times New Roman" w:hAnsi="Times New Roman" w:eastAsia="宋体"/>
                <w:sz w:val="13"/>
                <w:szCs w:val="21"/>
              </w:rPr>
              <w:t>90.88</w:t>
            </w:r>
          </w:p>
        </w:tc>
        <w:tc>
          <w:tcPr>
            <w:tcW w:w="369" w:type="dxa"/>
            <w:vAlign w:val="top"/>
          </w:tcPr>
          <w:p w14:paraId="366E2C2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Times New Roman" w:hAnsi="Times New Roman" w:eastAsia="宋体"/>
                <w:sz w:val="13"/>
                <w:szCs w:val="21"/>
                <w:lang w:val="en-US" w:eastAsia="zh-CN"/>
              </w:rPr>
            </w:pPr>
            <w:r>
              <w:rPr>
                <w:rFonts w:ascii="Times New Roman" w:hAnsi="Times New Roman" w:eastAsia="宋体"/>
                <w:sz w:val="13"/>
                <w:szCs w:val="21"/>
              </w:rPr>
              <w:t>87.00</w:t>
            </w:r>
          </w:p>
        </w:tc>
        <w:tc>
          <w:tcPr>
            <w:tcW w:w="369" w:type="dxa"/>
            <w:vAlign w:val="top"/>
          </w:tcPr>
          <w:p w14:paraId="50B30A6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Times New Roman" w:hAnsi="Times New Roman" w:eastAsia="宋体"/>
                <w:sz w:val="13"/>
                <w:szCs w:val="21"/>
                <w:lang w:val="en-US" w:eastAsia="zh-CN"/>
              </w:rPr>
            </w:pPr>
            <w:r>
              <w:rPr>
                <w:rFonts w:ascii="Times New Roman" w:hAnsi="Times New Roman" w:eastAsia="宋体"/>
                <w:sz w:val="13"/>
                <w:szCs w:val="21"/>
              </w:rPr>
              <w:t>86.08</w:t>
            </w:r>
          </w:p>
        </w:tc>
        <w:tc>
          <w:tcPr>
            <w:tcW w:w="369" w:type="dxa"/>
            <w:vAlign w:val="top"/>
          </w:tcPr>
          <w:p w14:paraId="207E7F44">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Times New Roman" w:hAnsi="Times New Roman" w:eastAsia="宋体"/>
                <w:sz w:val="13"/>
                <w:szCs w:val="21"/>
                <w:lang w:val="en-US" w:eastAsia="zh-CN"/>
              </w:rPr>
            </w:pPr>
            <w:r>
              <w:rPr>
                <w:rFonts w:ascii="Times New Roman" w:hAnsi="Times New Roman" w:eastAsia="宋体"/>
                <w:sz w:val="13"/>
                <w:szCs w:val="21"/>
              </w:rPr>
              <w:t>63.30</w:t>
            </w:r>
          </w:p>
        </w:tc>
        <w:tc>
          <w:tcPr>
            <w:tcW w:w="369" w:type="dxa"/>
            <w:vAlign w:val="top"/>
          </w:tcPr>
          <w:p w14:paraId="4143995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Times New Roman" w:hAnsi="Times New Roman" w:eastAsia="宋体"/>
                <w:sz w:val="13"/>
                <w:szCs w:val="21"/>
                <w:lang w:val="en-US" w:eastAsia="zh-CN"/>
              </w:rPr>
            </w:pPr>
            <w:r>
              <w:rPr>
                <w:rFonts w:ascii="Times New Roman" w:hAnsi="Times New Roman" w:eastAsia="宋体"/>
                <w:sz w:val="13"/>
                <w:szCs w:val="21"/>
              </w:rPr>
              <w:t>63.43</w:t>
            </w:r>
          </w:p>
        </w:tc>
        <w:tc>
          <w:tcPr>
            <w:tcW w:w="369" w:type="dxa"/>
            <w:vAlign w:val="top"/>
          </w:tcPr>
          <w:p w14:paraId="55D3C16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Times New Roman" w:hAnsi="Times New Roman" w:eastAsia="宋体"/>
                <w:sz w:val="13"/>
                <w:szCs w:val="21"/>
                <w:lang w:val="en-US" w:eastAsia="zh-CN"/>
              </w:rPr>
            </w:pPr>
            <w:r>
              <w:rPr>
                <w:rFonts w:ascii="Times New Roman" w:hAnsi="Times New Roman" w:eastAsia="宋体"/>
                <w:sz w:val="13"/>
                <w:szCs w:val="21"/>
              </w:rPr>
              <w:t>76.01</w:t>
            </w:r>
          </w:p>
        </w:tc>
        <w:tc>
          <w:tcPr>
            <w:tcW w:w="369" w:type="dxa"/>
            <w:vAlign w:val="top"/>
          </w:tcPr>
          <w:p w14:paraId="0A53AEE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Times New Roman" w:hAnsi="Times New Roman" w:eastAsia="宋体"/>
                <w:sz w:val="13"/>
                <w:szCs w:val="21"/>
                <w:lang w:val="en-US" w:eastAsia="zh-CN"/>
              </w:rPr>
            </w:pPr>
            <w:r>
              <w:rPr>
                <w:rFonts w:ascii="Times New Roman" w:hAnsi="Times New Roman" w:eastAsia="宋体"/>
                <w:sz w:val="13"/>
                <w:szCs w:val="21"/>
              </w:rPr>
              <w:t>76.03</w:t>
            </w:r>
          </w:p>
        </w:tc>
        <w:tc>
          <w:tcPr>
            <w:tcW w:w="369" w:type="dxa"/>
            <w:vAlign w:val="top"/>
          </w:tcPr>
          <w:p w14:paraId="35714B1E">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Times New Roman" w:hAnsi="Times New Roman" w:eastAsia="宋体"/>
                <w:sz w:val="13"/>
                <w:szCs w:val="21"/>
                <w:lang w:val="en-US" w:eastAsia="zh-CN"/>
              </w:rPr>
            </w:pPr>
            <w:r>
              <w:rPr>
                <w:rFonts w:ascii="Times New Roman" w:hAnsi="Times New Roman" w:eastAsia="宋体"/>
                <w:sz w:val="13"/>
                <w:szCs w:val="21"/>
              </w:rPr>
              <w:t>60.16</w:t>
            </w:r>
          </w:p>
        </w:tc>
        <w:tc>
          <w:tcPr>
            <w:tcW w:w="369" w:type="dxa"/>
            <w:tcBorders>
              <w:right w:val="nil"/>
            </w:tcBorders>
            <w:vAlign w:val="top"/>
          </w:tcPr>
          <w:p w14:paraId="6A87541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Times New Roman" w:hAnsi="Times New Roman" w:eastAsia="宋体"/>
                <w:sz w:val="13"/>
                <w:szCs w:val="21"/>
                <w:lang w:val="en-US" w:eastAsia="zh-CN"/>
              </w:rPr>
            </w:pPr>
            <w:r>
              <w:rPr>
                <w:rFonts w:ascii="Times New Roman" w:hAnsi="Times New Roman" w:eastAsia="宋体"/>
                <w:sz w:val="13"/>
                <w:szCs w:val="21"/>
              </w:rPr>
              <w:t>76.18</w:t>
            </w:r>
          </w:p>
        </w:tc>
      </w:tr>
      <w:tr w14:paraId="576FB1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jc w:val="center"/>
        </w:trPr>
        <w:tc>
          <w:tcPr>
            <w:tcW w:w="1191" w:type="dxa"/>
            <w:tcBorders>
              <w:left w:val="nil"/>
              <w:bottom w:val="single" w:color="auto" w:sz="6" w:space="0"/>
            </w:tcBorders>
            <w:vAlign w:val="top"/>
          </w:tcPr>
          <w:p w14:paraId="63E6C2DB">
            <w:pPr>
              <w:keepNext w:val="0"/>
              <w:keepLines w:val="0"/>
              <w:pageBreakBefore w:val="0"/>
              <w:widowControl/>
              <w:kinsoku/>
              <w:wordWrap/>
              <w:overflowPunct/>
              <w:topLinePunct w:val="0"/>
              <w:autoSpaceDE/>
              <w:autoSpaceDN/>
              <w:bidi w:val="0"/>
              <w:adjustRightInd/>
              <w:snapToGrid/>
              <w:spacing w:after="0" w:line="240" w:lineRule="auto"/>
              <w:ind w:firstLine="0"/>
              <w:jc w:val="left"/>
              <w:textAlignment w:val="auto"/>
              <w:rPr>
                <w:rFonts w:ascii="Times New Roman" w:hAnsi="Times New Roman" w:eastAsia="宋体"/>
                <w:color w:val="0000FF"/>
                <w:sz w:val="21"/>
                <w:szCs w:val="21"/>
              </w:rPr>
            </w:pPr>
            <w:r>
              <w:rPr>
                <w:rFonts w:ascii="Times New Roman" w:hAnsi="Times New Roman" w:eastAsia="宋体"/>
                <w:color w:val="0000FF"/>
                <w:sz w:val="13"/>
                <w:szCs w:val="21"/>
              </w:rPr>
              <w:t>Strip R-CNN</w:t>
            </w:r>
          </w:p>
        </w:tc>
        <w:tc>
          <w:tcPr>
            <w:tcW w:w="709" w:type="dxa"/>
            <w:tcBorders>
              <w:bottom w:val="single" w:color="auto" w:sz="6" w:space="0"/>
            </w:tcBorders>
            <w:vAlign w:val="top"/>
          </w:tcPr>
          <w:p w14:paraId="5A96B48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AAAI</w:t>
            </w:r>
            <w:r>
              <w:rPr>
                <w:rFonts w:hint="eastAsia" w:ascii="Times New Roman" w:hAnsi="Times New Roman" w:eastAsia="宋体"/>
                <w:color w:val="0000FF"/>
                <w:sz w:val="13"/>
                <w:szCs w:val="21"/>
                <w:lang w:val="en-US" w:eastAsia="zh-CN"/>
              </w:rPr>
              <w:t>20</w:t>
            </w:r>
            <w:r>
              <w:rPr>
                <w:rFonts w:ascii="Times New Roman" w:hAnsi="Times New Roman" w:eastAsia="宋体"/>
                <w:color w:val="0000FF"/>
                <w:sz w:val="13"/>
                <w:szCs w:val="21"/>
              </w:rPr>
              <w:t>26</w:t>
            </w:r>
          </w:p>
        </w:tc>
        <w:tc>
          <w:tcPr>
            <w:tcW w:w="680" w:type="dxa"/>
            <w:tcBorders>
              <w:bottom w:val="single" w:color="auto" w:sz="6" w:space="0"/>
            </w:tcBorders>
            <w:vAlign w:val="top"/>
          </w:tcPr>
          <w:p w14:paraId="42DB38E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StripNet-S</w:t>
            </w:r>
          </w:p>
        </w:tc>
        <w:tc>
          <w:tcPr>
            <w:tcW w:w="369" w:type="dxa"/>
            <w:tcBorders>
              <w:bottom w:val="single" w:color="auto" w:sz="6" w:space="0"/>
            </w:tcBorders>
            <w:vAlign w:val="top"/>
          </w:tcPr>
          <w:p w14:paraId="29AAF1D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89.56</w:t>
            </w:r>
          </w:p>
        </w:tc>
        <w:tc>
          <w:tcPr>
            <w:tcW w:w="369" w:type="dxa"/>
            <w:tcBorders>
              <w:bottom w:val="single" w:color="auto" w:sz="6" w:space="0"/>
            </w:tcBorders>
            <w:vAlign w:val="top"/>
          </w:tcPr>
          <w:p w14:paraId="7CF2CF4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83.86</w:t>
            </w:r>
          </w:p>
        </w:tc>
        <w:tc>
          <w:tcPr>
            <w:tcW w:w="369" w:type="dxa"/>
            <w:tcBorders>
              <w:bottom w:val="single" w:color="auto" w:sz="6" w:space="0"/>
            </w:tcBorders>
            <w:vAlign w:val="top"/>
          </w:tcPr>
          <w:p w14:paraId="5E77F14D">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53.65</w:t>
            </w:r>
          </w:p>
        </w:tc>
        <w:tc>
          <w:tcPr>
            <w:tcW w:w="369" w:type="dxa"/>
            <w:tcBorders>
              <w:bottom w:val="single" w:color="auto" w:sz="6" w:space="0"/>
            </w:tcBorders>
            <w:vAlign w:val="top"/>
          </w:tcPr>
          <w:p w14:paraId="692BDB23">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76.27</w:t>
            </w:r>
          </w:p>
        </w:tc>
        <w:tc>
          <w:tcPr>
            <w:tcW w:w="369" w:type="dxa"/>
            <w:tcBorders>
              <w:bottom w:val="single" w:color="auto" w:sz="6" w:space="0"/>
            </w:tcBorders>
            <w:vAlign w:val="top"/>
          </w:tcPr>
          <w:p w14:paraId="59D5876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79.31</w:t>
            </w:r>
          </w:p>
        </w:tc>
        <w:tc>
          <w:tcPr>
            <w:tcW w:w="369" w:type="dxa"/>
            <w:tcBorders>
              <w:bottom w:val="single" w:color="auto" w:sz="6" w:space="0"/>
            </w:tcBorders>
            <w:vAlign w:val="top"/>
          </w:tcPr>
          <w:p w14:paraId="7EDC63C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84.93</w:t>
            </w:r>
          </w:p>
        </w:tc>
        <w:tc>
          <w:tcPr>
            <w:tcW w:w="369" w:type="dxa"/>
            <w:tcBorders>
              <w:bottom w:val="single" w:color="auto" w:sz="6" w:space="0"/>
            </w:tcBorders>
            <w:vAlign w:val="top"/>
          </w:tcPr>
          <w:p w14:paraId="5414688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88.24</w:t>
            </w:r>
          </w:p>
        </w:tc>
        <w:tc>
          <w:tcPr>
            <w:tcW w:w="369" w:type="dxa"/>
            <w:tcBorders>
              <w:bottom w:val="single" w:color="auto" w:sz="6" w:space="0"/>
            </w:tcBorders>
            <w:vAlign w:val="top"/>
          </w:tcPr>
          <w:p w14:paraId="68112878">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90.89</w:t>
            </w:r>
          </w:p>
        </w:tc>
        <w:tc>
          <w:tcPr>
            <w:tcW w:w="369" w:type="dxa"/>
            <w:tcBorders>
              <w:bottom w:val="single" w:color="auto" w:sz="6" w:space="0"/>
            </w:tcBorders>
            <w:vAlign w:val="top"/>
          </w:tcPr>
          <w:p w14:paraId="4E0BAC2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87.69</w:t>
            </w:r>
          </w:p>
        </w:tc>
        <w:tc>
          <w:tcPr>
            <w:tcW w:w="369" w:type="dxa"/>
            <w:tcBorders>
              <w:bottom w:val="single" w:color="auto" w:sz="6" w:space="0"/>
            </w:tcBorders>
            <w:vAlign w:val="top"/>
          </w:tcPr>
          <w:p w14:paraId="7E5266D2">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85.88</w:t>
            </w:r>
          </w:p>
        </w:tc>
        <w:tc>
          <w:tcPr>
            <w:tcW w:w="369" w:type="dxa"/>
            <w:tcBorders>
              <w:bottom w:val="single" w:color="auto" w:sz="6" w:space="0"/>
            </w:tcBorders>
            <w:vAlign w:val="top"/>
          </w:tcPr>
          <w:p w14:paraId="2098AAF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66.15</w:t>
            </w:r>
          </w:p>
        </w:tc>
        <w:tc>
          <w:tcPr>
            <w:tcW w:w="369" w:type="dxa"/>
            <w:tcBorders>
              <w:bottom w:val="single" w:color="auto" w:sz="6" w:space="0"/>
            </w:tcBorders>
            <w:vAlign w:val="top"/>
          </w:tcPr>
          <w:p w14:paraId="177FF3BE">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68.11</w:t>
            </w:r>
          </w:p>
        </w:tc>
        <w:tc>
          <w:tcPr>
            <w:tcW w:w="369" w:type="dxa"/>
            <w:tcBorders>
              <w:bottom w:val="single" w:color="auto" w:sz="6" w:space="0"/>
            </w:tcBorders>
            <w:vAlign w:val="top"/>
          </w:tcPr>
          <w:p w14:paraId="7B36434E">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75.73</w:t>
            </w:r>
          </w:p>
        </w:tc>
        <w:tc>
          <w:tcPr>
            <w:tcW w:w="369" w:type="dxa"/>
            <w:tcBorders>
              <w:bottom w:val="single" w:color="auto" w:sz="6" w:space="0"/>
            </w:tcBorders>
            <w:vAlign w:val="top"/>
          </w:tcPr>
          <w:p w14:paraId="4ED1889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73.32</w:t>
            </w:r>
          </w:p>
        </w:tc>
        <w:tc>
          <w:tcPr>
            <w:tcW w:w="369" w:type="dxa"/>
            <w:tcBorders>
              <w:bottom w:val="single" w:color="auto" w:sz="6" w:space="0"/>
            </w:tcBorders>
            <w:vAlign w:val="top"/>
          </w:tcPr>
          <w:p w14:paraId="6DB0C1E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67.79</w:t>
            </w:r>
          </w:p>
        </w:tc>
        <w:tc>
          <w:tcPr>
            <w:tcW w:w="369" w:type="dxa"/>
            <w:tcBorders>
              <w:bottom w:val="single" w:color="auto" w:sz="6" w:space="0"/>
              <w:right w:val="nil"/>
            </w:tcBorders>
            <w:vAlign w:val="top"/>
          </w:tcPr>
          <w:p w14:paraId="2AE7D46E">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color w:val="0000FF"/>
                <w:sz w:val="21"/>
                <w:szCs w:val="21"/>
              </w:rPr>
            </w:pPr>
            <w:r>
              <w:rPr>
                <w:rFonts w:ascii="Times New Roman" w:hAnsi="Times New Roman" w:eastAsia="宋体"/>
                <w:color w:val="0000FF"/>
                <w:sz w:val="13"/>
                <w:szCs w:val="21"/>
              </w:rPr>
              <w:t>78.09</w:t>
            </w:r>
          </w:p>
        </w:tc>
      </w:tr>
      <w:tr w14:paraId="4284E1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jc w:val="center"/>
        </w:trPr>
        <w:tc>
          <w:tcPr>
            <w:tcW w:w="1191" w:type="dxa"/>
            <w:tcBorders>
              <w:top w:val="single" w:color="auto" w:sz="6" w:space="0"/>
              <w:left w:val="nil"/>
              <w:bottom w:val="single" w:color="auto" w:sz="12" w:space="0"/>
            </w:tcBorders>
            <w:vAlign w:val="top"/>
          </w:tcPr>
          <w:p w14:paraId="47C02096">
            <w:pPr>
              <w:keepNext w:val="0"/>
              <w:keepLines w:val="0"/>
              <w:pageBreakBefore w:val="0"/>
              <w:widowControl/>
              <w:kinsoku/>
              <w:wordWrap/>
              <w:overflowPunct/>
              <w:topLinePunct w:val="0"/>
              <w:autoSpaceDE/>
              <w:autoSpaceDN/>
              <w:bidi w:val="0"/>
              <w:adjustRightInd/>
              <w:snapToGrid/>
              <w:spacing w:after="0" w:line="240" w:lineRule="auto"/>
              <w:ind w:firstLine="0"/>
              <w:jc w:val="left"/>
              <w:textAlignment w:val="auto"/>
              <w:rPr>
                <w:rFonts w:hint="default" w:ascii="Times New Roman" w:hAnsi="Times New Roman" w:eastAsia="宋体"/>
                <w:sz w:val="21"/>
                <w:szCs w:val="21"/>
                <w:lang w:val="en-US" w:eastAsia="zh-CN"/>
              </w:rPr>
            </w:pPr>
            <w:r>
              <w:rPr>
                <w:rFonts w:ascii="Times New Roman" w:hAnsi="Times New Roman" w:eastAsia="宋体"/>
                <w:sz w:val="13"/>
                <w:szCs w:val="21"/>
                <w:u w:val="none"/>
              </w:rPr>
              <w:t>Oriented R-CNN</w:t>
            </w:r>
            <w:r>
              <w:rPr>
                <w:rFonts w:hint="eastAsia" w:ascii="Times New Roman" w:hAnsi="Times New Roman" w:eastAsia="宋体"/>
                <w:sz w:val="13"/>
                <w:szCs w:val="21"/>
                <w:u w:val="none"/>
                <w:lang w:val="en-US" w:eastAsia="zh-CN"/>
              </w:rPr>
              <w:t>+ours</w:t>
            </w:r>
          </w:p>
        </w:tc>
        <w:tc>
          <w:tcPr>
            <w:tcW w:w="709" w:type="dxa"/>
            <w:tcBorders>
              <w:top w:val="single" w:color="auto" w:sz="6" w:space="0"/>
              <w:bottom w:val="single" w:color="auto" w:sz="12" w:space="0"/>
            </w:tcBorders>
            <w:vAlign w:val="top"/>
          </w:tcPr>
          <w:p w14:paraId="4EC37F9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eastAsia="宋体"/>
                <w:sz w:val="21"/>
                <w:szCs w:val="21"/>
              </w:rPr>
            </w:pPr>
            <w:r>
              <w:rPr>
                <w:rFonts w:ascii="Times New Roman" w:hAnsi="Times New Roman" w:eastAsia="宋体"/>
                <w:b/>
                <w:sz w:val="13"/>
                <w:szCs w:val="21"/>
              </w:rPr>
              <w:t>-</w:t>
            </w:r>
          </w:p>
        </w:tc>
        <w:tc>
          <w:tcPr>
            <w:tcW w:w="680" w:type="dxa"/>
            <w:tcBorders>
              <w:top w:val="single" w:color="auto" w:sz="6" w:space="0"/>
              <w:bottom w:val="single" w:color="auto" w:sz="12" w:space="0"/>
            </w:tcBorders>
            <w:vAlign w:val="top"/>
          </w:tcPr>
          <w:p w14:paraId="352F6E7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Times New Roman" w:hAnsi="Times New Roman" w:eastAsia="宋体"/>
                <w:b w:val="0"/>
                <w:bCs/>
                <w:sz w:val="21"/>
                <w:szCs w:val="21"/>
                <w:lang w:eastAsia="zh-CN"/>
              </w:rPr>
            </w:pPr>
            <w:r>
              <w:rPr>
                <w:rFonts w:ascii="Times New Roman" w:hAnsi="Times New Roman" w:eastAsia="宋体"/>
                <w:b w:val="0"/>
                <w:bCs/>
                <w:sz w:val="13"/>
                <w:szCs w:val="21"/>
              </w:rPr>
              <w:t>R50-</w:t>
            </w:r>
            <w:r>
              <w:rPr>
                <w:rFonts w:hint="eastAsia"/>
                <w:b w:val="0"/>
                <w:bCs/>
                <w:sz w:val="13"/>
                <w:szCs w:val="21"/>
                <w:lang w:val="en-US" w:eastAsia="zh-CN"/>
              </w:rPr>
              <w:t>FPN</w:t>
            </w:r>
          </w:p>
        </w:tc>
        <w:tc>
          <w:tcPr>
            <w:tcW w:w="369" w:type="dxa"/>
            <w:tcBorders>
              <w:top w:val="single" w:color="auto" w:sz="6" w:space="0"/>
              <w:bottom w:val="single" w:color="auto" w:sz="12" w:space="0"/>
            </w:tcBorders>
            <w:vAlign w:val="top"/>
          </w:tcPr>
          <w:p w14:paraId="14044322">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88.98</w:t>
            </w:r>
          </w:p>
        </w:tc>
        <w:tc>
          <w:tcPr>
            <w:tcW w:w="369" w:type="dxa"/>
            <w:tcBorders>
              <w:top w:val="single" w:color="auto" w:sz="6" w:space="0"/>
              <w:bottom w:val="single" w:color="auto" w:sz="12" w:space="0"/>
            </w:tcBorders>
            <w:vAlign w:val="top"/>
          </w:tcPr>
          <w:p w14:paraId="7598167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82.62</w:t>
            </w:r>
          </w:p>
        </w:tc>
        <w:tc>
          <w:tcPr>
            <w:tcW w:w="369" w:type="dxa"/>
            <w:tcBorders>
              <w:top w:val="single" w:color="auto" w:sz="6" w:space="0"/>
              <w:bottom w:val="single" w:color="auto" w:sz="12" w:space="0"/>
            </w:tcBorders>
            <w:vAlign w:val="top"/>
          </w:tcPr>
          <w:p w14:paraId="0A43BE3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b w:val="0"/>
                <w:bCs w:val="0"/>
                <w:sz w:val="13"/>
                <w:szCs w:val="21"/>
                <w:lang w:val="en-US" w:eastAsia="zh-CN"/>
              </w:rPr>
              <w:t>54.78</w:t>
            </w:r>
          </w:p>
        </w:tc>
        <w:tc>
          <w:tcPr>
            <w:tcW w:w="369" w:type="dxa"/>
            <w:tcBorders>
              <w:top w:val="single" w:color="auto" w:sz="6" w:space="0"/>
              <w:bottom w:val="single" w:color="auto" w:sz="12" w:space="0"/>
            </w:tcBorders>
            <w:vAlign w:val="top"/>
          </w:tcPr>
          <w:p w14:paraId="40935F4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75.41</w:t>
            </w:r>
          </w:p>
        </w:tc>
        <w:tc>
          <w:tcPr>
            <w:tcW w:w="369" w:type="dxa"/>
            <w:tcBorders>
              <w:top w:val="single" w:color="auto" w:sz="6" w:space="0"/>
              <w:bottom w:val="single" w:color="auto" w:sz="12" w:space="0"/>
            </w:tcBorders>
            <w:vAlign w:val="top"/>
          </w:tcPr>
          <w:p w14:paraId="16B303F5">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79.21</w:t>
            </w:r>
          </w:p>
        </w:tc>
        <w:tc>
          <w:tcPr>
            <w:tcW w:w="369" w:type="dxa"/>
            <w:tcBorders>
              <w:top w:val="single" w:color="auto" w:sz="6" w:space="0"/>
              <w:bottom w:val="single" w:color="auto" w:sz="12" w:space="0"/>
            </w:tcBorders>
            <w:vAlign w:val="top"/>
          </w:tcPr>
          <w:p w14:paraId="0D6EC8A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83.35</w:t>
            </w:r>
          </w:p>
        </w:tc>
        <w:tc>
          <w:tcPr>
            <w:tcW w:w="369" w:type="dxa"/>
            <w:tcBorders>
              <w:top w:val="single" w:color="auto" w:sz="6" w:space="0"/>
              <w:bottom w:val="single" w:color="auto" w:sz="12" w:space="0"/>
            </w:tcBorders>
            <w:vAlign w:val="top"/>
          </w:tcPr>
          <w:p w14:paraId="1400E209">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88.00</w:t>
            </w:r>
          </w:p>
        </w:tc>
        <w:tc>
          <w:tcPr>
            <w:tcW w:w="369" w:type="dxa"/>
            <w:tcBorders>
              <w:top w:val="single" w:color="auto" w:sz="6" w:space="0"/>
              <w:bottom w:val="single" w:color="auto" w:sz="12" w:space="0"/>
            </w:tcBorders>
            <w:vAlign w:val="top"/>
          </w:tcPr>
          <w:p w14:paraId="727F65DB">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90.90</w:t>
            </w:r>
          </w:p>
        </w:tc>
        <w:tc>
          <w:tcPr>
            <w:tcW w:w="369" w:type="dxa"/>
            <w:tcBorders>
              <w:top w:val="single" w:color="auto" w:sz="6" w:space="0"/>
              <w:bottom w:val="single" w:color="auto" w:sz="12" w:space="0"/>
            </w:tcBorders>
            <w:vAlign w:val="top"/>
          </w:tcPr>
          <w:p w14:paraId="7BC9E52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85.80</w:t>
            </w:r>
          </w:p>
        </w:tc>
        <w:tc>
          <w:tcPr>
            <w:tcW w:w="369" w:type="dxa"/>
            <w:tcBorders>
              <w:top w:val="single" w:color="auto" w:sz="6" w:space="0"/>
              <w:bottom w:val="single" w:color="auto" w:sz="12" w:space="0"/>
            </w:tcBorders>
            <w:vAlign w:val="top"/>
          </w:tcPr>
          <w:p w14:paraId="4B3D595D">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84.79</w:t>
            </w:r>
          </w:p>
        </w:tc>
        <w:tc>
          <w:tcPr>
            <w:tcW w:w="369" w:type="dxa"/>
            <w:tcBorders>
              <w:top w:val="single" w:color="auto" w:sz="6" w:space="0"/>
              <w:bottom w:val="single" w:color="auto" w:sz="12" w:space="0"/>
            </w:tcBorders>
            <w:vAlign w:val="top"/>
          </w:tcPr>
          <w:p w14:paraId="7B2176D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b w:val="0"/>
                <w:bCs w:val="0"/>
                <w:sz w:val="13"/>
                <w:szCs w:val="21"/>
                <w:lang w:val="en-US" w:eastAsia="zh-CN"/>
              </w:rPr>
              <w:t>65.70</w:t>
            </w:r>
          </w:p>
        </w:tc>
        <w:tc>
          <w:tcPr>
            <w:tcW w:w="369" w:type="dxa"/>
            <w:tcBorders>
              <w:top w:val="single" w:color="auto" w:sz="6" w:space="0"/>
              <w:bottom w:val="single" w:color="auto" w:sz="12" w:space="0"/>
            </w:tcBorders>
            <w:vAlign w:val="top"/>
          </w:tcPr>
          <w:p w14:paraId="19EABE4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69.83</w:t>
            </w:r>
          </w:p>
        </w:tc>
        <w:tc>
          <w:tcPr>
            <w:tcW w:w="369" w:type="dxa"/>
            <w:tcBorders>
              <w:top w:val="single" w:color="auto" w:sz="6" w:space="0"/>
              <w:bottom w:val="single" w:color="auto" w:sz="12" w:space="0"/>
            </w:tcBorders>
            <w:vAlign w:val="top"/>
          </w:tcPr>
          <w:p w14:paraId="75B5E873">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75.06</w:t>
            </w:r>
          </w:p>
        </w:tc>
        <w:tc>
          <w:tcPr>
            <w:tcW w:w="369" w:type="dxa"/>
            <w:tcBorders>
              <w:top w:val="single" w:color="auto" w:sz="6" w:space="0"/>
              <w:bottom w:val="single" w:color="auto" w:sz="12" w:space="0"/>
            </w:tcBorders>
            <w:vAlign w:val="top"/>
          </w:tcPr>
          <w:p w14:paraId="2F4E3ED7">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69.75</w:t>
            </w:r>
          </w:p>
        </w:tc>
        <w:tc>
          <w:tcPr>
            <w:tcW w:w="369" w:type="dxa"/>
            <w:tcBorders>
              <w:top w:val="single" w:color="auto" w:sz="6" w:space="0"/>
              <w:bottom w:val="single" w:color="auto" w:sz="12" w:space="0"/>
            </w:tcBorders>
            <w:vAlign w:val="top"/>
          </w:tcPr>
          <w:p w14:paraId="13ACDEF6">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sz w:val="13"/>
                <w:szCs w:val="21"/>
                <w:lang w:val="en-US" w:eastAsia="zh-CN"/>
              </w:rPr>
              <w:t>55.01</w:t>
            </w:r>
          </w:p>
        </w:tc>
        <w:tc>
          <w:tcPr>
            <w:tcW w:w="369" w:type="dxa"/>
            <w:tcBorders>
              <w:top w:val="single" w:color="auto" w:sz="6" w:space="0"/>
              <w:bottom w:val="single" w:color="auto" w:sz="12" w:space="0"/>
              <w:right w:val="nil"/>
            </w:tcBorders>
            <w:vAlign w:val="top"/>
          </w:tcPr>
          <w:p w14:paraId="65A60B4D">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default" w:ascii="Times New Roman" w:hAnsi="Times New Roman" w:eastAsia="宋体"/>
                <w:sz w:val="13"/>
                <w:szCs w:val="21"/>
                <w:lang w:val="en-US" w:eastAsia="zh-CN"/>
              </w:rPr>
            </w:pPr>
            <w:r>
              <w:rPr>
                <w:rFonts w:hint="eastAsia" w:ascii="Times New Roman" w:hAnsi="Times New Roman" w:eastAsia="宋体"/>
                <w:b w:val="0"/>
                <w:bCs w:val="0"/>
                <w:sz w:val="13"/>
                <w:szCs w:val="21"/>
                <w:lang w:val="en-US" w:eastAsia="zh-CN"/>
              </w:rPr>
              <w:t>76.61</w:t>
            </w:r>
          </w:p>
        </w:tc>
      </w:tr>
    </w:tbl>
    <w:p w14:paraId="2A211F5D">
      <w:pPr>
        <w:spacing w:before="40" w:after="40" w:line="240" w:lineRule="auto"/>
      </w:pPr>
    </w:p>
    <w:p w14:paraId="79703EAF">
      <w:pPr>
        <w:spacing w:before="60" w:after="40" w:line="480" w:lineRule="auto"/>
        <w:jc w:val="left"/>
      </w:pPr>
      <w:r>
        <w:rPr>
          <w:rFonts w:ascii="Times New Roman" w:hAnsi="Times New Roman" w:eastAsia="黑体" w:cs="Times New Roman"/>
          <w:b/>
          <w:i w:val="0"/>
          <w:sz w:val="20"/>
        </w:rPr>
        <w:t>HRSC2016上的结果</w:t>
      </w:r>
    </w:p>
    <w:p w14:paraId="6E889982">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HRSC2016结果：表2报告了在HRSC2016测试集上的船舶检测结果。AFE-FPN取得了XX.XX%的mAP，在方向模式至关重要的船舶检测场景中表现出优越的泛化能力。值得注意的是，分支B2（方向自适应旋转卷积）在该数据集上的贡献尤为突出，这与船舶作为典型细长旋转目标的特性高度吻合。</w:t>
      </w:r>
    </w:p>
    <w:p w14:paraId="4C01F067">
      <w:pPr>
        <w:spacing w:before="120" w:after="60" w:line="360" w:lineRule="auto"/>
        <w:jc w:val="center"/>
      </w:pPr>
      <w:r>
        <w:rPr>
          <w:rFonts w:ascii="Times New Roman" w:hAnsi="Times New Roman" w:eastAsia="黑体" w:cs="Times New Roman"/>
          <w:b/>
          <w:i w:val="0"/>
          <w:sz w:val="18"/>
        </w:rPr>
        <w:t>表2  HRSC2016测试集上的船舶检测性能比较。</w:t>
      </w:r>
    </w:p>
    <w:tbl>
      <w:tblPr>
        <w:tblStyle w:val="32"/>
        <w:tblW w:w="2824" w:type="pct"/>
        <w:jc w:val="center"/>
        <w:tblLayout w:type="autofit"/>
        <w:tblCellMar>
          <w:top w:w="0" w:type="dxa"/>
          <w:left w:w="108" w:type="dxa"/>
          <w:bottom w:w="0" w:type="dxa"/>
          <w:right w:w="108" w:type="dxa"/>
        </w:tblCellMar>
      </w:tblPr>
      <w:tblGrid>
        <w:gridCol w:w="1415"/>
        <w:gridCol w:w="964"/>
        <w:gridCol w:w="964"/>
        <w:gridCol w:w="737"/>
        <w:gridCol w:w="737"/>
      </w:tblGrid>
      <w:tr w14:paraId="30FA73D6">
        <w:tblPrEx>
          <w:tblCellMar>
            <w:top w:w="0" w:type="dxa"/>
            <w:left w:w="108" w:type="dxa"/>
            <w:bottom w:w="0" w:type="dxa"/>
            <w:right w:w="108" w:type="dxa"/>
          </w:tblCellMar>
        </w:tblPrEx>
        <w:trPr>
          <w:jc w:val="center"/>
        </w:trPr>
        <w:tc>
          <w:tcPr>
            <w:tcW w:w="1415" w:type="dxa"/>
            <w:tcBorders>
              <w:top w:val="single" w:color="000000" w:sz="12" w:space="0"/>
              <w:left w:val="nil"/>
              <w:bottom w:val="single" w:color="000000" w:sz="6" w:space="0"/>
              <w:right w:val="nil"/>
            </w:tcBorders>
            <w:vAlign w:val="top"/>
          </w:tcPr>
          <w:p w14:paraId="14499EC9">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eastAsia" w:eastAsia="宋体"/>
                <w:b w:val="0"/>
                <w:bCs/>
                <w:sz w:val="13"/>
                <w:szCs w:val="13"/>
                <w:lang w:eastAsia="zh-CN"/>
              </w:rPr>
            </w:pPr>
            <w:r>
              <w:rPr>
                <w:rFonts w:hint="eastAsia" w:eastAsia="黑体" w:cs="Times New Roman"/>
                <w:b w:val="0"/>
                <w:bCs/>
                <w:i w:val="0"/>
                <w:sz w:val="13"/>
                <w:szCs w:val="13"/>
                <w:lang w:val="en-US" w:eastAsia="zh-CN"/>
              </w:rPr>
              <w:t>Method</w:t>
            </w:r>
          </w:p>
        </w:tc>
        <w:tc>
          <w:tcPr>
            <w:tcW w:w="964" w:type="dxa"/>
            <w:tcBorders>
              <w:top w:val="single" w:color="000000" w:sz="12" w:space="0"/>
              <w:left w:val="nil"/>
              <w:bottom w:val="single" w:color="000000" w:sz="6" w:space="0"/>
              <w:right w:val="nil"/>
            </w:tcBorders>
            <w:vAlign w:val="top"/>
          </w:tcPr>
          <w:p w14:paraId="147C8425">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eastAsia" w:ascii="Times New Roman" w:hAnsi="Times New Roman" w:eastAsia="黑体" w:cs="Times New Roman"/>
                <w:b w:val="0"/>
                <w:bCs/>
                <w:i w:val="0"/>
                <w:sz w:val="13"/>
                <w:szCs w:val="13"/>
                <w:lang w:val="en-US" w:eastAsia="zh-CN"/>
              </w:rPr>
            </w:pPr>
            <w:r>
              <w:rPr>
                <w:rFonts w:hint="eastAsia" w:eastAsia="黑体" w:cs="Times New Roman"/>
                <w:b w:val="0"/>
                <w:bCs/>
                <w:i w:val="0"/>
                <w:sz w:val="13"/>
                <w:szCs w:val="13"/>
                <w:lang w:val="en-US" w:eastAsia="zh-CN"/>
              </w:rPr>
              <w:t>Publication</w:t>
            </w:r>
          </w:p>
        </w:tc>
        <w:tc>
          <w:tcPr>
            <w:tcW w:w="964" w:type="dxa"/>
            <w:tcBorders>
              <w:top w:val="single" w:color="000000" w:sz="12" w:space="0"/>
              <w:left w:val="nil"/>
              <w:bottom w:val="single" w:color="000000" w:sz="6" w:space="0"/>
              <w:right w:val="nil"/>
            </w:tcBorders>
            <w:vAlign w:val="top"/>
          </w:tcPr>
          <w:p w14:paraId="7319EBB9">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eastAsia" w:ascii="Times New Roman" w:hAnsi="Times New Roman" w:eastAsia="黑体" w:cs="Times New Roman"/>
                <w:b w:val="0"/>
                <w:bCs/>
                <w:i w:val="0"/>
                <w:sz w:val="13"/>
                <w:szCs w:val="13"/>
                <w:lang w:val="en-US" w:eastAsia="zh-CN"/>
              </w:rPr>
            </w:pPr>
            <w:r>
              <w:rPr>
                <w:rFonts w:hint="eastAsia" w:eastAsia="黑体" w:cs="Times New Roman"/>
                <w:b w:val="0"/>
                <w:bCs/>
                <w:i w:val="0"/>
                <w:sz w:val="13"/>
                <w:szCs w:val="13"/>
                <w:lang w:val="en-US" w:eastAsia="zh-CN"/>
              </w:rPr>
              <w:t>Backbone</w:t>
            </w:r>
          </w:p>
        </w:tc>
        <w:tc>
          <w:tcPr>
            <w:tcW w:w="737" w:type="dxa"/>
            <w:tcBorders>
              <w:top w:val="single" w:color="000000" w:sz="12" w:space="0"/>
              <w:left w:val="nil"/>
              <w:bottom w:val="single" w:color="000000" w:sz="6" w:space="0"/>
              <w:right w:val="nil"/>
            </w:tcBorders>
            <w:vAlign w:val="top"/>
          </w:tcPr>
          <w:p w14:paraId="2C5E6BB3">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b w:val="0"/>
                <w:bCs/>
                <w:sz w:val="13"/>
                <w:szCs w:val="13"/>
              </w:rPr>
            </w:pPr>
            <m:oMathPara>
              <m:oMath>
                <m:sSub>
                  <m:sSubPr>
                    <m:ctrlPr>
                      <w:rPr>
                        <w:rFonts w:ascii="Cambria Math" w:hAnsi="Cambria Math"/>
                        <w:bCs/>
                        <w:i/>
                        <w:sz w:val="13"/>
                        <w:szCs w:val="13"/>
                      </w:rPr>
                    </m:ctrlPr>
                  </m:sSubPr>
                  <m:e>
                    <m:r>
                      <m:rPr/>
                      <w:rPr>
                        <w:rFonts w:hint="default" w:ascii="Cambria Math" w:hAnsi="Cambria Math"/>
                        <w:sz w:val="13"/>
                        <w:szCs w:val="13"/>
                        <w:lang w:val="en-US" w:eastAsia="zh-CN"/>
                      </w:rPr>
                      <m:t>mAP</m:t>
                    </m:r>
                    <m:ctrlPr>
                      <w:rPr>
                        <w:rFonts w:ascii="Cambria Math" w:hAnsi="Cambria Math"/>
                        <w:bCs/>
                        <w:i/>
                        <w:sz w:val="13"/>
                        <w:szCs w:val="13"/>
                      </w:rPr>
                    </m:ctrlPr>
                  </m:e>
                  <m:sub>
                    <m:r>
                      <m:rPr/>
                      <w:rPr>
                        <w:rFonts w:hint="default" w:ascii="Cambria Math" w:hAnsi="Cambria Math"/>
                        <w:sz w:val="13"/>
                        <w:szCs w:val="13"/>
                        <w:lang w:val="en-US" w:eastAsia="zh-CN"/>
                      </w:rPr>
                      <m:t>07</m:t>
                    </m:r>
                    <m:ctrlPr>
                      <w:rPr>
                        <w:rFonts w:ascii="Cambria Math" w:hAnsi="Cambria Math"/>
                        <w:bCs/>
                        <w:i/>
                        <w:sz w:val="13"/>
                        <w:szCs w:val="13"/>
                      </w:rPr>
                    </m:ctrlPr>
                  </m:sub>
                </m:sSub>
              </m:oMath>
            </m:oMathPara>
          </w:p>
        </w:tc>
        <w:tc>
          <w:tcPr>
            <w:tcW w:w="737" w:type="dxa"/>
            <w:tcBorders>
              <w:top w:val="single" w:color="000000" w:sz="12" w:space="0"/>
              <w:left w:val="nil"/>
              <w:bottom w:val="single" w:color="000000" w:sz="6" w:space="0"/>
              <w:right w:val="nil"/>
            </w:tcBorders>
            <w:vAlign w:val="top"/>
          </w:tcPr>
          <w:p w14:paraId="5B5CB275">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ascii="Cambria Math" w:hAnsi="Cambria Math"/>
                <w:bCs/>
                <w:i/>
                <w:sz w:val="13"/>
                <w:szCs w:val="13"/>
                <w:oMath/>
              </w:rPr>
            </w:pPr>
            <m:oMathPara>
              <m:oMath>
                <m:sSub>
                  <m:sSubPr>
                    <m:ctrlPr>
                      <w:rPr>
                        <w:rFonts w:ascii="Cambria Math" w:hAnsi="Cambria Math"/>
                        <w:bCs/>
                        <w:i/>
                        <w:sz w:val="13"/>
                        <w:szCs w:val="13"/>
                      </w:rPr>
                    </m:ctrlPr>
                  </m:sSubPr>
                  <m:e>
                    <m:r>
                      <m:rPr/>
                      <w:rPr>
                        <w:rFonts w:hint="default" w:ascii="Cambria Math" w:hAnsi="Cambria Math"/>
                        <w:sz w:val="13"/>
                        <w:szCs w:val="13"/>
                        <w:lang w:val="en-US" w:eastAsia="zh-CN"/>
                      </w:rPr>
                      <m:t>mAP</m:t>
                    </m:r>
                    <m:ctrlPr>
                      <w:rPr>
                        <w:rFonts w:ascii="Cambria Math" w:hAnsi="Cambria Math"/>
                        <w:bCs/>
                        <w:i/>
                        <w:sz w:val="13"/>
                        <w:szCs w:val="13"/>
                      </w:rPr>
                    </m:ctrlPr>
                  </m:e>
                  <m:sub>
                    <m:r>
                      <m:rPr/>
                      <w:rPr>
                        <w:rFonts w:hint="default" w:ascii="Cambria Math" w:hAnsi="Cambria Math"/>
                        <w:sz w:val="13"/>
                        <w:szCs w:val="13"/>
                        <w:lang w:val="en-US" w:eastAsia="zh-CN"/>
                      </w:rPr>
                      <m:t>12</m:t>
                    </m:r>
                    <m:ctrlPr>
                      <w:rPr>
                        <w:rFonts w:ascii="Cambria Math" w:hAnsi="Cambria Math"/>
                        <w:bCs/>
                        <w:i/>
                        <w:sz w:val="13"/>
                        <w:szCs w:val="13"/>
                      </w:rPr>
                    </m:ctrlPr>
                  </m:sub>
                </m:sSub>
              </m:oMath>
            </m:oMathPara>
          </w:p>
        </w:tc>
      </w:tr>
      <w:tr w14:paraId="3F9F4E2B">
        <w:tblPrEx>
          <w:tblCellMar>
            <w:top w:w="0" w:type="dxa"/>
            <w:left w:w="108" w:type="dxa"/>
            <w:bottom w:w="0" w:type="dxa"/>
            <w:right w:w="108" w:type="dxa"/>
          </w:tblCellMar>
        </w:tblPrEx>
        <w:trPr>
          <w:jc w:val="center"/>
        </w:trPr>
        <w:tc>
          <w:tcPr>
            <w:tcW w:w="1415" w:type="dxa"/>
            <w:tcBorders>
              <w:top w:val="single" w:color="000000" w:sz="6" w:space="0"/>
              <w:left w:val="nil"/>
              <w:bottom w:val="nil"/>
              <w:right w:val="nil"/>
            </w:tcBorders>
          </w:tcPr>
          <w:p w14:paraId="4D749471">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eastAsia="宋体"/>
                <w:sz w:val="13"/>
                <w:szCs w:val="13"/>
                <w:lang w:val="en-US" w:eastAsia="zh-CN"/>
              </w:rPr>
            </w:pPr>
            <w:r>
              <w:rPr>
                <w:rFonts w:hint="eastAsia" w:cs="Times New Roman"/>
                <w:b w:val="0"/>
                <w:i w:val="0"/>
                <w:sz w:val="13"/>
                <w:szCs w:val="13"/>
                <w:lang w:val="en-US" w:eastAsia="zh-CN"/>
              </w:rPr>
              <w:t>Rotate RPN</w:t>
            </w:r>
          </w:p>
        </w:tc>
        <w:tc>
          <w:tcPr>
            <w:tcW w:w="964" w:type="dxa"/>
            <w:tcBorders>
              <w:top w:val="single" w:color="000000" w:sz="6" w:space="0"/>
              <w:left w:val="nil"/>
              <w:bottom w:val="nil"/>
              <w:right w:val="nil"/>
            </w:tcBorders>
          </w:tcPr>
          <w:p w14:paraId="768409AE">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ascii="Times New Roman" w:hAnsi="Times New Roman" w:eastAsia="宋体" w:cs="Times New Roman"/>
                <w:b w:val="0"/>
                <w:i w:val="0"/>
                <w:sz w:val="13"/>
                <w:szCs w:val="13"/>
                <w:lang w:val="en-US" w:eastAsia="zh-CN"/>
              </w:rPr>
            </w:pPr>
            <w:r>
              <w:rPr>
                <w:rFonts w:hint="eastAsia" w:cs="Times New Roman"/>
                <w:b w:val="0"/>
                <w:i w:val="0"/>
                <w:sz w:val="13"/>
                <w:szCs w:val="13"/>
                <w:lang w:val="en-US" w:eastAsia="zh-CN"/>
              </w:rPr>
              <w:t>TMM2018</w:t>
            </w:r>
          </w:p>
        </w:tc>
        <w:tc>
          <w:tcPr>
            <w:tcW w:w="964" w:type="dxa"/>
            <w:tcBorders>
              <w:top w:val="single" w:color="000000" w:sz="6" w:space="0"/>
              <w:left w:val="nil"/>
              <w:bottom w:val="nil"/>
              <w:right w:val="nil"/>
            </w:tcBorders>
          </w:tcPr>
          <w:p w14:paraId="38C603B5">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ascii="Times New Roman" w:hAnsi="Times New Roman" w:eastAsia="宋体" w:cs="Times New Roman"/>
                <w:b w:val="0"/>
                <w:i w:val="0"/>
                <w:sz w:val="13"/>
                <w:szCs w:val="13"/>
                <w:lang w:val="en-US" w:eastAsia="zh-CN"/>
              </w:rPr>
            </w:pPr>
            <w:r>
              <w:rPr>
                <w:rFonts w:hint="eastAsia" w:cs="Times New Roman"/>
                <w:b w:val="0"/>
                <w:i w:val="0"/>
                <w:sz w:val="13"/>
                <w:szCs w:val="13"/>
                <w:lang w:val="en-US" w:eastAsia="zh-CN"/>
              </w:rPr>
              <w:t>R101</w:t>
            </w:r>
          </w:p>
        </w:tc>
        <w:tc>
          <w:tcPr>
            <w:tcW w:w="737" w:type="dxa"/>
            <w:tcBorders>
              <w:top w:val="single" w:color="000000" w:sz="6" w:space="0"/>
              <w:left w:val="nil"/>
              <w:bottom w:val="nil"/>
              <w:right w:val="nil"/>
            </w:tcBorders>
          </w:tcPr>
          <w:p w14:paraId="5B7B93AF">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eastAsia="宋体"/>
                <w:sz w:val="13"/>
                <w:szCs w:val="13"/>
                <w:lang w:val="en-US" w:eastAsia="zh-CN"/>
              </w:rPr>
            </w:pPr>
            <w:r>
              <w:rPr>
                <w:rFonts w:hint="eastAsia" w:cs="Times New Roman"/>
                <w:b w:val="0"/>
                <w:i w:val="0"/>
                <w:sz w:val="13"/>
                <w:szCs w:val="13"/>
                <w:lang w:val="en-US" w:eastAsia="zh-CN"/>
              </w:rPr>
              <w:t>79.08</w:t>
            </w:r>
          </w:p>
        </w:tc>
        <w:tc>
          <w:tcPr>
            <w:tcW w:w="737" w:type="dxa"/>
            <w:tcBorders>
              <w:top w:val="single" w:color="000000" w:sz="6" w:space="0"/>
              <w:left w:val="nil"/>
              <w:bottom w:val="nil"/>
              <w:right w:val="nil"/>
            </w:tcBorders>
          </w:tcPr>
          <w:p w14:paraId="43929206">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ascii="Times New Roman" w:hAnsi="Times New Roman" w:eastAsia="宋体" w:cs="Times New Roman"/>
                <w:b w:val="0"/>
                <w:i w:val="0"/>
                <w:sz w:val="13"/>
                <w:szCs w:val="13"/>
                <w:lang w:val="en-US" w:eastAsia="zh-CN"/>
              </w:rPr>
            </w:pPr>
            <w:r>
              <w:rPr>
                <w:rFonts w:hint="eastAsia" w:cs="Times New Roman"/>
                <w:b w:val="0"/>
                <w:i w:val="0"/>
                <w:sz w:val="13"/>
                <w:szCs w:val="13"/>
                <w:lang w:val="en-US" w:eastAsia="zh-CN"/>
              </w:rPr>
              <w:t>85.64</w:t>
            </w:r>
          </w:p>
        </w:tc>
      </w:tr>
      <w:tr w14:paraId="77F19AA5">
        <w:tblPrEx>
          <w:tblCellMar>
            <w:top w:w="0" w:type="dxa"/>
            <w:left w:w="108" w:type="dxa"/>
            <w:bottom w:w="0" w:type="dxa"/>
            <w:right w:w="108" w:type="dxa"/>
          </w:tblCellMar>
        </w:tblPrEx>
        <w:trPr>
          <w:jc w:val="center"/>
        </w:trPr>
        <w:tc>
          <w:tcPr>
            <w:tcW w:w="1415" w:type="dxa"/>
            <w:tcBorders>
              <w:top w:val="nil"/>
              <w:left w:val="nil"/>
              <w:bottom w:val="nil"/>
              <w:right w:val="nil"/>
            </w:tcBorders>
          </w:tcPr>
          <w:p w14:paraId="60CB8B34">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cs="Times New Roman"/>
                <w:b w:val="0"/>
                <w:i w:val="0"/>
                <w:sz w:val="13"/>
                <w:szCs w:val="13"/>
                <w:lang w:val="en-US" w:eastAsia="zh-CN"/>
              </w:rPr>
            </w:pPr>
            <w:r>
              <w:rPr>
                <w:rFonts w:hint="eastAsia" w:cs="Times New Roman"/>
                <w:b w:val="0"/>
                <w:i w:val="0"/>
                <w:sz w:val="13"/>
                <w:szCs w:val="13"/>
                <w:lang w:val="en-US" w:eastAsia="zh-CN"/>
              </w:rPr>
              <w:t>Roi Transformer</w:t>
            </w:r>
          </w:p>
        </w:tc>
        <w:tc>
          <w:tcPr>
            <w:tcW w:w="964" w:type="dxa"/>
            <w:tcBorders>
              <w:top w:val="nil"/>
              <w:left w:val="nil"/>
              <w:bottom w:val="nil"/>
              <w:right w:val="nil"/>
            </w:tcBorders>
          </w:tcPr>
          <w:p w14:paraId="79D6EB91">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cs="Times New Roman"/>
                <w:b w:val="0"/>
                <w:i w:val="0"/>
                <w:sz w:val="13"/>
                <w:szCs w:val="13"/>
                <w:lang w:val="en-US" w:eastAsia="zh-CN"/>
              </w:rPr>
            </w:pPr>
            <w:r>
              <w:rPr>
                <w:rFonts w:hint="eastAsia" w:cs="Times New Roman"/>
                <w:b w:val="0"/>
                <w:i w:val="0"/>
                <w:sz w:val="13"/>
                <w:szCs w:val="13"/>
                <w:lang w:val="en-US" w:eastAsia="zh-CN"/>
              </w:rPr>
              <w:t>CVPR2019</w:t>
            </w:r>
          </w:p>
        </w:tc>
        <w:tc>
          <w:tcPr>
            <w:tcW w:w="964" w:type="dxa"/>
            <w:tcBorders>
              <w:top w:val="nil"/>
              <w:left w:val="nil"/>
              <w:bottom w:val="nil"/>
              <w:right w:val="nil"/>
            </w:tcBorders>
          </w:tcPr>
          <w:p w14:paraId="73D4F6B6">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cs="Times New Roman"/>
                <w:b w:val="0"/>
                <w:i w:val="0"/>
                <w:sz w:val="13"/>
                <w:szCs w:val="13"/>
                <w:lang w:val="en-US" w:eastAsia="zh-CN"/>
              </w:rPr>
            </w:pPr>
            <w:r>
              <w:rPr>
                <w:rFonts w:hint="eastAsia" w:cs="Times New Roman"/>
                <w:b w:val="0"/>
                <w:i w:val="0"/>
                <w:sz w:val="13"/>
                <w:szCs w:val="13"/>
                <w:lang w:val="en-US" w:eastAsia="zh-CN"/>
              </w:rPr>
              <w:t>R101-FPN</w:t>
            </w:r>
          </w:p>
        </w:tc>
        <w:tc>
          <w:tcPr>
            <w:tcW w:w="737" w:type="dxa"/>
            <w:tcBorders>
              <w:top w:val="nil"/>
              <w:left w:val="nil"/>
              <w:bottom w:val="nil"/>
              <w:right w:val="nil"/>
            </w:tcBorders>
          </w:tcPr>
          <w:p w14:paraId="52242C57">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cs="Times New Roman"/>
                <w:b w:val="0"/>
                <w:i w:val="0"/>
                <w:sz w:val="13"/>
                <w:szCs w:val="13"/>
                <w:lang w:val="en-US" w:eastAsia="zh-CN"/>
              </w:rPr>
            </w:pPr>
            <w:r>
              <w:rPr>
                <w:rFonts w:hint="eastAsia" w:cs="Times New Roman"/>
                <w:b w:val="0"/>
                <w:i w:val="0"/>
                <w:sz w:val="13"/>
                <w:szCs w:val="13"/>
                <w:lang w:val="en-US" w:eastAsia="zh-CN"/>
              </w:rPr>
              <w:t>86.2</w:t>
            </w:r>
          </w:p>
        </w:tc>
        <w:tc>
          <w:tcPr>
            <w:tcW w:w="737" w:type="dxa"/>
            <w:tcBorders>
              <w:top w:val="nil"/>
              <w:left w:val="nil"/>
              <w:bottom w:val="nil"/>
              <w:right w:val="nil"/>
            </w:tcBorders>
          </w:tcPr>
          <w:p w14:paraId="66BDF990">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cs="Times New Roman"/>
                <w:b w:val="0"/>
                <w:i w:val="0"/>
                <w:sz w:val="13"/>
                <w:szCs w:val="13"/>
                <w:lang w:val="en-US" w:eastAsia="zh-CN"/>
              </w:rPr>
            </w:pPr>
            <w:r>
              <w:rPr>
                <w:rFonts w:hint="eastAsia" w:cs="Times New Roman"/>
                <w:b w:val="0"/>
                <w:i w:val="0"/>
                <w:sz w:val="13"/>
                <w:szCs w:val="13"/>
                <w:lang w:val="en-US" w:eastAsia="zh-CN"/>
              </w:rPr>
              <w:t>-</w:t>
            </w:r>
          </w:p>
        </w:tc>
      </w:tr>
      <w:tr w14:paraId="25CBCF44">
        <w:tblPrEx>
          <w:tblCellMar>
            <w:top w:w="0" w:type="dxa"/>
            <w:left w:w="108" w:type="dxa"/>
            <w:bottom w:w="0" w:type="dxa"/>
            <w:right w:w="108" w:type="dxa"/>
          </w:tblCellMar>
        </w:tblPrEx>
        <w:trPr>
          <w:jc w:val="center"/>
        </w:trPr>
        <w:tc>
          <w:tcPr>
            <w:tcW w:w="1415" w:type="dxa"/>
            <w:tcBorders>
              <w:top w:val="nil"/>
              <w:left w:val="nil"/>
              <w:bottom w:val="nil"/>
              <w:right w:val="nil"/>
            </w:tcBorders>
          </w:tcPr>
          <w:p w14:paraId="4B650AC5">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cs="Times New Roman"/>
                <w:b w:val="0"/>
                <w:i w:val="0"/>
                <w:sz w:val="13"/>
                <w:szCs w:val="13"/>
                <w:lang w:val="en-US" w:eastAsia="zh-CN"/>
              </w:rPr>
            </w:pPr>
            <w:r>
              <w:rPr>
                <w:rFonts w:hint="eastAsia" w:cs="Times New Roman"/>
                <w:b w:val="0"/>
                <w:i w:val="0"/>
                <w:sz w:val="13"/>
                <w:szCs w:val="13"/>
                <w:lang w:val="en-US" w:eastAsia="zh-CN"/>
              </w:rPr>
              <w:t>DRN</w:t>
            </w:r>
          </w:p>
        </w:tc>
        <w:tc>
          <w:tcPr>
            <w:tcW w:w="964" w:type="dxa"/>
            <w:tcBorders>
              <w:top w:val="nil"/>
              <w:left w:val="nil"/>
              <w:bottom w:val="nil"/>
              <w:right w:val="nil"/>
            </w:tcBorders>
          </w:tcPr>
          <w:p w14:paraId="736723CF">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cs="Times New Roman"/>
                <w:b w:val="0"/>
                <w:i w:val="0"/>
                <w:sz w:val="13"/>
                <w:szCs w:val="13"/>
                <w:lang w:val="en-US" w:eastAsia="zh-CN"/>
              </w:rPr>
            </w:pPr>
            <w:r>
              <w:rPr>
                <w:rFonts w:hint="eastAsia" w:cs="Times New Roman"/>
                <w:b w:val="0"/>
                <w:i w:val="0"/>
                <w:sz w:val="13"/>
                <w:szCs w:val="13"/>
                <w:lang w:val="en-US" w:eastAsia="zh-CN"/>
              </w:rPr>
              <w:t>CVPR2020</w:t>
            </w:r>
          </w:p>
        </w:tc>
        <w:tc>
          <w:tcPr>
            <w:tcW w:w="964" w:type="dxa"/>
            <w:tcBorders>
              <w:top w:val="nil"/>
              <w:left w:val="nil"/>
              <w:bottom w:val="nil"/>
              <w:right w:val="nil"/>
            </w:tcBorders>
          </w:tcPr>
          <w:p w14:paraId="41CFBBD6">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cs="Times New Roman"/>
                <w:b w:val="0"/>
                <w:i w:val="0"/>
                <w:sz w:val="13"/>
                <w:szCs w:val="13"/>
                <w:lang w:val="en-US" w:eastAsia="zh-CN"/>
              </w:rPr>
            </w:pPr>
            <w:r>
              <w:rPr>
                <w:rFonts w:hint="eastAsia" w:cs="Times New Roman"/>
                <w:b w:val="0"/>
                <w:i w:val="0"/>
                <w:sz w:val="13"/>
                <w:szCs w:val="13"/>
                <w:lang w:val="en-US" w:eastAsia="zh-CN"/>
              </w:rPr>
              <w:t>H-104</w:t>
            </w:r>
          </w:p>
        </w:tc>
        <w:tc>
          <w:tcPr>
            <w:tcW w:w="737" w:type="dxa"/>
            <w:tcBorders>
              <w:top w:val="nil"/>
              <w:left w:val="nil"/>
              <w:bottom w:val="nil"/>
              <w:right w:val="nil"/>
            </w:tcBorders>
          </w:tcPr>
          <w:p w14:paraId="4B878783">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cs="Times New Roman"/>
                <w:b w:val="0"/>
                <w:i w:val="0"/>
                <w:sz w:val="13"/>
                <w:szCs w:val="13"/>
                <w:lang w:val="en-US" w:eastAsia="zh-CN"/>
              </w:rPr>
            </w:pPr>
            <w:r>
              <w:rPr>
                <w:rFonts w:hint="eastAsia" w:cs="Times New Roman"/>
                <w:b w:val="0"/>
                <w:i w:val="0"/>
                <w:sz w:val="13"/>
                <w:szCs w:val="13"/>
                <w:lang w:val="en-US" w:eastAsia="zh-CN"/>
              </w:rPr>
              <w:t>-</w:t>
            </w:r>
          </w:p>
        </w:tc>
        <w:tc>
          <w:tcPr>
            <w:tcW w:w="737" w:type="dxa"/>
            <w:tcBorders>
              <w:top w:val="nil"/>
              <w:left w:val="nil"/>
              <w:bottom w:val="nil"/>
              <w:right w:val="nil"/>
            </w:tcBorders>
          </w:tcPr>
          <w:p w14:paraId="3588804B">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cs="Times New Roman"/>
                <w:b w:val="0"/>
                <w:i w:val="0"/>
                <w:sz w:val="13"/>
                <w:szCs w:val="13"/>
                <w:lang w:val="en-US" w:eastAsia="zh-CN"/>
              </w:rPr>
            </w:pPr>
            <w:r>
              <w:rPr>
                <w:rFonts w:hint="eastAsia" w:cs="Times New Roman"/>
                <w:b w:val="0"/>
                <w:i w:val="0"/>
                <w:sz w:val="13"/>
                <w:szCs w:val="13"/>
                <w:lang w:val="en-US" w:eastAsia="zh-CN"/>
              </w:rPr>
              <w:t>92.7</w:t>
            </w:r>
          </w:p>
        </w:tc>
      </w:tr>
      <w:tr w14:paraId="7632B2EC">
        <w:tblPrEx>
          <w:tblCellMar>
            <w:top w:w="0" w:type="dxa"/>
            <w:left w:w="108" w:type="dxa"/>
            <w:bottom w:w="0" w:type="dxa"/>
            <w:right w:w="108" w:type="dxa"/>
          </w:tblCellMar>
        </w:tblPrEx>
        <w:trPr>
          <w:jc w:val="center"/>
        </w:trPr>
        <w:tc>
          <w:tcPr>
            <w:tcW w:w="1415" w:type="dxa"/>
            <w:tcBorders>
              <w:top w:val="nil"/>
              <w:left w:val="nil"/>
              <w:bottom w:val="nil"/>
              <w:right w:val="nil"/>
            </w:tcBorders>
          </w:tcPr>
          <w:p w14:paraId="321C5548">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cs="Times New Roman"/>
                <w:b w:val="0"/>
                <w:i w:val="0"/>
                <w:sz w:val="13"/>
                <w:szCs w:val="13"/>
                <w:lang w:val="en-US" w:eastAsia="zh-CN"/>
              </w:rPr>
            </w:pPr>
            <w:r>
              <w:rPr>
                <w:rFonts w:hint="eastAsia" w:cs="Times New Roman"/>
                <w:b w:val="0"/>
                <w:i w:val="0"/>
                <w:sz w:val="13"/>
                <w:szCs w:val="13"/>
                <w:lang w:val="en-US" w:eastAsia="zh-CN"/>
              </w:rPr>
              <w:t>R3Det</w:t>
            </w:r>
          </w:p>
        </w:tc>
        <w:tc>
          <w:tcPr>
            <w:tcW w:w="964" w:type="dxa"/>
            <w:tcBorders>
              <w:top w:val="nil"/>
              <w:left w:val="nil"/>
              <w:bottom w:val="nil"/>
              <w:right w:val="nil"/>
            </w:tcBorders>
          </w:tcPr>
          <w:p w14:paraId="7594FE6F">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cs="Times New Roman"/>
                <w:b w:val="0"/>
                <w:i w:val="0"/>
                <w:sz w:val="13"/>
                <w:szCs w:val="13"/>
                <w:lang w:val="en-US" w:eastAsia="zh-CN"/>
              </w:rPr>
            </w:pPr>
            <w:r>
              <w:rPr>
                <w:rFonts w:hint="eastAsia" w:cs="Times New Roman"/>
                <w:b w:val="0"/>
                <w:i w:val="0"/>
                <w:sz w:val="13"/>
                <w:szCs w:val="13"/>
                <w:lang w:val="en-US" w:eastAsia="zh-CN"/>
              </w:rPr>
              <w:t>AAAI2021</w:t>
            </w:r>
          </w:p>
        </w:tc>
        <w:tc>
          <w:tcPr>
            <w:tcW w:w="964" w:type="dxa"/>
            <w:tcBorders>
              <w:top w:val="nil"/>
              <w:left w:val="nil"/>
              <w:bottom w:val="nil"/>
              <w:right w:val="nil"/>
            </w:tcBorders>
          </w:tcPr>
          <w:p w14:paraId="510F12B4">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cs="Times New Roman"/>
                <w:b w:val="0"/>
                <w:i w:val="0"/>
                <w:sz w:val="13"/>
                <w:szCs w:val="13"/>
                <w:lang w:val="en-US" w:eastAsia="zh-CN"/>
              </w:rPr>
            </w:pPr>
            <w:r>
              <w:rPr>
                <w:rFonts w:hint="eastAsia" w:cs="Times New Roman"/>
                <w:b w:val="0"/>
                <w:i w:val="0"/>
                <w:sz w:val="13"/>
                <w:szCs w:val="13"/>
                <w:lang w:val="en-US" w:eastAsia="zh-CN"/>
              </w:rPr>
              <w:t>R101-FPN</w:t>
            </w:r>
          </w:p>
        </w:tc>
        <w:tc>
          <w:tcPr>
            <w:tcW w:w="737" w:type="dxa"/>
            <w:tcBorders>
              <w:top w:val="nil"/>
              <w:left w:val="nil"/>
              <w:bottom w:val="nil"/>
              <w:right w:val="nil"/>
            </w:tcBorders>
          </w:tcPr>
          <w:p w14:paraId="2D09E515">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cs="Times New Roman"/>
                <w:b w:val="0"/>
                <w:i w:val="0"/>
                <w:sz w:val="13"/>
                <w:szCs w:val="13"/>
                <w:lang w:val="en-US" w:eastAsia="zh-CN"/>
              </w:rPr>
            </w:pPr>
            <w:r>
              <w:rPr>
                <w:rFonts w:hint="eastAsia" w:cs="Times New Roman"/>
                <w:b w:val="0"/>
                <w:i w:val="0"/>
                <w:sz w:val="13"/>
                <w:szCs w:val="13"/>
                <w:lang w:val="en-US" w:eastAsia="zh-CN"/>
              </w:rPr>
              <w:t>89.26</w:t>
            </w:r>
          </w:p>
        </w:tc>
        <w:tc>
          <w:tcPr>
            <w:tcW w:w="737" w:type="dxa"/>
            <w:tcBorders>
              <w:top w:val="nil"/>
              <w:left w:val="nil"/>
              <w:bottom w:val="nil"/>
              <w:right w:val="nil"/>
            </w:tcBorders>
          </w:tcPr>
          <w:p w14:paraId="400BA14E">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cs="Times New Roman"/>
                <w:b w:val="0"/>
                <w:i w:val="0"/>
                <w:sz w:val="13"/>
                <w:szCs w:val="13"/>
                <w:lang w:val="en-US" w:eastAsia="zh-CN"/>
              </w:rPr>
            </w:pPr>
            <w:r>
              <w:rPr>
                <w:rFonts w:hint="eastAsia" w:cs="Times New Roman"/>
                <w:b w:val="0"/>
                <w:i w:val="0"/>
                <w:sz w:val="13"/>
                <w:szCs w:val="13"/>
                <w:lang w:val="en-US" w:eastAsia="zh-CN"/>
              </w:rPr>
              <w:t>96.01</w:t>
            </w:r>
          </w:p>
        </w:tc>
      </w:tr>
      <w:tr w14:paraId="0BCD562A">
        <w:tblPrEx>
          <w:tblCellMar>
            <w:top w:w="0" w:type="dxa"/>
            <w:left w:w="108" w:type="dxa"/>
            <w:bottom w:w="0" w:type="dxa"/>
            <w:right w:w="108" w:type="dxa"/>
          </w:tblCellMar>
        </w:tblPrEx>
        <w:trPr>
          <w:jc w:val="center"/>
        </w:trPr>
        <w:tc>
          <w:tcPr>
            <w:tcW w:w="1415" w:type="dxa"/>
            <w:tcBorders>
              <w:top w:val="nil"/>
              <w:left w:val="nil"/>
              <w:bottom w:val="nil"/>
              <w:right w:val="nil"/>
            </w:tcBorders>
            <w:vAlign w:val="top"/>
          </w:tcPr>
          <w:p w14:paraId="1D61DCD4">
            <w:pPr>
              <w:keepNext w:val="0"/>
              <w:keepLines w:val="0"/>
              <w:pageBreakBefore w:val="0"/>
              <w:widowControl/>
              <w:kinsoku/>
              <w:wordWrap/>
              <w:overflowPunct/>
              <w:topLinePunct w:val="0"/>
              <w:autoSpaceDE/>
              <w:autoSpaceDN/>
              <w:bidi w:val="0"/>
              <w:adjustRightInd/>
              <w:snapToGrid/>
              <w:spacing w:before="0" w:after="0" w:line="240" w:lineRule="auto"/>
              <w:ind w:firstLine="0" w:firstLineChars="0"/>
              <w:jc w:val="center"/>
              <w:textAlignment w:val="auto"/>
              <w:rPr>
                <w:rFonts w:hint="eastAsia" w:cs="Times New Roman"/>
                <w:b w:val="0"/>
                <w:i w:val="0"/>
                <w:sz w:val="13"/>
                <w:szCs w:val="13"/>
                <w:lang w:val="en-US" w:eastAsia="zh-CN"/>
              </w:rPr>
            </w:pPr>
            <w:r>
              <w:rPr>
                <w:rFonts w:hint="eastAsia" w:cs="Times New Roman"/>
                <w:b w:val="0"/>
                <w:i w:val="0"/>
                <w:sz w:val="13"/>
                <w:szCs w:val="13"/>
                <w:lang w:val="en-US" w:eastAsia="zh-CN"/>
              </w:rPr>
              <w:t>Oriented Rcnn</w:t>
            </w:r>
          </w:p>
        </w:tc>
        <w:tc>
          <w:tcPr>
            <w:tcW w:w="964" w:type="dxa"/>
            <w:tcBorders>
              <w:top w:val="nil"/>
              <w:left w:val="nil"/>
              <w:bottom w:val="nil"/>
              <w:right w:val="nil"/>
            </w:tcBorders>
            <w:vAlign w:val="top"/>
          </w:tcPr>
          <w:p w14:paraId="15D1763B">
            <w:pPr>
              <w:keepNext w:val="0"/>
              <w:keepLines w:val="0"/>
              <w:pageBreakBefore w:val="0"/>
              <w:widowControl/>
              <w:kinsoku/>
              <w:wordWrap/>
              <w:overflowPunct/>
              <w:topLinePunct w:val="0"/>
              <w:autoSpaceDE/>
              <w:autoSpaceDN/>
              <w:bidi w:val="0"/>
              <w:adjustRightInd/>
              <w:snapToGrid/>
              <w:spacing w:before="0" w:after="0" w:line="240" w:lineRule="auto"/>
              <w:ind w:firstLine="0" w:firstLineChars="0"/>
              <w:jc w:val="center"/>
              <w:textAlignment w:val="auto"/>
              <w:rPr>
                <w:rFonts w:hint="eastAsia" w:cs="Times New Roman"/>
                <w:b w:val="0"/>
                <w:i w:val="0"/>
                <w:sz w:val="13"/>
                <w:szCs w:val="13"/>
                <w:lang w:val="en-US" w:eastAsia="zh-CN"/>
              </w:rPr>
            </w:pPr>
            <w:r>
              <w:rPr>
                <w:rFonts w:hint="eastAsia" w:cs="Times New Roman"/>
                <w:b w:val="0"/>
                <w:i w:val="0"/>
                <w:sz w:val="13"/>
                <w:szCs w:val="13"/>
                <w:lang w:val="en-US" w:eastAsia="zh-CN"/>
              </w:rPr>
              <w:t>IJCV2024</w:t>
            </w:r>
          </w:p>
        </w:tc>
        <w:tc>
          <w:tcPr>
            <w:tcW w:w="964" w:type="dxa"/>
            <w:tcBorders>
              <w:top w:val="nil"/>
              <w:left w:val="nil"/>
              <w:bottom w:val="nil"/>
              <w:right w:val="nil"/>
            </w:tcBorders>
            <w:vAlign w:val="top"/>
          </w:tcPr>
          <w:p w14:paraId="1C6323E0">
            <w:pPr>
              <w:keepNext w:val="0"/>
              <w:keepLines w:val="0"/>
              <w:pageBreakBefore w:val="0"/>
              <w:widowControl/>
              <w:kinsoku/>
              <w:wordWrap/>
              <w:overflowPunct/>
              <w:topLinePunct w:val="0"/>
              <w:autoSpaceDE/>
              <w:autoSpaceDN/>
              <w:bidi w:val="0"/>
              <w:adjustRightInd/>
              <w:snapToGrid/>
              <w:spacing w:before="0" w:after="0" w:line="240" w:lineRule="auto"/>
              <w:ind w:firstLine="0" w:firstLineChars="0"/>
              <w:jc w:val="center"/>
              <w:textAlignment w:val="auto"/>
              <w:rPr>
                <w:rFonts w:hint="eastAsia" w:cs="Times New Roman"/>
                <w:b w:val="0"/>
                <w:i w:val="0"/>
                <w:sz w:val="13"/>
                <w:szCs w:val="13"/>
                <w:lang w:val="en-US" w:eastAsia="zh-CN"/>
              </w:rPr>
            </w:pPr>
            <w:r>
              <w:rPr>
                <w:rFonts w:hint="eastAsia" w:cs="Times New Roman"/>
                <w:b w:val="0"/>
                <w:i w:val="0"/>
                <w:sz w:val="13"/>
                <w:szCs w:val="13"/>
                <w:lang w:val="en-US" w:eastAsia="zh-CN"/>
              </w:rPr>
              <w:t>R50-FPN</w:t>
            </w:r>
          </w:p>
        </w:tc>
        <w:tc>
          <w:tcPr>
            <w:tcW w:w="737" w:type="dxa"/>
            <w:tcBorders>
              <w:top w:val="nil"/>
              <w:left w:val="nil"/>
              <w:bottom w:val="nil"/>
              <w:right w:val="nil"/>
            </w:tcBorders>
            <w:vAlign w:val="top"/>
          </w:tcPr>
          <w:p w14:paraId="1B0A11FB">
            <w:pPr>
              <w:keepNext w:val="0"/>
              <w:keepLines w:val="0"/>
              <w:pageBreakBefore w:val="0"/>
              <w:widowControl/>
              <w:kinsoku/>
              <w:wordWrap/>
              <w:overflowPunct/>
              <w:topLinePunct w:val="0"/>
              <w:autoSpaceDE/>
              <w:autoSpaceDN/>
              <w:bidi w:val="0"/>
              <w:adjustRightInd/>
              <w:snapToGrid/>
              <w:spacing w:before="0" w:after="0" w:line="240" w:lineRule="auto"/>
              <w:ind w:firstLine="0" w:firstLineChars="0"/>
              <w:jc w:val="center"/>
              <w:textAlignment w:val="auto"/>
              <w:rPr>
                <w:rFonts w:hint="eastAsia" w:cs="Times New Roman"/>
                <w:b w:val="0"/>
                <w:i w:val="0"/>
                <w:sz w:val="13"/>
                <w:szCs w:val="13"/>
                <w:lang w:val="en-US" w:eastAsia="zh-CN"/>
              </w:rPr>
            </w:pPr>
            <w:r>
              <w:rPr>
                <w:rFonts w:hint="eastAsia" w:cs="Times New Roman"/>
                <w:b w:val="0"/>
                <w:i w:val="0"/>
                <w:sz w:val="13"/>
                <w:szCs w:val="13"/>
                <w:lang w:val="en-US" w:eastAsia="zh-CN"/>
              </w:rPr>
              <w:t>90.40</w:t>
            </w:r>
          </w:p>
        </w:tc>
        <w:tc>
          <w:tcPr>
            <w:tcW w:w="737" w:type="dxa"/>
            <w:tcBorders>
              <w:top w:val="nil"/>
              <w:left w:val="nil"/>
              <w:bottom w:val="nil"/>
              <w:right w:val="nil"/>
            </w:tcBorders>
            <w:vAlign w:val="top"/>
          </w:tcPr>
          <w:p w14:paraId="134493CB">
            <w:pPr>
              <w:keepNext w:val="0"/>
              <w:keepLines w:val="0"/>
              <w:pageBreakBefore w:val="0"/>
              <w:widowControl/>
              <w:kinsoku/>
              <w:wordWrap/>
              <w:overflowPunct/>
              <w:topLinePunct w:val="0"/>
              <w:autoSpaceDE/>
              <w:autoSpaceDN/>
              <w:bidi w:val="0"/>
              <w:adjustRightInd/>
              <w:snapToGrid/>
              <w:spacing w:before="0" w:after="0" w:line="240" w:lineRule="auto"/>
              <w:ind w:firstLine="0" w:firstLineChars="0"/>
              <w:jc w:val="center"/>
              <w:textAlignment w:val="auto"/>
              <w:rPr>
                <w:rFonts w:hint="eastAsia" w:cs="Times New Roman"/>
                <w:b w:val="0"/>
                <w:i w:val="0"/>
                <w:sz w:val="13"/>
                <w:szCs w:val="13"/>
                <w:lang w:val="en-US" w:eastAsia="zh-CN"/>
              </w:rPr>
            </w:pPr>
            <w:r>
              <w:rPr>
                <w:rFonts w:hint="eastAsia" w:cs="Times New Roman"/>
                <w:b w:val="0"/>
                <w:i w:val="0"/>
                <w:sz w:val="13"/>
                <w:szCs w:val="13"/>
                <w:lang w:val="en-US" w:eastAsia="zh-CN"/>
              </w:rPr>
              <w:t>96.50</w:t>
            </w:r>
          </w:p>
        </w:tc>
      </w:tr>
      <w:tr w14:paraId="52FBCE06">
        <w:tblPrEx>
          <w:tblCellMar>
            <w:top w:w="0" w:type="dxa"/>
            <w:left w:w="108" w:type="dxa"/>
            <w:bottom w:w="0" w:type="dxa"/>
            <w:right w:w="108" w:type="dxa"/>
          </w:tblCellMar>
        </w:tblPrEx>
        <w:trPr>
          <w:jc w:val="center"/>
        </w:trPr>
        <w:tc>
          <w:tcPr>
            <w:tcW w:w="1415" w:type="dxa"/>
            <w:tcBorders>
              <w:top w:val="nil"/>
              <w:left w:val="nil"/>
              <w:bottom w:val="single" w:color="000000" w:sz="6" w:space="0"/>
              <w:right w:val="nil"/>
            </w:tcBorders>
          </w:tcPr>
          <w:p w14:paraId="399DE412">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cs="Times New Roman"/>
                <w:b w:val="0"/>
                <w:i w:val="0"/>
                <w:sz w:val="13"/>
                <w:szCs w:val="13"/>
                <w:lang w:val="en-US" w:eastAsia="zh-CN"/>
              </w:rPr>
            </w:pPr>
            <w:r>
              <w:rPr>
                <w:rFonts w:hint="eastAsia" w:cs="Times New Roman"/>
                <w:b w:val="0"/>
                <w:i w:val="0"/>
                <w:sz w:val="13"/>
                <w:szCs w:val="13"/>
                <w:lang w:val="en-US" w:eastAsia="zh-CN"/>
              </w:rPr>
              <w:t>Oriented Rcnn</w:t>
            </w:r>
          </w:p>
        </w:tc>
        <w:tc>
          <w:tcPr>
            <w:tcW w:w="964" w:type="dxa"/>
            <w:tcBorders>
              <w:top w:val="nil"/>
              <w:left w:val="nil"/>
              <w:bottom w:val="single" w:color="000000" w:sz="6" w:space="0"/>
              <w:right w:val="nil"/>
            </w:tcBorders>
          </w:tcPr>
          <w:p w14:paraId="71FE32FC">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cs="Times New Roman"/>
                <w:b w:val="0"/>
                <w:i w:val="0"/>
                <w:sz w:val="13"/>
                <w:szCs w:val="13"/>
                <w:lang w:val="en-US" w:eastAsia="zh-CN"/>
              </w:rPr>
            </w:pPr>
            <w:r>
              <w:rPr>
                <w:rFonts w:hint="eastAsia" w:cs="Times New Roman"/>
                <w:b w:val="0"/>
                <w:i w:val="0"/>
                <w:sz w:val="13"/>
                <w:szCs w:val="13"/>
                <w:lang w:val="en-US" w:eastAsia="zh-CN"/>
              </w:rPr>
              <w:t>IJCV2024</w:t>
            </w:r>
          </w:p>
        </w:tc>
        <w:tc>
          <w:tcPr>
            <w:tcW w:w="964" w:type="dxa"/>
            <w:tcBorders>
              <w:top w:val="nil"/>
              <w:left w:val="nil"/>
              <w:bottom w:val="single" w:color="000000" w:sz="6" w:space="0"/>
              <w:right w:val="nil"/>
            </w:tcBorders>
          </w:tcPr>
          <w:p w14:paraId="6BE1909D">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cs="Times New Roman"/>
                <w:b w:val="0"/>
                <w:i w:val="0"/>
                <w:sz w:val="13"/>
                <w:szCs w:val="13"/>
                <w:lang w:val="en-US" w:eastAsia="zh-CN"/>
              </w:rPr>
            </w:pPr>
            <w:r>
              <w:rPr>
                <w:rFonts w:hint="eastAsia" w:cs="Times New Roman"/>
                <w:b w:val="0"/>
                <w:i w:val="0"/>
                <w:sz w:val="13"/>
                <w:szCs w:val="13"/>
                <w:lang w:val="en-US" w:eastAsia="zh-CN"/>
              </w:rPr>
              <w:t>R101-FPN</w:t>
            </w:r>
          </w:p>
        </w:tc>
        <w:tc>
          <w:tcPr>
            <w:tcW w:w="737" w:type="dxa"/>
            <w:tcBorders>
              <w:top w:val="nil"/>
              <w:left w:val="nil"/>
              <w:bottom w:val="single" w:color="000000" w:sz="6" w:space="0"/>
              <w:right w:val="nil"/>
            </w:tcBorders>
          </w:tcPr>
          <w:p w14:paraId="359C3D4B">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cs="Times New Roman"/>
                <w:b w:val="0"/>
                <w:i w:val="0"/>
                <w:sz w:val="13"/>
                <w:szCs w:val="13"/>
                <w:lang w:val="en-US" w:eastAsia="zh-CN"/>
              </w:rPr>
            </w:pPr>
            <w:r>
              <w:rPr>
                <w:rFonts w:hint="eastAsia" w:cs="Times New Roman"/>
                <w:b w:val="0"/>
                <w:i w:val="0"/>
                <w:sz w:val="13"/>
                <w:szCs w:val="13"/>
                <w:lang w:val="en-US" w:eastAsia="zh-CN"/>
              </w:rPr>
              <w:t>90.50</w:t>
            </w:r>
          </w:p>
        </w:tc>
        <w:tc>
          <w:tcPr>
            <w:tcW w:w="737" w:type="dxa"/>
            <w:tcBorders>
              <w:top w:val="nil"/>
              <w:left w:val="nil"/>
              <w:bottom w:val="single" w:color="000000" w:sz="6" w:space="0"/>
              <w:right w:val="nil"/>
            </w:tcBorders>
          </w:tcPr>
          <w:p w14:paraId="1842842B">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cs="Times New Roman"/>
                <w:b w:val="0"/>
                <w:i w:val="0"/>
                <w:sz w:val="13"/>
                <w:szCs w:val="13"/>
                <w:lang w:val="en-US" w:eastAsia="zh-CN"/>
              </w:rPr>
            </w:pPr>
            <w:r>
              <w:rPr>
                <w:rFonts w:hint="eastAsia" w:cs="Times New Roman"/>
                <w:b w:val="0"/>
                <w:i w:val="0"/>
                <w:sz w:val="13"/>
                <w:szCs w:val="13"/>
                <w:lang w:val="en-US" w:eastAsia="zh-CN"/>
              </w:rPr>
              <w:t>97.60</w:t>
            </w:r>
          </w:p>
        </w:tc>
      </w:tr>
      <w:tr w14:paraId="1C9EB7F2">
        <w:tblPrEx>
          <w:tblCellMar>
            <w:top w:w="0" w:type="dxa"/>
            <w:left w:w="108" w:type="dxa"/>
            <w:bottom w:w="0" w:type="dxa"/>
            <w:right w:w="108" w:type="dxa"/>
          </w:tblCellMar>
        </w:tblPrEx>
        <w:trPr>
          <w:jc w:val="center"/>
        </w:trPr>
        <w:tc>
          <w:tcPr>
            <w:tcW w:w="1415" w:type="dxa"/>
            <w:tcBorders>
              <w:top w:val="single" w:color="000000" w:sz="6" w:space="0"/>
              <w:left w:val="nil"/>
              <w:bottom w:val="single" w:color="000000" w:sz="12" w:space="0"/>
              <w:right w:val="nil"/>
            </w:tcBorders>
            <w:vAlign w:val="top"/>
          </w:tcPr>
          <w:p w14:paraId="58FD7846">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eastAsia="宋体"/>
                <w:sz w:val="13"/>
                <w:szCs w:val="13"/>
                <w:lang w:val="en-US" w:eastAsia="zh-CN"/>
              </w:rPr>
            </w:pPr>
            <w:r>
              <w:rPr>
                <w:rFonts w:hint="eastAsia" w:cs="Times New Roman"/>
                <w:b w:val="0"/>
                <w:i w:val="0"/>
                <w:sz w:val="13"/>
                <w:szCs w:val="13"/>
                <w:lang w:val="en-US" w:eastAsia="zh-CN"/>
              </w:rPr>
              <w:t>Oriented Rcnn+ours</w:t>
            </w:r>
          </w:p>
        </w:tc>
        <w:tc>
          <w:tcPr>
            <w:tcW w:w="964" w:type="dxa"/>
            <w:tcBorders>
              <w:top w:val="single" w:color="000000" w:sz="6" w:space="0"/>
              <w:left w:val="nil"/>
              <w:bottom w:val="single" w:color="000000" w:sz="12" w:space="0"/>
              <w:right w:val="nil"/>
            </w:tcBorders>
            <w:vAlign w:val="top"/>
          </w:tcPr>
          <w:p w14:paraId="1003C763">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ascii="Times New Roman" w:hAnsi="Times New Roman" w:eastAsia="宋体" w:cs="Times New Roman"/>
                <w:b w:val="0"/>
                <w:i w:val="0"/>
                <w:sz w:val="13"/>
                <w:szCs w:val="13"/>
              </w:rPr>
            </w:pPr>
          </w:p>
        </w:tc>
        <w:tc>
          <w:tcPr>
            <w:tcW w:w="964" w:type="dxa"/>
            <w:tcBorders>
              <w:top w:val="single" w:color="000000" w:sz="6" w:space="0"/>
              <w:left w:val="nil"/>
              <w:bottom w:val="single" w:color="000000" w:sz="12" w:space="0"/>
              <w:right w:val="nil"/>
            </w:tcBorders>
            <w:vAlign w:val="top"/>
          </w:tcPr>
          <w:p w14:paraId="7BCD4DCB">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ascii="Times New Roman" w:hAnsi="Times New Roman" w:eastAsia="宋体" w:cs="Times New Roman"/>
                <w:b w:val="0"/>
                <w:i w:val="0"/>
                <w:sz w:val="13"/>
                <w:szCs w:val="13"/>
                <w:lang w:val="en-US" w:eastAsia="zh-CN"/>
              </w:rPr>
            </w:pPr>
            <w:r>
              <w:rPr>
                <w:rFonts w:hint="eastAsia" w:cs="Times New Roman"/>
                <w:b w:val="0"/>
                <w:i w:val="0"/>
                <w:sz w:val="13"/>
                <w:szCs w:val="13"/>
                <w:lang w:val="en-US" w:eastAsia="zh-CN"/>
              </w:rPr>
              <w:t>R50-FPN</w:t>
            </w:r>
          </w:p>
        </w:tc>
        <w:tc>
          <w:tcPr>
            <w:tcW w:w="737" w:type="dxa"/>
            <w:tcBorders>
              <w:top w:val="single" w:color="000000" w:sz="6" w:space="0"/>
              <w:left w:val="nil"/>
              <w:bottom w:val="single" w:color="000000" w:sz="12" w:space="0"/>
              <w:right w:val="nil"/>
            </w:tcBorders>
            <w:vAlign w:val="top"/>
          </w:tcPr>
          <w:p w14:paraId="7FB99D15">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eastAsia="宋体"/>
                <w:sz w:val="13"/>
                <w:szCs w:val="13"/>
                <w:lang w:val="en-US" w:eastAsia="zh-CN"/>
              </w:rPr>
            </w:pPr>
            <w:r>
              <w:rPr>
                <w:rFonts w:hint="eastAsia" w:cs="Times New Roman"/>
                <w:b w:val="0"/>
                <w:i w:val="0"/>
                <w:sz w:val="13"/>
                <w:szCs w:val="13"/>
                <w:lang w:val="en-US" w:eastAsia="zh-CN"/>
              </w:rPr>
              <w:t>90.58</w:t>
            </w:r>
          </w:p>
        </w:tc>
        <w:tc>
          <w:tcPr>
            <w:tcW w:w="737" w:type="dxa"/>
            <w:tcBorders>
              <w:top w:val="single" w:color="000000" w:sz="6" w:space="0"/>
              <w:left w:val="nil"/>
              <w:bottom w:val="single" w:color="000000" w:sz="12" w:space="0"/>
              <w:right w:val="nil"/>
            </w:tcBorders>
            <w:vAlign w:val="top"/>
          </w:tcPr>
          <w:p w14:paraId="0EB4A3E7">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ascii="Times New Roman" w:hAnsi="Times New Roman" w:eastAsia="宋体" w:cs="Times New Roman"/>
                <w:b w:val="0"/>
                <w:i w:val="0"/>
                <w:sz w:val="13"/>
                <w:szCs w:val="13"/>
                <w:lang w:val="en-US" w:eastAsia="zh-CN"/>
              </w:rPr>
            </w:pPr>
            <w:r>
              <w:rPr>
                <w:rFonts w:hint="eastAsia" w:cs="Times New Roman"/>
                <w:b w:val="0"/>
                <w:i w:val="0"/>
                <w:sz w:val="13"/>
                <w:szCs w:val="13"/>
                <w:lang w:val="en-US" w:eastAsia="zh-CN"/>
              </w:rPr>
              <w:t>98.13</w:t>
            </w:r>
          </w:p>
        </w:tc>
      </w:tr>
    </w:tbl>
    <w:p w14:paraId="69BD0966">
      <w:pPr>
        <w:spacing w:before="40" w:after="40" w:line="240" w:lineRule="auto"/>
      </w:pPr>
    </w:p>
    <w:p w14:paraId="132176F7">
      <w:pPr>
        <w:spacing w:before="80" w:after="40" w:line="480" w:lineRule="auto"/>
        <w:jc w:val="left"/>
      </w:pPr>
      <w:r>
        <w:rPr>
          <w:rFonts w:ascii="Times New Roman" w:hAnsi="Times New Roman" w:eastAsia="黑体" w:cs="Times New Roman"/>
          <w:b/>
          <w:i w:val="0"/>
          <w:sz w:val="20"/>
        </w:rPr>
        <w:t>消融实验</w:t>
      </w:r>
    </w:p>
    <w:p w14:paraId="175C36EC">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本节在DOTA-v1.0验证集上进行全面的消融实验，系统分析AFE-FPN中各组件的贡献。所有消融实验均在相同的训练配置下进行，以确保公平比较。</w:t>
      </w:r>
    </w:p>
    <w:p w14:paraId="16E5D0F7">
      <w:pPr>
        <w:spacing w:before="60" w:after="40" w:line="480" w:lineRule="auto"/>
        <w:jc w:val="left"/>
      </w:pPr>
      <w:r>
        <w:rPr>
          <w:rFonts w:ascii="Times New Roman" w:hAnsi="Times New Roman" w:eastAsia="黑体" w:cs="Times New Roman"/>
          <w:b/>
          <w:i w:val="0"/>
          <w:sz w:val="20"/>
        </w:rPr>
        <w:t>MultiBranchLCE分支的效果</w:t>
      </w:r>
    </w:p>
    <w:p w14:paraId="367F52D8">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表3分析了MultiBranchLCE三个分支的独立贡献。基线模型（仅分支B1，即原始空间条带卷积）提供了基础的多方向空间上下文，取得了XX.XX%的mAP。单独添加分支B2（方向自适应旋转卷积）带来+X.XX%的提升，特别改善了角度敏感的细长类别（如桥梁+3.X%、船舶+2.X%）。单独添加分支B3（频域处理）贡献了+X.XX%的增益，主要惠及具有规律性纹理的类别（如大型车辆、田径场）。同时启用三个分支取得了最佳的XX.XX% mAP，验证了三条分支的信息互补性。3</w:t>
      </w:r>
    </w:p>
    <w:p w14:paraId="351B97EC">
      <w:pPr>
        <w:spacing w:before="120" w:after="60" w:line="360" w:lineRule="auto"/>
        <w:jc w:val="center"/>
      </w:pPr>
      <w:r>
        <w:rPr>
          <w:rFonts w:ascii="Times New Roman" w:hAnsi="Times New Roman" w:eastAsia="黑体" w:cs="Times New Roman"/>
          <w:b/>
          <w:i w:val="0"/>
          <w:sz w:val="18"/>
        </w:rPr>
        <w:t>表3  MultiBranchLCE各分支在DOTA-v1.0验证集上的消融实验。B1为基础空间分支，B2为方向自适应分支，B3为频域分支。</w:t>
      </w:r>
    </w:p>
    <w:tbl>
      <w:tblPr>
        <w:tblStyle w:val="32"/>
        <w:tblW w:w="3107" w:type="pct"/>
        <w:jc w:val="center"/>
        <w:tblLayout w:type="autofit"/>
        <w:tblCellMar>
          <w:top w:w="0" w:type="dxa"/>
          <w:left w:w="108" w:type="dxa"/>
          <w:bottom w:w="0" w:type="dxa"/>
          <w:right w:w="108" w:type="dxa"/>
        </w:tblCellMar>
      </w:tblPr>
      <w:tblGrid>
        <w:gridCol w:w="1700"/>
        <w:gridCol w:w="680"/>
        <w:gridCol w:w="680"/>
        <w:gridCol w:w="680"/>
        <w:gridCol w:w="680"/>
        <w:gridCol w:w="879"/>
      </w:tblGrid>
      <w:tr w14:paraId="7BE4C5CD">
        <w:tblPrEx>
          <w:tblCellMar>
            <w:top w:w="0" w:type="dxa"/>
            <w:left w:w="108" w:type="dxa"/>
            <w:bottom w:w="0" w:type="dxa"/>
            <w:right w:w="108" w:type="dxa"/>
          </w:tblCellMar>
        </w:tblPrEx>
        <w:trPr>
          <w:jc w:val="center"/>
        </w:trPr>
        <w:tc>
          <w:tcPr>
            <w:tcW w:w="1701" w:type="dxa"/>
            <w:tcBorders>
              <w:top w:val="single" w:color="000000" w:sz="12" w:space="0"/>
              <w:bottom w:val="single" w:color="000000" w:sz="6" w:space="0"/>
            </w:tcBorders>
          </w:tcPr>
          <w:p w14:paraId="668D29CA">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default" w:eastAsia="宋体"/>
                <w:b/>
                <w:bCs/>
                <w:lang w:val="en-US" w:eastAsia="zh-CN"/>
              </w:rPr>
            </w:pPr>
            <w:r>
              <w:rPr>
                <w:rFonts w:hint="eastAsia"/>
                <w:b/>
                <w:bCs/>
                <w:lang w:val="en-US" w:eastAsia="zh-CN"/>
              </w:rPr>
              <w:t>Methods</w:t>
            </w:r>
          </w:p>
        </w:tc>
        <w:tc>
          <w:tcPr>
            <w:tcW w:w="680" w:type="dxa"/>
            <w:tcBorders>
              <w:top w:val="single" w:color="000000" w:sz="12" w:space="0"/>
              <w:bottom w:val="single" w:color="000000" w:sz="6" w:space="0"/>
            </w:tcBorders>
          </w:tcPr>
          <w:p w14:paraId="2AED37B9">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default" w:eastAsia="宋体"/>
                <w:b/>
                <w:bCs/>
                <w:lang w:val="en-US" w:eastAsia="zh-CN"/>
              </w:rPr>
            </w:pPr>
            <w:r>
              <w:rPr>
                <w:rFonts w:hint="eastAsia" w:eastAsia="黑体" w:cs="Times New Roman"/>
                <w:b/>
                <w:bCs/>
                <w:i w:val="0"/>
                <w:sz w:val="16"/>
                <w:lang w:val="en-US" w:eastAsia="zh-CN"/>
              </w:rPr>
              <w:t>MFE</w:t>
            </w:r>
          </w:p>
        </w:tc>
        <w:tc>
          <w:tcPr>
            <w:tcW w:w="680" w:type="dxa"/>
            <w:tcBorders>
              <w:top w:val="single" w:color="000000" w:sz="12" w:space="0"/>
              <w:bottom w:val="single" w:color="000000" w:sz="6" w:space="0"/>
            </w:tcBorders>
          </w:tcPr>
          <w:p w14:paraId="68AAF050">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default" w:ascii="Times New Roman" w:hAnsi="Times New Roman" w:eastAsia="宋体" w:cs="Times New Roman"/>
                <w:b/>
                <w:bCs/>
                <w:i w:val="0"/>
                <w:sz w:val="17"/>
                <w:szCs w:val="17"/>
                <w:lang w:val="en-US" w:eastAsia="zh-CN"/>
              </w:rPr>
            </w:pPr>
            <w:r>
              <w:rPr>
                <w:rFonts w:hint="eastAsia" w:cs="Times New Roman"/>
                <w:b/>
                <w:bCs/>
                <w:i w:val="0"/>
                <w:sz w:val="17"/>
                <w:szCs w:val="17"/>
                <w:lang w:val="en-US" w:eastAsia="zh-CN"/>
              </w:rPr>
              <w:t>LCE</w:t>
            </w:r>
          </w:p>
        </w:tc>
        <w:tc>
          <w:tcPr>
            <w:tcW w:w="680" w:type="dxa"/>
            <w:tcBorders>
              <w:top w:val="single" w:color="000000" w:sz="12" w:space="0"/>
              <w:bottom w:val="single" w:color="000000" w:sz="6" w:space="0"/>
            </w:tcBorders>
          </w:tcPr>
          <w:p w14:paraId="5C56C098">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b/>
                <w:bCs/>
              </w:rPr>
            </w:pPr>
            <w:r>
              <w:rPr>
                <w:rFonts w:ascii="Times New Roman" w:hAnsi="Times New Roman" w:eastAsia="宋体" w:cs="Times New Roman"/>
                <w:b/>
                <w:bCs/>
                <w:i w:val="0"/>
                <w:sz w:val="17"/>
                <w:szCs w:val="17"/>
              </w:rPr>
              <w:t>A²RC</w:t>
            </w:r>
          </w:p>
        </w:tc>
        <w:tc>
          <w:tcPr>
            <w:tcW w:w="680" w:type="dxa"/>
            <w:tcBorders>
              <w:top w:val="single" w:color="000000" w:sz="12" w:space="0"/>
              <w:bottom w:val="single" w:color="000000" w:sz="6" w:space="0"/>
            </w:tcBorders>
          </w:tcPr>
          <w:p w14:paraId="4624F847">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eastAsia="宋体"/>
                <w:b/>
                <w:bCs/>
                <w:lang w:eastAsia="zh-CN"/>
              </w:rPr>
            </w:pPr>
            <w:r>
              <w:rPr>
                <w:rFonts w:hint="eastAsia" w:eastAsia="黑体" w:cs="Times New Roman"/>
                <w:b/>
                <w:bCs/>
                <w:i w:val="0"/>
                <w:sz w:val="16"/>
                <w:lang w:val="en-US" w:eastAsia="zh-CN"/>
              </w:rPr>
              <w:t>FDSC</w:t>
            </w:r>
          </w:p>
        </w:tc>
        <w:tc>
          <w:tcPr>
            <w:tcW w:w="879" w:type="dxa"/>
            <w:tcBorders>
              <w:top w:val="single" w:color="000000" w:sz="12" w:space="0"/>
              <w:bottom w:val="single" w:color="000000" w:sz="6" w:space="0"/>
            </w:tcBorders>
          </w:tcPr>
          <w:p w14:paraId="15932BD7">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b/>
                <w:bCs/>
              </w:rPr>
            </w:pPr>
            <w:r>
              <w:rPr>
                <w:rFonts w:ascii="Times New Roman" w:hAnsi="Times New Roman" w:eastAsia="黑体" w:cs="Times New Roman"/>
                <w:b/>
                <w:bCs/>
                <w:i w:val="0"/>
                <w:sz w:val="16"/>
              </w:rPr>
              <w:t>mAP (%)</w:t>
            </w:r>
          </w:p>
        </w:tc>
      </w:tr>
      <w:tr w14:paraId="01AFC31C">
        <w:tblPrEx>
          <w:tblCellMar>
            <w:top w:w="0" w:type="dxa"/>
            <w:left w:w="108" w:type="dxa"/>
            <w:bottom w:w="0" w:type="dxa"/>
            <w:right w:w="108" w:type="dxa"/>
          </w:tblCellMar>
        </w:tblPrEx>
        <w:trPr>
          <w:jc w:val="center"/>
        </w:trPr>
        <w:tc>
          <w:tcPr>
            <w:tcW w:w="1701" w:type="dxa"/>
            <w:tcBorders>
              <w:top w:val="nil"/>
              <w:left w:val="nil"/>
              <w:bottom w:val="nil"/>
              <w:right w:val="nil"/>
            </w:tcBorders>
          </w:tcPr>
          <w:p w14:paraId="723187C1">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eastAsia="宋体"/>
                <w:lang w:eastAsia="zh-CN"/>
              </w:rPr>
            </w:pPr>
            <w:r>
              <w:rPr>
                <w:rFonts w:hint="eastAsia" w:cs="Times New Roman"/>
                <w:b w:val="0"/>
                <w:i w:val="0"/>
                <w:sz w:val="16"/>
                <w:lang w:val="en-US" w:eastAsia="zh-CN"/>
              </w:rPr>
              <w:t>Baseline</w:t>
            </w:r>
          </w:p>
        </w:tc>
        <w:tc>
          <w:tcPr>
            <w:tcW w:w="680" w:type="dxa"/>
            <w:tcBorders>
              <w:top w:val="nil"/>
              <w:left w:val="nil"/>
              <w:bottom w:val="nil"/>
              <w:right w:val="nil"/>
            </w:tcBorders>
          </w:tcPr>
          <w:p w14:paraId="1998F4D4">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default" w:cs="Times New Roman"/>
                <w:b w:val="0"/>
                <w:i w:val="0"/>
                <w:sz w:val="16"/>
                <w:lang w:val="en-US" w:eastAsia="zh-CN"/>
              </w:rPr>
            </w:pPr>
          </w:p>
        </w:tc>
        <w:tc>
          <w:tcPr>
            <w:tcW w:w="680" w:type="dxa"/>
            <w:tcBorders>
              <w:top w:val="nil"/>
              <w:left w:val="nil"/>
              <w:bottom w:val="nil"/>
              <w:right w:val="nil"/>
            </w:tcBorders>
          </w:tcPr>
          <w:p w14:paraId="645361F9">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p>
        </w:tc>
        <w:tc>
          <w:tcPr>
            <w:tcW w:w="680" w:type="dxa"/>
            <w:tcBorders>
              <w:top w:val="nil"/>
              <w:left w:val="nil"/>
              <w:bottom w:val="nil"/>
              <w:right w:val="nil"/>
            </w:tcBorders>
          </w:tcPr>
          <w:p w14:paraId="3DC64340">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p>
        </w:tc>
        <w:tc>
          <w:tcPr>
            <w:tcW w:w="680" w:type="dxa"/>
            <w:tcBorders>
              <w:top w:val="nil"/>
              <w:left w:val="nil"/>
              <w:bottom w:val="nil"/>
              <w:right w:val="nil"/>
            </w:tcBorders>
          </w:tcPr>
          <w:p w14:paraId="6AF52488">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p>
        </w:tc>
        <w:tc>
          <w:tcPr>
            <w:tcW w:w="879" w:type="dxa"/>
            <w:tcBorders>
              <w:top w:val="nil"/>
              <w:left w:val="nil"/>
              <w:bottom w:val="nil"/>
              <w:right w:val="nil"/>
            </w:tcBorders>
          </w:tcPr>
          <w:p w14:paraId="41A4D11B">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default" w:eastAsia="宋体"/>
                <w:lang w:val="en-US" w:eastAsia="zh-CN"/>
              </w:rPr>
            </w:pPr>
            <w:r>
              <w:rPr>
                <w:rFonts w:hint="eastAsia" w:cs="Times New Roman"/>
                <w:b w:val="0"/>
                <w:i w:val="0"/>
                <w:sz w:val="16"/>
                <w:lang w:val="en-US" w:eastAsia="zh-CN"/>
              </w:rPr>
              <w:t>75.87</w:t>
            </w:r>
          </w:p>
        </w:tc>
      </w:tr>
      <w:tr w14:paraId="70D00FA1">
        <w:tblPrEx>
          <w:tblCellMar>
            <w:top w:w="0" w:type="dxa"/>
            <w:left w:w="108" w:type="dxa"/>
            <w:bottom w:w="0" w:type="dxa"/>
            <w:right w:w="108" w:type="dxa"/>
          </w:tblCellMar>
        </w:tblPrEx>
        <w:trPr>
          <w:jc w:val="center"/>
        </w:trPr>
        <w:tc>
          <w:tcPr>
            <w:tcW w:w="1701" w:type="dxa"/>
            <w:tcBorders>
              <w:top w:val="nil"/>
              <w:left w:val="nil"/>
              <w:bottom w:val="nil"/>
              <w:right w:val="nil"/>
            </w:tcBorders>
          </w:tcPr>
          <w:p w14:paraId="030CED0B">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default"/>
                <w:lang w:val="en-US"/>
              </w:rPr>
            </w:pPr>
            <w:r>
              <w:rPr>
                <w:rFonts w:hint="eastAsia" w:cs="Times New Roman"/>
                <w:b w:val="0"/>
                <w:i w:val="0"/>
                <w:sz w:val="16"/>
                <w:lang w:val="en-US" w:eastAsia="zh-CN"/>
              </w:rPr>
              <w:t>Baseline+M+L</w:t>
            </w:r>
          </w:p>
        </w:tc>
        <w:tc>
          <w:tcPr>
            <w:tcW w:w="680" w:type="dxa"/>
            <w:tcBorders>
              <w:top w:val="nil"/>
              <w:left w:val="nil"/>
              <w:bottom w:val="nil"/>
              <w:right w:val="nil"/>
            </w:tcBorders>
          </w:tcPr>
          <w:p w14:paraId="3B98B632">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default" w:cs="Times New Roman"/>
                <w:b w:val="0"/>
                <w:i w:val="0"/>
                <w:sz w:val="16"/>
                <w:lang w:val="en-US" w:eastAsia="zh-CN"/>
              </w:rPr>
            </w:pPr>
            <w:r>
              <w:rPr>
                <w:rFonts w:hint="eastAsia" w:cs="Times New Roman"/>
                <w:b w:val="0"/>
                <w:i w:val="0"/>
                <w:sz w:val="16"/>
                <w:lang w:val="en-US" w:eastAsia="zh-CN"/>
              </w:rPr>
              <w:t>√</w:t>
            </w:r>
          </w:p>
        </w:tc>
        <w:tc>
          <w:tcPr>
            <w:tcW w:w="680" w:type="dxa"/>
            <w:tcBorders>
              <w:top w:val="nil"/>
              <w:left w:val="nil"/>
              <w:bottom w:val="nil"/>
              <w:right w:val="nil"/>
            </w:tcBorders>
          </w:tcPr>
          <w:p w14:paraId="60E8A4EB">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r>
              <w:rPr>
                <w:rFonts w:hint="eastAsia" w:cs="Times New Roman"/>
                <w:b w:val="0"/>
                <w:i w:val="0"/>
                <w:sz w:val="16"/>
                <w:lang w:val="en-US" w:eastAsia="zh-CN"/>
              </w:rPr>
              <w:t>√</w:t>
            </w:r>
          </w:p>
        </w:tc>
        <w:tc>
          <w:tcPr>
            <w:tcW w:w="680" w:type="dxa"/>
            <w:tcBorders>
              <w:top w:val="nil"/>
              <w:left w:val="nil"/>
              <w:bottom w:val="nil"/>
              <w:right w:val="nil"/>
            </w:tcBorders>
          </w:tcPr>
          <w:p w14:paraId="442A430B">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p>
        </w:tc>
        <w:tc>
          <w:tcPr>
            <w:tcW w:w="680" w:type="dxa"/>
            <w:tcBorders>
              <w:top w:val="nil"/>
              <w:left w:val="nil"/>
              <w:bottom w:val="nil"/>
              <w:right w:val="nil"/>
            </w:tcBorders>
          </w:tcPr>
          <w:p w14:paraId="1747079E">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p>
        </w:tc>
        <w:tc>
          <w:tcPr>
            <w:tcW w:w="879" w:type="dxa"/>
            <w:tcBorders>
              <w:top w:val="nil"/>
              <w:left w:val="nil"/>
              <w:bottom w:val="nil"/>
              <w:right w:val="nil"/>
            </w:tcBorders>
          </w:tcPr>
          <w:p w14:paraId="4E375678">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default" w:eastAsia="宋体"/>
                <w:lang w:val="en-US" w:eastAsia="zh-CN"/>
              </w:rPr>
            </w:pPr>
            <w:r>
              <w:rPr>
                <w:rFonts w:hint="eastAsia" w:cs="Times New Roman"/>
                <w:b w:val="0"/>
                <w:i w:val="0"/>
                <w:sz w:val="16"/>
                <w:lang w:val="en-US" w:eastAsia="zh-CN"/>
              </w:rPr>
              <w:t>76.16</w:t>
            </w:r>
          </w:p>
        </w:tc>
      </w:tr>
      <w:tr w14:paraId="6A9FCF0A">
        <w:tblPrEx>
          <w:tblCellMar>
            <w:top w:w="0" w:type="dxa"/>
            <w:left w:w="108" w:type="dxa"/>
            <w:bottom w:w="0" w:type="dxa"/>
            <w:right w:w="108" w:type="dxa"/>
          </w:tblCellMar>
        </w:tblPrEx>
        <w:trPr>
          <w:jc w:val="center"/>
        </w:trPr>
        <w:tc>
          <w:tcPr>
            <w:tcW w:w="1701" w:type="dxa"/>
            <w:tcBorders>
              <w:top w:val="nil"/>
              <w:left w:val="nil"/>
              <w:bottom w:val="nil"/>
              <w:right w:val="nil"/>
            </w:tcBorders>
          </w:tcPr>
          <w:p w14:paraId="1E925CFA">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default"/>
                <w:lang w:val="en-US"/>
              </w:rPr>
            </w:pPr>
            <w:r>
              <w:rPr>
                <w:rFonts w:hint="eastAsia" w:cs="Times New Roman"/>
                <w:b w:val="0"/>
                <w:i w:val="0"/>
                <w:sz w:val="16"/>
                <w:lang w:val="en-US" w:eastAsia="zh-CN"/>
              </w:rPr>
              <w:t>Baseline+M+A</w:t>
            </w:r>
          </w:p>
        </w:tc>
        <w:tc>
          <w:tcPr>
            <w:tcW w:w="680" w:type="dxa"/>
            <w:tcBorders>
              <w:top w:val="nil"/>
              <w:left w:val="nil"/>
              <w:bottom w:val="nil"/>
              <w:right w:val="nil"/>
            </w:tcBorders>
          </w:tcPr>
          <w:p w14:paraId="2CF603CB">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r>
              <w:rPr>
                <w:rFonts w:hint="eastAsia" w:cs="Times New Roman"/>
                <w:b w:val="0"/>
                <w:i w:val="0"/>
                <w:sz w:val="16"/>
                <w:lang w:val="en-US" w:eastAsia="zh-CN"/>
              </w:rPr>
              <w:t>√</w:t>
            </w:r>
          </w:p>
        </w:tc>
        <w:tc>
          <w:tcPr>
            <w:tcW w:w="680" w:type="dxa"/>
            <w:tcBorders>
              <w:top w:val="nil"/>
              <w:left w:val="nil"/>
              <w:bottom w:val="nil"/>
              <w:right w:val="nil"/>
            </w:tcBorders>
          </w:tcPr>
          <w:p w14:paraId="15E8F8D6">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p>
        </w:tc>
        <w:tc>
          <w:tcPr>
            <w:tcW w:w="680" w:type="dxa"/>
            <w:tcBorders>
              <w:top w:val="nil"/>
              <w:left w:val="nil"/>
              <w:bottom w:val="nil"/>
              <w:right w:val="nil"/>
            </w:tcBorders>
          </w:tcPr>
          <w:p w14:paraId="26B4E48C">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r>
              <w:rPr>
                <w:rFonts w:hint="eastAsia" w:cs="Times New Roman"/>
                <w:b w:val="0"/>
                <w:i w:val="0"/>
                <w:sz w:val="16"/>
                <w:lang w:val="en-US" w:eastAsia="zh-CN"/>
              </w:rPr>
              <w:t>√</w:t>
            </w:r>
          </w:p>
        </w:tc>
        <w:tc>
          <w:tcPr>
            <w:tcW w:w="680" w:type="dxa"/>
            <w:tcBorders>
              <w:top w:val="nil"/>
              <w:left w:val="nil"/>
              <w:bottom w:val="nil"/>
              <w:right w:val="nil"/>
            </w:tcBorders>
          </w:tcPr>
          <w:p w14:paraId="66D73461">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p>
        </w:tc>
        <w:tc>
          <w:tcPr>
            <w:tcW w:w="879" w:type="dxa"/>
            <w:tcBorders>
              <w:top w:val="nil"/>
              <w:left w:val="nil"/>
              <w:bottom w:val="nil"/>
              <w:right w:val="nil"/>
            </w:tcBorders>
          </w:tcPr>
          <w:p w14:paraId="5BE6A8EC">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default" w:eastAsia="宋体"/>
                <w:lang w:val="en-US" w:eastAsia="zh-CN"/>
              </w:rPr>
            </w:pPr>
            <w:r>
              <w:rPr>
                <w:rFonts w:hint="eastAsia" w:cs="Times New Roman"/>
                <w:b w:val="0"/>
                <w:i w:val="0"/>
                <w:sz w:val="16"/>
                <w:lang w:val="en-US" w:eastAsia="zh-CN"/>
              </w:rPr>
              <w:t>76.39</w:t>
            </w:r>
          </w:p>
        </w:tc>
      </w:tr>
      <w:tr w14:paraId="276EF01B">
        <w:tblPrEx>
          <w:tblCellMar>
            <w:top w:w="0" w:type="dxa"/>
            <w:left w:w="108" w:type="dxa"/>
            <w:bottom w:w="0" w:type="dxa"/>
            <w:right w:w="108" w:type="dxa"/>
          </w:tblCellMar>
        </w:tblPrEx>
        <w:trPr>
          <w:jc w:val="center"/>
        </w:trPr>
        <w:tc>
          <w:tcPr>
            <w:tcW w:w="1701" w:type="dxa"/>
            <w:tcBorders>
              <w:top w:val="nil"/>
              <w:left w:val="nil"/>
              <w:bottom w:val="nil"/>
              <w:right w:val="nil"/>
            </w:tcBorders>
          </w:tcPr>
          <w:p w14:paraId="6051C53A">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default"/>
                <w:lang w:val="en-US"/>
              </w:rPr>
            </w:pPr>
            <w:r>
              <w:rPr>
                <w:rFonts w:hint="eastAsia" w:cs="Times New Roman"/>
                <w:b w:val="0"/>
                <w:i w:val="0"/>
                <w:sz w:val="16"/>
                <w:lang w:val="en-US" w:eastAsia="zh-CN"/>
              </w:rPr>
              <w:t>Baseline+M+F</w:t>
            </w:r>
          </w:p>
        </w:tc>
        <w:tc>
          <w:tcPr>
            <w:tcW w:w="680" w:type="dxa"/>
            <w:tcBorders>
              <w:top w:val="nil"/>
              <w:left w:val="nil"/>
              <w:bottom w:val="nil"/>
              <w:right w:val="nil"/>
            </w:tcBorders>
          </w:tcPr>
          <w:p w14:paraId="4E358046">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r>
              <w:rPr>
                <w:rFonts w:hint="eastAsia" w:cs="Times New Roman"/>
                <w:b w:val="0"/>
                <w:i w:val="0"/>
                <w:sz w:val="16"/>
                <w:lang w:val="en-US" w:eastAsia="zh-CN"/>
              </w:rPr>
              <w:t>√</w:t>
            </w:r>
          </w:p>
        </w:tc>
        <w:tc>
          <w:tcPr>
            <w:tcW w:w="680" w:type="dxa"/>
            <w:tcBorders>
              <w:top w:val="nil"/>
              <w:left w:val="nil"/>
              <w:bottom w:val="nil"/>
              <w:right w:val="nil"/>
            </w:tcBorders>
          </w:tcPr>
          <w:p w14:paraId="63008284">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p>
        </w:tc>
        <w:tc>
          <w:tcPr>
            <w:tcW w:w="680" w:type="dxa"/>
            <w:tcBorders>
              <w:top w:val="nil"/>
              <w:left w:val="nil"/>
              <w:bottom w:val="nil"/>
              <w:right w:val="nil"/>
            </w:tcBorders>
          </w:tcPr>
          <w:p w14:paraId="7C867448">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p>
        </w:tc>
        <w:tc>
          <w:tcPr>
            <w:tcW w:w="680" w:type="dxa"/>
            <w:tcBorders>
              <w:top w:val="nil"/>
              <w:left w:val="nil"/>
              <w:bottom w:val="nil"/>
              <w:right w:val="nil"/>
            </w:tcBorders>
          </w:tcPr>
          <w:p w14:paraId="52C0EB9B">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r>
              <w:rPr>
                <w:rFonts w:hint="eastAsia" w:cs="Times New Roman"/>
                <w:b w:val="0"/>
                <w:i w:val="0"/>
                <w:sz w:val="16"/>
                <w:lang w:val="en-US" w:eastAsia="zh-CN"/>
              </w:rPr>
              <w:t>√</w:t>
            </w:r>
          </w:p>
        </w:tc>
        <w:tc>
          <w:tcPr>
            <w:tcW w:w="879" w:type="dxa"/>
            <w:tcBorders>
              <w:top w:val="nil"/>
              <w:left w:val="nil"/>
              <w:bottom w:val="nil"/>
              <w:right w:val="nil"/>
            </w:tcBorders>
          </w:tcPr>
          <w:p w14:paraId="3CD7A3B0">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default" w:eastAsia="宋体"/>
                <w:lang w:val="en-US" w:eastAsia="zh-CN"/>
              </w:rPr>
            </w:pPr>
            <w:r>
              <w:rPr>
                <w:rFonts w:hint="eastAsia" w:cs="Times New Roman"/>
                <w:b w:val="0"/>
                <w:i w:val="0"/>
                <w:sz w:val="16"/>
                <w:lang w:val="en-US" w:eastAsia="zh-CN"/>
              </w:rPr>
              <w:t>76.26</w:t>
            </w:r>
          </w:p>
        </w:tc>
      </w:tr>
      <w:tr w14:paraId="370FD085">
        <w:tblPrEx>
          <w:tblCellMar>
            <w:top w:w="0" w:type="dxa"/>
            <w:left w:w="108" w:type="dxa"/>
            <w:bottom w:w="0" w:type="dxa"/>
            <w:right w:w="108" w:type="dxa"/>
          </w:tblCellMar>
        </w:tblPrEx>
        <w:trPr>
          <w:jc w:val="center"/>
        </w:trPr>
        <w:tc>
          <w:tcPr>
            <w:tcW w:w="1701" w:type="dxa"/>
            <w:tcBorders>
              <w:top w:val="nil"/>
              <w:left w:val="nil"/>
              <w:bottom w:val="nil"/>
              <w:right w:val="nil"/>
            </w:tcBorders>
          </w:tcPr>
          <w:p w14:paraId="4376AC5F">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default"/>
                <w:lang w:val="en-US"/>
              </w:rPr>
            </w:pPr>
            <w:r>
              <w:rPr>
                <w:rFonts w:hint="eastAsia" w:cs="Times New Roman"/>
                <w:b w:val="0"/>
                <w:i w:val="0"/>
                <w:sz w:val="16"/>
                <w:lang w:val="en-US" w:eastAsia="zh-CN"/>
              </w:rPr>
              <w:t>Baseline+M+L+A</w:t>
            </w:r>
          </w:p>
        </w:tc>
        <w:tc>
          <w:tcPr>
            <w:tcW w:w="680" w:type="dxa"/>
            <w:tcBorders>
              <w:top w:val="nil"/>
              <w:left w:val="nil"/>
              <w:bottom w:val="nil"/>
              <w:right w:val="nil"/>
            </w:tcBorders>
          </w:tcPr>
          <w:p w14:paraId="1723972D">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r>
              <w:rPr>
                <w:rFonts w:hint="eastAsia" w:cs="Times New Roman"/>
                <w:b w:val="0"/>
                <w:i w:val="0"/>
                <w:sz w:val="16"/>
                <w:lang w:val="en-US" w:eastAsia="zh-CN"/>
              </w:rPr>
              <w:t>√</w:t>
            </w:r>
          </w:p>
        </w:tc>
        <w:tc>
          <w:tcPr>
            <w:tcW w:w="680" w:type="dxa"/>
            <w:tcBorders>
              <w:top w:val="nil"/>
              <w:left w:val="nil"/>
              <w:bottom w:val="nil"/>
              <w:right w:val="nil"/>
            </w:tcBorders>
          </w:tcPr>
          <w:p w14:paraId="5377983F">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r>
              <w:rPr>
                <w:rFonts w:hint="eastAsia" w:cs="Times New Roman"/>
                <w:b w:val="0"/>
                <w:i w:val="0"/>
                <w:sz w:val="16"/>
                <w:lang w:val="en-US" w:eastAsia="zh-CN"/>
              </w:rPr>
              <w:t>√</w:t>
            </w:r>
          </w:p>
        </w:tc>
        <w:tc>
          <w:tcPr>
            <w:tcW w:w="680" w:type="dxa"/>
            <w:tcBorders>
              <w:top w:val="nil"/>
              <w:left w:val="nil"/>
              <w:bottom w:val="nil"/>
              <w:right w:val="nil"/>
            </w:tcBorders>
          </w:tcPr>
          <w:p w14:paraId="1CECA799">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r>
              <w:rPr>
                <w:rFonts w:hint="eastAsia" w:cs="Times New Roman"/>
                <w:b w:val="0"/>
                <w:i w:val="0"/>
                <w:sz w:val="16"/>
                <w:lang w:val="en-US" w:eastAsia="zh-CN"/>
              </w:rPr>
              <w:t>√</w:t>
            </w:r>
          </w:p>
        </w:tc>
        <w:tc>
          <w:tcPr>
            <w:tcW w:w="680" w:type="dxa"/>
            <w:tcBorders>
              <w:top w:val="nil"/>
              <w:left w:val="nil"/>
              <w:bottom w:val="nil"/>
              <w:right w:val="nil"/>
            </w:tcBorders>
          </w:tcPr>
          <w:p w14:paraId="7B60487D">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p>
        </w:tc>
        <w:tc>
          <w:tcPr>
            <w:tcW w:w="879" w:type="dxa"/>
            <w:tcBorders>
              <w:top w:val="nil"/>
              <w:left w:val="nil"/>
              <w:bottom w:val="nil"/>
              <w:right w:val="nil"/>
            </w:tcBorders>
          </w:tcPr>
          <w:p w14:paraId="39087938">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default" w:eastAsia="宋体"/>
                <w:lang w:val="en-US" w:eastAsia="zh-CN"/>
              </w:rPr>
            </w:pPr>
            <w:r>
              <w:rPr>
                <w:rFonts w:hint="eastAsia" w:cs="Times New Roman"/>
                <w:b w:val="0"/>
                <w:i w:val="0"/>
                <w:sz w:val="16"/>
                <w:lang w:val="en-US" w:eastAsia="zh-CN"/>
              </w:rPr>
              <w:t>76.42</w:t>
            </w:r>
          </w:p>
        </w:tc>
      </w:tr>
      <w:tr w14:paraId="11122D39">
        <w:tblPrEx>
          <w:tblCellMar>
            <w:top w:w="0" w:type="dxa"/>
            <w:left w:w="108" w:type="dxa"/>
            <w:bottom w:w="0" w:type="dxa"/>
            <w:right w:w="108" w:type="dxa"/>
          </w:tblCellMar>
        </w:tblPrEx>
        <w:trPr>
          <w:jc w:val="center"/>
        </w:trPr>
        <w:tc>
          <w:tcPr>
            <w:tcW w:w="1701" w:type="dxa"/>
            <w:tcBorders>
              <w:top w:val="nil"/>
              <w:left w:val="nil"/>
              <w:bottom w:val="nil"/>
              <w:right w:val="nil"/>
            </w:tcBorders>
          </w:tcPr>
          <w:p w14:paraId="2283E2B7">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default"/>
                <w:lang w:val="en-US"/>
              </w:rPr>
            </w:pPr>
            <w:r>
              <w:rPr>
                <w:rFonts w:hint="eastAsia" w:cs="Times New Roman"/>
                <w:b w:val="0"/>
                <w:i w:val="0"/>
                <w:sz w:val="16"/>
                <w:lang w:val="en-US" w:eastAsia="zh-CN"/>
              </w:rPr>
              <w:t>Baseline+M+L+F</w:t>
            </w:r>
          </w:p>
        </w:tc>
        <w:tc>
          <w:tcPr>
            <w:tcW w:w="680" w:type="dxa"/>
            <w:tcBorders>
              <w:top w:val="nil"/>
              <w:left w:val="nil"/>
              <w:bottom w:val="nil"/>
              <w:right w:val="nil"/>
            </w:tcBorders>
          </w:tcPr>
          <w:p w14:paraId="56A775BA">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r>
              <w:rPr>
                <w:rFonts w:hint="eastAsia" w:cs="Times New Roman"/>
                <w:b w:val="0"/>
                <w:i w:val="0"/>
                <w:sz w:val="16"/>
                <w:lang w:val="en-US" w:eastAsia="zh-CN"/>
              </w:rPr>
              <w:t>√</w:t>
            </w:r>
          </w:p>
        </w:tc>
        <w:tc>
          <w:tcPr>
            <w:tcW w:w="680" w:type="dxa"/>
            <w:tcBorders>
              <w:top w:val="nil"/>
              <w:left w:val="nil"/>
              <w:bottom w:val="nil"/>
              <w:right w:val="nil"/>
            </w:tcBorders>
          </w:tcPr>
          <w:p w14:paraId="3833F8BF">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r>
              <w:rPr>
                <w:rFonts w:hint="eastAsia" w:cs="Times New Roman"/>
                <w:b w:val="0"/>
                <w:i w:val="0"/>
                <w:sz w:val="16"/>
                <w:lang w:val="en-US" w:eastAsia="zh-CN"/>
              </w:rPr>
              <w:t>√</w:t>
            </w:r>
          </w:p>
        </w:tc>
        <w:tc>
          <w:tcPr>
            <w:tcW w:w="680" w:type="dxa"/>
            <w:tcBorders>
              <w:top w:val="nil"/>
              <w:left w:val="nil"/>
              <w:bottom w:val="nil"/>
              <w:right w:val="nil"/>
            </w:tcBorders>
          </w:tcPr>
          <w:p w14:paraId="6F7F518E">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p>
        </w:tc>
        <w:tc>
          <w:tcPr>
            <w:tcW w:w="680" w:type="dxa"/>
            <w:tcBorders>
              <w:top w:val="nil"/>
              <w:left w:val="nil"/>
              <w:bottom w:val="nil"/>
              <w:right w:val="nil"/>
            </w:tcBorders>
          </w:tcPr>
          <w:p w14:paraId="79A61F97">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r>
              <w:rPr>
                <w:rFonts w:hint="eastAsia" w:cs="Times New Roman"/>
                <w:b w:val="0"/>
                <w:i w:val="0"/>
                <w:sz w:val="16"/>
                <w:lang w:val="en-US" w:eastAsia="zh-CN"/>
              </w:rPr>
              <w:t>√</w:t>
            </w:r>
          </w:p>
        </w:tc>
        <w:tc>
          <w:tcPr>
            <w:tcW w:w="879" w:type="dxa"/>
            <w:tcBorders>
              <w:top w:val="nil"/>
              <w:left w:val="nil"/>
              <w:bottom w:val="nil"/>
              <w:right w:val="nil"/>
            </w:tcBorders>
          </w:tcPr>
          <w:p w14:paraId="1A62B61A">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default" w:eastAsia="宋体"/>
                <w:lang w:val="en-US" w:eastAsia="zh-CN"/>
              </w:rPr>
            </w:pPr>
            <w:r>
              <w:rPr>
                <w:rFonts w:hint="eastAsia" w:cs="Times New Roman"/>
                <w:b w:val="0"/>
                <w:i w:val="0"/>
                <w:sz w:val="16"/>
                <w:lang w:val="en-US" w:eastAsia="zh-CN"/>
              </w:rPr>
              <w:t>76.56</w:t>
            </w:r>
          </w:p>
        </w:tc>
      </w:tr>
      <w:tr w14:paraId="07DAC84F">
        <w:tblPrEx>
          <w:tblCellMar>
            <w:top w:w="0" w:type="dxa"/>
            <w:left w:w="108" w:type="dxa"/>
            <w:bottom w:w="0" w:type="dxa"/>
            <w:right w:w="108" w:type="dxa"/>
          </w:tblCellMar>
        </w:tblPrEx>
        <w:trPr>
          <w:jc w:val="center"/>
        </w:trPr>
        <w:tc>
          <w:tcPr>
            <w:tcW w:w="1701" w:type="dxa"/>
            <w:tcBorders>
              <w:top w:val="nil"/>
              <w:left w:val="nil"/>
              <w:bottom w:val="single" w:color="000000" w:sz="12" w:space="0"/>
              <w:right w:val="nil"/>
            </w:tcBorders>
          </w:tcPr>
          <w:p w14:paraId="6A470CB1">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default"/>
                <w:lang w:val="en-US"/>
              </w:rPr>
            </w:pPr>
            <w:r>
              <w:rPr>
                <w:rFonts w:hint="eastAsia" w:cs="Times New Roman"/>
                <w:b w:val="0"/>
                <w:i w:val="0"/>
                <w:sz w:val="16"/>
                <w:lang w:val="en-US" w:eastAsia="zh-CN"/>
              </w:rPr>
              <w:t>Baseline+M+L+A+F</w:t>
            </w:r>
          </w:p>
        </w:tc>
        <w:tc>
          <w:tcPr>
            <w:tcW w:w="680" w:type="dxa"/>
            <w:tcBorders>
              <w:top w:val="nil"/>
              <w:left w:val="nil"/>
              <w:bottom w:val="single" w:color="000000" w:sz="12" w:space="0"/>
              <w:right w:val="nil"/>
            </w:tcBorders>
          </w:tcPr>
          <w:p w14:paraId="6F6FA62A">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r>
              <w:rPr>
                <w:rFonts w:hint="eastAsia" w:cs="Times New Roman"/>
                <w:b w:val="0"/>
                <w:i w:val="0"/>
                <w:sz w:val="16"/>
                <w:lang w:val="en-US" w:eastAsia="zh-CN"/>
              </w:rPr>
              <w:t>√</w:t>
            </w:r>
          </w:p>
        </w:tc>
        <w:tc>
          <w:tcPr>
            <w:tcW w:w="680" w:type="dxa"/>
            <w:tcBorders>
              <w:top w:val="nil"/>
              <w:left w:val="nil"/>
              <w:bottom w:val="single" w:color="000000" w:sz="12" w:space="0"/>
              <w:right w:val="nil"/>
            </w:tcBorders>
          </w:tcPr>
          <w:p w14:paraId="43F50C83">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r>
              <w:rPr>
                <w:rFonts w:hint="eastAsia" w:cs="Times New Roman"/>
                <w:b w:val="0"/>
                <w:i w:val="0"/>
                <w:sz w:val="16"/>
                <w:lang w:val="en-US" w:eastAsia="zh-CN"/>
              </w:rPr>
              <w:t>√</w:t>
            </w:r>
          </w:p>
        </w:tc>
        <w:tc>
          <w:tcPr>
            <w:tcW w:w="680" w:type="dxa"/>
            <w:tcBorders>
              <w:top w:val="nil"/>
              <w:left w:val="nil"/>
              <w:bottom w:val="single" w:color="000000" w:sz="12" w:space="0"/>
              <w:right w:val="nil"/>
            </w:tcBorders>
          </w:tcPr>
          <w:p w14:paraId="37A0D942">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r>
              <w:rPr>
                <w:rFonts w:hint="eastAsia" w:cs="Times New Roman"/>
                <w:b w:val="0"/>
                <w:i w:val="0"/>
                <w:sz w:val="16"/>
                <w:lang w:val="en-US" w:eastAsia="zh-CN"/>
              </w:rPr>
              <w:t>√</w:t>
            </w:r>
          </w:p>
        </w:tc>
        <w:tc>
          <w:tcPr>
            <w:tcW w:w="680" w:type="dxa"/>
            <w:tcBorders>
              <w:top w:val="nil"/>
              <w:left w:val="nil"/>
              <w:bottom w:val="single" w:color="000000" w:sz="12" w:space="0"/>
              <w:right w:val="nil"/>
            </w:tcBorders>
          </w:tcPr>
          <w:p w14:paraId="198A8723">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eastAsia" w:cs="Times New Roman"/>
                <w:b w:val="0"/>
                <w:i w:val="0"/>
                <w:sz w:val="16"/>
                <w:lang w:val="en-US" w:eastAsia="zh-CN"/>
              </w:rPr>
            </w:pPr>
            <w:r>
              <w:rPr>
                <w:rFonts w:hint="eastAsia" w:cs="Times New Roman"/>
                <w:b w:val="0"/>
                <w:i w:val="0"/>
                <w:sz w:val="16"/>
                <w:lang w:val="en-US" w:eastAsia="zh-CN"/>
              </w:rPr>
              <w:t>√</w:t>
            </w:r>
          </w:p>
        </w:tc>
        <w:tc>
          <w:tcPr>
            <w:tcW w:w="879" w:type="dxa"/>
            <w:tcBorders>
              <w:top w:val="nil"/>
              <w:left w:val="nil"/>
              <w:bottom w:val="single" w:color="000000" w:sz="12" w:space="0"/>
              <w:right w:val="nil"/>
            </w:tcBorders>
          </w:tcPr>
          <w:p w14:paraId="71295F20">
            <w:pPr>
              <w:keepNext w:val="0"/>
              <w:keepLines w:val="0"/>
              <w:pageBreakBefore w:val="0"/>
              <w:widowControl/>
              <w:kinsoku/>
              <w:wordWrap/>
              <w:overflowPunct/>
              <w:topLinePunct w:val="0"/>
              <w:autoSpaceDE/>
              <w:autoSpaceDN/>
              <w:bidi w:val="0"/>
              <w:adjustRightInd/>
              <w:snapToGrid/>
              <w:spacing w:before="20" w:after="20" w:line="276" w:lineRule="auto"/>
              <w:ind w:firstLine="0"/>
              <w:jc w:val="center"/>
              <w:textAlignment w:val="auto"/>
              <w:rPr>
                <w:rFonts w:hint="default" w:eastAsia="宋体"/>
                <w:lang w:val="en-US" w:eastAsia="zh-CN"/>
              </w:rPr>
            </w:pPr>
            <w:r>
              <w:rPr>
                <w:rFonts w:hint="eastAsia" w:cs="Times New Roman"/>
                <w:b w:val="0"/>
                <w:i w:val="0"/>
                <w:sz w:val="16"/>
                <w:lang w:val="en-US" w:eastAsia="zh-CN"/>
              </w:rPr>
              <w:t>76.61</w:t>
            </w:r>
          </w:p>
        </w:tc>
      </w:tr>
    </w:tbl>
    <w:p w14:paraId="06627A9B">
      <w:pPr>
        <w:spacing w:before="40" w:after="40" w:line="240" w:lineRule="auto"/>
      </w:pPr>
    </w:p>
    <w:p w14:paraId="4FD0E84E">
      <w:pPr>
        <w:spacing w:before="60" w:after="40" w:line="480" w:lineRule="auto"/>
        <w:jc w:val="left"/>
      </w:pPr>
      <w:r>
        <w:rPr>
          <w:rFonts w:ascii="Times New Roman" w:hAnsi="Times New Roman" w:eastAsia="黑体" w:cs="Times New Roman"/>
          <w:b/>
          <w:i w:val="0"/>
          <w:sz w:val="20"/>
        </w:rPr>
        <w:t>MoE配置的效果</w:t>
      </w:r>
    </w:p>
    <w:p w14:paraId="35688942">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hint="default" w:ascii="Times New Roman" w:hAnsi="Times New Roman" w:eastAsia="宋体" w:cs="Times New Roman"/>
          <w:b w:val="0"/>
          <w:i w:val="0"/>
          <w:sz w:val="20"/>
        </w:rPr>
      </w:pPr>
      <w:r>
        <w:rPr>
          <w:rFonts w:ascii="Times New Roman" w:hAnsi="Times New Roman" w:eastAsia="宋体" w:cs="Times New Roman"/>
          <w:b w:val="0"/>
          <w:i w:val="0"/>
          <w:sz w:val="20"/>
        </w:rPr>
        <w:t>表4报告了MFE专家数量E和Top-K选择对性能的影响。当E=1（即单一多尺度卷积，退化为无路由的标准增强）时，mAP为XX.XX%。增大E至4并配合Top-K=2路由带来了+X.XX%的显著改进，验证了多专家专业化分工的有效性。继续增大E至6或8时，性能趋于饱和甚至略微下降，同时计算开销持续增加，表明E=4, Top-K=2是精度-效率的帕累托最优配置。4</w:t>
      </w:r>
      <w:bookmarkStart w:id="0" w:name="_GoBack"/>
      <w:bookmarkEnd w:id="0"/>
    </w:p>
    <w:p w14:paraId="7BA0ED37">
      <w:pPr>
        <w:spacing w:before="120" w:after="60" w:line="360" w:lineRule="auto"/>
        <w:jc w:val="center"/>
      </w:pPr>
      <w:r>
        <w:rPr>
          <w:rFonts w:ascii="Times New Roman" w:hAnsi="Times New Roman" w:eastAsia="黑体" w:cs="Times New Roman"/>
          <w:b/>
          <w:i w:val="0"/>
          <w:sz w:val="18"/>
        </w:rPr>
        <w:t>表4  MoE配置（专家数量E和Top-K）在DOTA-v1.0验证集上的消融实验。默认配置E=4, K=2以粗体标记。</w:t>
      </w:r>
    </w:p>
    <w:tbl>
      <w:tblPr>
        <w:tblStyle w:val="32"/>
        <w:tblW w:w="1329" w:type="pct"/>
        <w:jc w:val="center"/>
        <w:tblLayout w:type="autofit"/>
        <w:tblCellMar>
          <w:top w:w="0" w:type="dxa"/>
          <w:left w:w="108" w:type="dxa"/>
          <w:bottom w:w="0" w:type="dxa"/>
          <w:right w:w="108" w:type="dxa"/>
        </w:tblCellMar>
      </w:tblPr>
      <w:tblGrid>
        <w:gridCol w:w="1134"/>
        <w:gridCol w:w="1133"/>
      </w:tblGrid>
      <w:tr w14:paraId="0A332C2C">
        <w:tblPrEx>
          <w:tblCellMar>
            <w:top w:w="0" w:type="dxa"/>
            <w:left w:w="108" w:type="dxa"/>
            <w:bottom w:w="0" w:type="dxa"/>
            <w:right w:w="108" w:type="dxa"/>
          </w:tblCellMar>
        </w:tblPrEx>
        <w:trPr>
          <w:jc w:val="center"/>
        </w:trPr>
        <w:tc>
          <w:tcPr>
            <w:tcW w:w="1134" w:type="dxa"/>
            <w:tcBorders>
              <w:top w:val="single" w:color="000000" w:sz="12" w:space="0"/>
              <w:bottom w:val="single" w:color="000000" w:sz="6" w:space="0"/>
            </w:tcBorders>
          </w:tcPr>
          <w:p w14:paraId="24A11E05">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eastAsia" w:eastAsia="宋体"/>
                <w:lang w:eastAsia="zh-CN"/>
              </w:rPr>
            </w:pPr>
            <w:r>
              <w:rPr>
                <w:rFonts w:hint="eastAsia" w:eastAsia="黑体" w:cs="Times New Roman"/>
                <w:b/>
                <w:i w:val="0"/>
                <w:sz w:val="16"/>
                <w:lang w:val="en-US" w:eastAsia="zh-CN"/>
              </w:rPr>
              <w:t>Place</w:t>
            </w:r>
          </w:p>
        </w:tc>
        <w:tc>
          <w:tcPr>
            <w:tcW w:w="1134" w:type="dxa"/>
            <w:tcBorders>
              <w:top w:val="single" w:color="000000" w:sz="12" w:space="0"/>
              <w:bottom w:val="single" w:color="000000" w:sz="6" w:space="0"/>
            </w:tcBorders>
          </w:tcPr>
          <w:p w14:paraId="7FB72010">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pPr>
            <w:r>
              <w:rPr>
                <w:rFonts w:ascii="Times New Roman" w:hAnsi="Times New Roman" w:eastAsia="黑体" w:cs="Times New Roman"/>
                <w:b/>
                <w:i w:val="0"/>
                <w:sz w:val="16"/>
              </w:rPr>
              <w:t>mAP (%)</w:t>
            </w:r>
          </w:p>
        </w:tc>
      </w:tr>
      <w:tr w14:paraId="7DE74EFF">
        <w:tblPrEx>
          <w:tblCellMar>
            <w:top w:w="0" w:type="dxa"/>
            <w:left w:w="108" w:type="dxa"/>
            <w:bottom w:w="0" w:type="dxa"/>
            <w:right w:w="108" w:type="dxa"/>
          </w:tblCellMar>
        </w:tblPrEx>
        <w:trPr>
          <w:jc w:val="center"/>
        </w:trPr>
        <w:tc>
          <w:tcPr>
            <w:tcW w:w="1134" w:type="dxa"/>
            <w:tcBorders>
              <w:top w:val="nil"/>
              <w:left w:val="nil"/>
              <w:bottom w:val="nil"/>
              <w:right w:val="nil"/>
            </w:tcBorders>
          </w:tcPr>
          <w:p w14:paraId="43BCEFB4">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eastAsia="宋体"/>
                <w:lang w:val="en-US" w:eastAsia="zh-CN"/>
              </w:rPr>
            </w:pPr>
            <w:r>
              <w:rPr>
                <w:rFonts w:hint="eastAsia" w:cs="Times New Roman"/>
                <w:b w:val="0"/>
                <w:i w:val="0"/>
                <w:sz w:val="16"/>
                <w:lang w:val="en-US" w:eastAsia="zh-CN"/>
              </w:rPr>
              <w:t>P2</w:t>
            </w:r>
          </w:p>
        </w:tc>
        <w:tc>
          <w:tcPr>
            <w:tcW w:w="1134" w:type="dxa"/>
            <w:tcBorders>
              <w:top w:val="nil"/>
              <w:left w:val="nil"/>
              <w:bottom w:val="nil"/>
              <w:right w:val="nil"/>
            </w:tcBorders>
          </w:tcPr>
          <w:p w14:paraId="759064B2">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eastAsia="宋体"/>
                <w:lang w:val="en-US" w:eastAsia="zh-CN"/>
              </w:rPr>
            </w:pPr>
            <w:r>
              <w:rPr>
                <w:rFonts w:hint="eastAsia" w:cs="Times New Roman"/>
                <w:b w:val="0"/>
                <w:i w:val="0"/>
                <w:sz w:val="16"/>
                <w:lang w:val="en-US" w:eastAsia="zh-CN"/>
              </w:rPr>
              <w:t>76.09</w:t>
            </w:r>
          </w:p>
        </w:tc>
      </w:tr>
      <w:tr w14:paraId="53A0467E">
        <w:tblPrEx>
          <w:tblCellMar>
            <w:top w:w="0" w:type="dxa"/>
            <w:left w:w="108" w:type="dxa"/>
            <w:bottom w:w="0" w:type="dxa"/>
            <w:right w:w="108" w:type="dxa"/>
          </w:tblCellMar>
        </w:tblPrEx>
        <w:trPr>
          <w:jc w:val="center"/>
        </w:trPr>
        <w:tc>
          <w:tcPr>
            <w:tcW w:w="1134" w:type="dxa"/>
            <w:tcBorders>
              <w:top w:val="nil"/>
              <w:left w:val="nil"/>
              <w:bottom w:val="nil"/>
              <w:right w:val="nil"/>
            </w:tcBorders>
          </w:tcPr>
          <w:p w14:paraId="711B3632">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lang w:val="en-US"/>
              </w:rPr>
            </w:pPr>
            <w:r>
              <w:rPr>
                <w:rFonts w:hint="eastAsia" w:cs="Times New Roman"/>
                <w:b w:val="0"/>
                <w:i w:val="0"/>
                <w:sz w:val="16"/>
                <w:lang w:val="en-US" w:eastAsia="zh-CN"/>
              </w:rPr>
              <w:t>P2+P3</w:t>
            </w:r>
          </w:p>
        </w:tc>
        <w:tc>
          <w:tcPr>
            <w:tcW w:w="1134" w:type="dxa"/>
            <w:tcBorders>
              <w:top w:val="nil"/>
              <w:left w:val="nil"/>
              <w:bottom w:val="nil"/>
              <w:right w:val="nil"/>
            </w:tcBorders>
          </w:tcPr>
          <w:p w14:paraId="37009995">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eastAsia="宋体"/>
                <w:lang w:val="en-US" w:eastAsia="zh-CN"/>
              </w:rPr>
            </w:pPr>
            <w:r>
              <w:rPr>
                <w:rFonts w:hint="eastAsia" w:cs="Times New Roman"/>
                <w:b w:val="0"/>
                <w:i w:val="0"/>
                <w:sz w:val="16"/>
                <w:lang w:val="en-US" w:eastAsia="zh-CN"/>
              </w:rPr>
              <w:t>76.41</w:t>
            </w:r>
          </w:p>
        </w:tc>
      </w:tr>
      <w:tr w14:paraId="5EFFE546">
        <w:tblPrEx>
          <w:tblCellMar>
            <w:top w:w="0" w:type="dxa"/>
            <w:left w:w="108" w:type="dxa"/>
            <w:bottom w:w="0" w:type="dxa"/>
            <w:right w:w="108" w:type="dxa"/>
          </w:tblCellMar>
        </w:tblPrEx>
        <w:trPr>
          <w:jc w:val="center"/>
        </w:trPr>
        <w:tc>
          <w:tcPr>
            <w:tcW w:w="1134" w:type="dxa"/>
            <w:tcBorders>
              <w:top w:val="nil"/>
              <w:left w:val="nil"/>
              <w:bottom w:val="single" w:color="auto" w:sz="12" w:space="0"/>
              <w:right w:val="nil"/>
            </w:tcBorders>
            <w:vAlign w:val="top"/>
          </w:tcPr>
          <w:p w14:paraId="6BD4CBB2">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eastAsia="宋体"/>
                <w:lang w:val="en-US" w:eastAsia="zh-CN"/>
              </w:rPr>
            </w:pPr>
            <w:r>
              <w:rPr>
                <w:rFonts w:hint="eastAsia" w:cs="Times New Roman"/>
                <w:b w:val="0"/>
                <w:i w:val="0"/>
                <w:sz w:val="16"/>
                <w:lang w:val="en-US" w:eastAsia="zh-CN"/>
              </w:rPr>
              <w:t>P2+P3+P4</w:t>
            </w:r>
          </w:p>
        </w:tc>
        <w:tc>
          <w:tcPr>
            <w:tcW w:w="1134" w:type="dxa"/>
            <w:tcBorders>
              <w:top w:val="nil"/>
              <w:left w:val="nil"/>
              <w:bottom w:val="single" w:color="auto" w:sz="12" w:space="0"/>
              <w:right w:val="nil"/>
            </w:tcBorders>
            <w:vAlign w:val="top"/>
          </w:tcPr>
          <w:p w14:paraId="1B76779F">
            <w:pPr>
              <w:keepNext w:val="0"/>
              <w:keepLines w:val="0"/>
              <w:pageBreakBefore w:val="0"/>
              <w:widowControl/>
              <w:kinsoku/>
              <w:wordWrap/>
              <w:overflowPunct/>
              <w:topLinePunct w:val="0"/>
              <w:autoSpaceDE/>
              <w:autoSpaceDN/>
              <w:bidi w:val="0"/>
              <w:adjustRightInd/>
              <w:snapToGrid/>
              <w:spacing w:before="0" w:after="0" w:line="240" w:lineRule="auto"/>
              <w:ind w:firstLine="0"/>
              <w:jc w:val="center"/>
              <w:textAlignment w:val="auto"/>
              <w:rPr>
                <w:rFonts w:hint="default" w:eastAsia="宋体"/>
                <w:lang w:val="en-US" w:eastAsia="zh-CN"/>
              </w:rPr>
            </w:pPr>
            <w:r>
              <w:rPr>
                <w:rFonts w:hint="eastAsia" w:cs="Times New Roman"/>
                <w:b w:val="0"/>
                <w:i w:val="0"/>
                <w:sz w:val="16"/>
                <w:lang w:val="en-US" w:eastAsia="zh-CN"/>
              </w:rPr>
              <w:t>76.61</w:t>
            </w:r>
          </w:p>
        </w:tc>
      </w:tr>
    </w:tbl>
    <w:p w14:paraId="2A399F9A">
      <w:pPr>
        <w:spacing w:before="40" w:after="40" w:line="240" w:lineRule="auto"/>
      </w:pPr>
    </w:p>
    <w:p w14:paraId="0AC95B43">
      <w:pPr>
        <w:spacing w:before="60" w:after="40" w:line="480" w:lineRule="auto"/>
        <w:jc w:val="left"/>
      </w:pPr>
      <w:r>
        <w:rPr>
          <w:rFonts w:ascii="Times New Roman" w:hAnsi="Times New Roman" w:eastAsia="黑体" w:cs="Times New Roman"/>
          <w:b/>
          <w:i w:val="0"/>
          <w:sz w:val="20"/>
        </w:rPr>
        <w:t>融合模式配置的效果</w:t>
      </w:r>
    </w:p>
    <w:p w14:paraId="29D09659">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表5探索了不同金字塔层级融合模式的配置方案。在所有层级使用adder融合（等效于标准FPN）为基线。对P₅、P₄、P₃三个高层级相继应用ARFC增强，每增加一个增强层级均带来一致的mAP提升（分别+X.X%、+X.X%、+X.X%）。进一步对P₂应用ARFC增强时，提升幅度显著减小（+X.X%），但参数和计算开销继续增加，效率-精度边际效益递减。默认配置选择P₃-P₅三级增强，提供了最佳的精度-效率权衡。5</w:t>
      </w:r>
    </w:p>
    <w:p w14:paraId="12E538EC">
      <w:pPr>
        <w:spacing w:before="120" w:after="60" w:line="360" w:lineRule="auto"/>
        <w:jc w:val="center"/>
      </w:pPr>
      <w:r>
        <w:rPr>
          <w:rFonts w:ascii="Times New Roman" w:hAnsi="Times New Roman" w:eastAsia="黑体" w:cs="Times New Roman"/>
          <w:b/>
          <w:i w:val="0"/>
          <w:sz w:val="18"/>
        </w:rPr>
        <w:t>表5  逐层融合模式配置在DOTA-v1.0验证集上的消融实验。'add'为标准FPN加法，'arfc'为ARFC增强融合。</w:t>
      </w:r>
    </w:p>
    <w:tbl>
      <w:tblPr>
        <w:tblStyle w:val="32"/>
        <w:tblW w:w="5000" w:type="pct"/>
        <w:tblInd w:w="0" w:type="dxa"/>
        <w:tblLayout w:type="autofit"/>
        <w:tblCellMar>
          <w:top w:w="0" w:type="dxa"/>
          <w:left w:w="108" w:type="dxa"/>
          <w:bottom w:w="0" w:type="dxa"/>
          <w:right w:w="108" w:type="dxa"/>
        </w:tblCellMar>
      </w:tblPr>
      <w:tblGrid>
        <w:gridCol w:w="4264"/>
        <w:gridCol w:w="4264"/>
      </w:tblGrid>
      <w:tr w14:paraId="192BFF5D">
        <w:tblPrEx>
          <w:tblCellMar>
            <w:top w:w="0" w:type="dxa"/>
            <w:left w:w="108" w:type="dxa"/>
            <w:bottom w:w="0" w:type="dxa"/>
            <w:right w:w="108" w:type="dxa"/>
          </w:tblCellMar>
        </w:tblPrEx>
        <w:tc>
          <w:tcPr>
            <w:tcW w:w="4156" w:type="dxa"/>
            <w:tcBorders>
              <w:top w:val="single" w:color="000000" w:sz="12" w:space="0"/>
              <w:bottom w:val="single" w:color="000000" w:sz="6" w:space="0"/>
            </w:tcBorders>
          </w:tcPr>
          <w:p w14:paraId="7E6F74C4">
            <w:pPr>
              <w:spacing w:before="20" w:after="20" w:line="276" w:lineRule="auto"/>
              <w:jc w:val="center"/>
            </w:pPr>
            <w:r>
              <w:rPr>
                <w:rFonts w:ascii="Times New Roman" w:hAnsi="Times New Roman" w:eastAsia="黑体" w:cs="Times New Roman"/>
                <w:b/>
                <w:i w:val="0"/>
                <w:sz w:val="16"/>
              </w:rPr>
              <w:t>融合模式</w:t>
            </w:r>
          </w:p>
        </w:tc>
        <w:tc>
          <w:tcPr>
            <w:tcW w:w="4156" w:type="dxa"/>
            <w:tcBorders>
              <w:top w:val="single" w:color="000000" w:sz="12" w:space="0"/>
              <w:bottom w:val="single" w:color="000000" w:sz="6" w:space="0"/>
            </w:tcBorders>
          </w:tcPr>
          <w:p w14:paraId="26FBFB4A">
            <w:pPr>
              <w:spacing w:before="20" w:after="20" w:line="276" w:lineRule="auto"/>
              <w:jc w:val="center"/>
            </w:pPr>
            <w:r>
              <w:rPr>
                <w:rFonts w:ascii="Times New Roman" w:hAnsi="Times New Roman" w:eastAsia="黑体" w:cs="Times New Roman"/>
                <w:b/>
                <w:i w:val="0"/>
                <w:sz w:val="16"/>
              </w:rPr>
              <w:t>mAP (%)</w:t>
            </w:r>
          </w:p>
        </w:tc>
      </w:tr>
      <w:tr w14:paraId="3E35B156">
        <w:tblPrEx>
          <w:tblCellMar>
            <w:top w:w="0" w:type="dxa"/>
            <w:left w:w="108" w:type="dxa"/>
            <w:bottom w:w="0" w:type="dxa"/>
            <w:right w:w="108" w:type="dxa"/>
          </w:tblCellMar>
        </w:tblPrEx>
        <w:tc>
          <w:tcPr>
            <w:tcW w:w="4156" w:type="dxa"/>
            <w:tcBorders>
              <w:top w:val="nil"/>
              <w:left w:val="nil"/>
              <w:bottom w:val="nil"/>
              <w:right w:val="nil"/>
            </w:tcBorders>
          </w:tcPr>
          <w:p w14:paraId="036DDF2E">
            <w:pPr>
              <w:spacing w:before="20" w:after="20" w:line="276" w:lineRule="auto"/>
              <w:jc w:val="center"/>
            </w:pPr>
            <w:r>
              <w:rPr>
                <w:rFonts w:ascii="Times New Roman" w:hAnsi="Times New Roman" w:eastAsia="宋体" w:cs="Times New Roman"/>
                <w:b w:val="0"/>
                <w:i w:val="0"/>
                <w:sz w:val="16"/>
              </w:rPr>
              <w:t>add, add, add, add</w:t>
            </w:r>
          </w:p>
        </w:tc>
        <w:tc>
          <w:tcPr>
            <w:tcW w:w="4156" w:type="dxa"/>
            <w:tcBorders>
              <w:top w:val="nil"/>
              <w:left w:val="nil"/>
              <w:bottom w:val="nil"/>
              <w:right w:val="nil"/>
            </w:tcBorders>
          </w:tcPr>
          <w:p w14:paraId="17272D22">
            <w:pPr>
              <w:spacing w:before="20" w:after="20" w:line="276" w:lineRule="auto"/>
              <w:jc w:val="center"/>
            </w:pPr>
            <w:r>
              <w:rPr>
                <w:rFonts w:ascii="Times New Roman" w:hAnsi="Times New Roman" w:eastAsia="宋体" w:cs="Times New Roman"/>
                <w:b w:val="0"/>
                <w:i w:val="0"/>
                <w:sz w:val="16"/>
              </w:rPr>
              <w:t>76.35</w:t>
            </w:r>
          </w:p>
        </w:tc>
      </w:tr>
      <w:tr w14:paraId="1EFD0E0B">
        <w:tblPrEx>
          <w:tblCellMar>
            <w:top w:w="0" w:type="dxa"/>
            <w:left w:w="108" w:type="dxa"/>
            <w:bottom w:w="0" w:type="dxa"/>
            <w:right w:w="108" w:type="dxa"/>
          </w:tblCellMar>
        </w:tblPrEx>
        <w:tc>
          <w:tcPr>
            <w:tcW w:w="4156" w:type="dxa"/>
            <w:tcBorders>
              <w:top w:val="nil"/>
              <w:left w:val="nil"/>
              <w:bottom w:val="nil"/>
              <w:right w:val="nil"/>
            </w:tcBorders>
          </w:tcPr>
          <w:p w14:paraId="0B8B53F6">
            <w:pPr>
              <w:spacing w:before="20" w:after="20" w:line="276" w:lineRule="auto"/>
              <w:jc w:val="center"/>
            </w:pPr>
            <w:r>
              <w:rPr>
                <w:rFonts w:ascii="Times New Roman" w:hAnsi="Times New Roman" w:eastAsia="宋体" w:cs="Times New Roman"/>
                <w:b w:val="0"/>
                <w:i w:val="0"/>
                <w:sz w:val="16"/>
              </w:rPr>
              <w:t>add, add, add, arfc</w:t>
            </w:r>
          </w:p>
        </w:tc>
        <w:tc>
          <w:tcPr>
            <w:tcW w:w="4156" w:type="dxa"/>
            <w:tcBorders>
              <w:top w:val="nil"/>
              <w:left w:val="nil"/>
              <w:bottom w:val="nil"/>
              <w:right w:val="nil"/>
            </w:tcBorders>
          </w:tcPr>
          <w:p w14:paraId="39C4DDB7">
            <w:pPr>
              <w:spacing w:before="20" w:after="20" w:line="276" w:lineRule="auto"/>
              <w:jc w:val="center"/>
            </w:pPr>
            <w:r>
              <w:rPr>
                <w:rFonts w:ascii="Times New Roman" w:hAnsi="Times New Roman" w:eastAsia="宋体" w:cs="Times New Roman"/>
                <w:b w:val="0"/>
                <w:i w:val="0"/>
                <w:sz w:val="16"/>
              </w:rPr>
              <w:t>XX.XX</w:t>
            </w:r>
          </w:p>
        </w:tc>
      </w:tr>
      <w:tr w14:paraId="6A86A7B9">
        <w:tblPrEx>
          <w:tblCellMar>
            <w:top w:w="0" w:type="dxa"/>
            <w:left w:w="108" w:type="dxa"/>
            <w:bottom w:w="0" w:type="dxa"/>
            <w:right w:w="108" w:type="dxa"/>
          </w:tblCellMar>
        </w:tblPrEx>
        <w:tc>
          <w:tcPr>
            <w:tcW w:w="4156" w:type="dxa"/>
            <w:tcBorders>
              <w:top w:val="nil"/>
              <w:left w:val="nil"/>
              <w:bottom w:val="nil"/>
              <w:right w:val="nil"/>
            </w:tcBorders>
          </w:tcPr>
          <w:p w14:paraId="195E0A04">
            <w:pPr>
              <w:spacing w:before="20" w:after="20" w:line="276" w:lineRule="auto"/>
              <w:jc w:val="center"/>
            </w:pPr>
            <w:r>
              <w:rPr>
                <w:rFonts w:ascii="Times New Roman" w:hAnsi="Times New Roman" w:eastAsia="宋体" w:cs="Times New Roman"/>
                <w:b w:val="0"/>
                <w:i w:val="0"/>
                <w:sz w:val="16"/>
              </w:rPr>
              <w:t>add, add, arfc, arfc</w:t>
            </w:r>
          </w:p>
        </w:tc>
        <w:tc>
          <w:tcPr>
            <w:tcW w:w="4156" w:type="dxa"/>
            <w:tcBorders>
              <w:top w:val="nil"/>
              <w:left w:val="nil"/>
              <w:bottom w:val="nil"/>
              <w:right w:val="nil"/>
            </w:tcBorders>
          </w:tcPr>
          <w:p w14:paraId="3AF1E9FE">
            <w:pPr>
              <w:spacing w:before="20" w:after="20" w:line="276" w:lineRule="auto"/>
              <w:jc w:val="center"/>
            </w:pPr>
            <w:r>
              <w:rPr>
                <w:rFonts w:ascii="Times New Roman" w:hAnsi="Times New Roman" w:eastAsia="宋体" w:cs="Times New Roman"/>
                <w:b w:val="0"/>
                <w:i w:val="0"/>
                <w:sz w:val="16"/>
              </w:rPr>
              <w:t>XX.XX</w:t>
            </w:r>
          </w:p>
        </w:tc>
      </w:tr>
      <w:tr w14:paraId="50C539B9">
        <w:tblPrEx>
          <w:tblCellMar>
            <w:top w:w="0" w:type="dxa"/>
            <w:left w:w="108" w:type="dxa"/>
            <w:bottom w:w="0" w:type="dxa"/>
            <w:right w:w="108" w:type="dxa"/>
          </w:tblCellMar>
        </w:tblPrEx>
        <w:tc>
          <w:tcPr>
            <w:tcW w:w="4156" w:type="dxa"/>
            <w:tcBorders>
              <w:top w:val="nil"/>
              <w:left w:val="nil"/>
              <w:bottom w:val="nil"/>
              <w:right w:val="nil"/>
            </w:tcBorders>
          </w:tcPr>
          <w:p w14:paraId="4FE5E9F2">
            <w:pPr>
              <w:spacing w:before="20" w:after="20" w:line="276" w:lineRule="auto"/>
              <w:jc w:val="center"/>
            </w:pPr>
            <w:r>
              <w:rPr>
                <w:rFonts w:ascii="Times New Roman" w:hAnsi="Times New Roman" w:eastAsia="宋体" w:cs="Times New Roman"/>
                <w:b w:val="0"/>
                <w:i w:val="0"/>
                <w:sz w:val="16"/>
              </w:rPr>
              <w:t>add, arfc, arfc, arfc</w:t>
            </w:r>
          </w:p>
        </w:tc>
        <w:tc>
          <w:tcPr>
            <w:tcW w:w="4156" w:type="dxa"/>
            <w:tcBorders>
              <w:top w:val="nil"/>
              <w:left w:val="nil"/>
              <w:bottom w:val="nil"/>
              <w:right w:val="nil"/>
            </w:tcBorders>
          </w:tcPr>
          <w:p w14:paraId="12B59520">
            <w:pPr>
              <w:spacing w:before="20" w:after="20" w:line="276" w:lineRule="auto"/>
              <w:jc w:val="center"/>
            </w:pPr>
            <w:r>
              <w:rPr>
                <w:rFonts w:ascii="Times New Roman" w:hAnsi="Times New Roman" w:eastAsia="宋体" w:cs="Times New Roman"/>
                <w:b w:val="0"/>
                <w:i w:val="0"/>
                <w:sz w:val="16"/>
              </w:rPr>
              <w:t>XX.XX</w:t>
            </w:r>
          </w:p>
        </w:tc>
      </w:tr>
      <w:tr w14:paraId="15F71778">
        <w:tblPrEx>
          <w:tblCellMar>
            <w:top w:w="0" w:type="dxa"/>
            <w:left w:w="108" w:type="dxa"/>
            <w:bottom w:w="0" w:type="dxa"/>
            <w:right w:w="108" w:type="dxa"/>
          </w:tblCellMar>
        </w:tblPrEx>
        <w:tc>
          <w:tcPr>
            <w:tcW w:w="4156" w:type="dxa"/>
            <w:tcBorders>
              <w:top w:val="nil"/>
              <w:left w:val="nil"/>
              <w:bottom w:val="single" w:color="000000" w:sz="12" w:space="0"/>
              <w:right w:val="nil"/>
            </w:tcBorders>
          </w:tcPr>
          <w:p w14:paraId="3FA49BBA">
            <w:pPr>
              <w:spacing w:before="20" w:after="20" w:line="276" w:lineRule="auto"/>
              <w:jc w:val="center"/>
            </w:pPr>
            <w:r>
              <w:rPr>
                <w:rFonts w:ascii="Times New Roman" w:hAnsi="Times New Roman" w:eastAsia="宋体" w:cs="Times New Roman"/>
                <w:b w:val="0"/>
                <w:i w:val="0"/>
                <w:sz w:val="16"/>
              </w:rPr>
              <w:t>arfc, arfc, arfc, arfc</w:t>
            </w:r>
          </w:p>
        </w:tc>
        <w:tc>
          <w:tcPr>
            <w:tcW w:w="4156" w:type="dxa"/>
            <w:tcBorders>
              <w:top w:val="nil"/>
              <w:left w:val="nil"/>
              <w:bottom w:val="single" w:color="000000" w:sz="12" w:space="0"/>
              <w:right w:val="nil"/>
            </w:tcBorders>
          </w:tcPr>
          <w:p w14:paraId="79889C9A">
            <w:pPr>
              <w:spacing w:before="20" w:after="20" w:line="276" w:lineRule="auto"/>
              <w:jc w:val="center"/>
            </w:pPr>
            <w:r>
              <w:rPr>
                <w:rFonts w:ascii="Times New Roman" w:hAnsi="Times New Roman" w:eastAsia="宋体" w:cs="Times New Roman"/>
                <w:b w:val="0"/>
                <w:i w:val="0"/>
                <w:sz w:val="16"/>
              </w:rPr>
              <w:t>XX.XX</w:t>
            </w:r>
          </w:p>
        </w:tc>
      </w:tr>
    </w:tbl>
    <w:p w14:paraId="3D629B7B">
      <w:pPr>
        <w:spacing w:before="40" w:after="40" w:line="240" w:lineRule="auto"/>
      </w:pPr>
    </w:p>
    <w:p w14:paraId="7DFF990E">
      <w:pPr>
        <w:spacing w:before="60" w:after="40" w:line="480" w:lineRule="auto"/>
        <w:jc w:val="left"/>
      </w:pPr>
      <w:r>
        <w:rPr>
          <w:rFonts w:ascii="Times New Roman" w:hAnsi="Times New Roman" w:eastAsia="黑体" w:cs="Times New Roman"/>
          <w:b/>
          <w:i w:val="0"/>
          <w:sz w:val="20"/>
        </w:rPr>
        <w:t>均衡损失的效果</w:t>
      </w:r>
    </w:p>
    <w:p w14:paraId="6C9F74FE">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图X和表6展示了平衡损失权重λ_balance对专家利用率和检测性能的影响。当λ_balance=0（无平衡约束）时，路由器快速退化为仅选择1-2个专家，其余专家几乎从未被使用，专家利用率方差高达X.XX，mAP仅为XX.XX%。引入λ_balance=0.01的平衡损失后，所有四个专家的利用率趋于均匀（方差降至X.XX），mAP随之提升至XX.XX%（+X.X%）。过大的λ_balance（如0.1）强制专家过度均匀化，抑制了路由器的专业化选择能力，mAP反而下降至XX.XX%。该实验清晰地验证了适度平衡约束对于MoE路由有效性的关键作用。6</w:t>
      </w:r>
    </w:p>
    <w:p w14:paraId="43A1A54F">
      <w:pPr>
        <w:spacing w:before="120" w:after="60" w:line="360" w:lineRule="auto"/>
        <w:jc w:val="center"/>
      </w:pPr>
      <w:r>
        <w:rPr>
          <w:rFonts w:ascii="Times New Roman" w:hAnsi="Times New Roman" w:eastAsia="黑体" w:cs="Times New Roman"/>
          <w:b/>
          <w:i w:val="0"/>
          <w:sz w:val="18"/>
        </w:rPr>
        <w:t>表6  平衡损失权重λ_balance对专家利用率方差和mAP的影响（DOTA-v1.0验证集）。</w:t>
      </w:r>
    </w:p>
    <w:tbl>
      <w:tblPr>
        <w:tblStyle w:val="32"/>
        <w:tblW w:w="5000" w:type="pct"/>
        <w:tblInd w:w="0" w:type="dxa"/>
        <w:tblLayout w:type="autofit"/>
        <w:tblCellMar>
          <w:top w:w="0" w:type="dxa"/>
          <w:left w:w="108" w:type="dxa"/>
          <w:bottom w:w="0" w:type="dxa"/>
          <w:right w:w="108" w:type="dxa"/>
        </w:tblCellMar>
      </w:tblPr>
      <w:tblGrid>
        <w:gridCol w:w="2842"/>
        <w:gridCol w:w="2843"/>
        <w:gridCol w:w="2843"/>
      </w:tblGrid>
      <w:tr w14:paraId="7804090D">
        <w:tc>
          <w:tcPr>
            <w:tcW w:w="2771" w:type="dxa"/>
            <w:tcBorders>
              <w:top w:val="single" w:color="000000" w:sz="12" w:space="0"/>
              <w:bottom w:val="single" w:color="000000" w:sz="6" w:space="0"/>
            </w:tcBorders>
          </w:tcPr>
          <w:p w14:paraId="060BBFCD">
            <w:pPr>
              <w:spacing w:before="20" w:after="20" w:line="276" w:lineRule="auto"/>
              <w:jc w:val="center"/>
            </w:pPr>
          </w:p>
        </w:tc>
        <w:tc>
          <w:tcPr>
            <w:tcW w:w="2771" w:type="dxa"/>
            <w:tcBorders>
              <w:top w:val="single" w:color="000000" w:sz="12" w:space="0"/>
              <w:bottom w:val="single" w:color="000000" w:sz="6" w:space="0"/>
            </w:tcBorders>
          </w:tcPr>
          <w:p w14:paraId="2A194F13">
            <w:pPr>
              <w:spacing w:before="20" w:after="20" w:line="276" w:lineRule="auto"/>
              <w:jc w:val="center"/>
            </w:pPr>
            <w:r>
              <w:rPr>
                <w:rFonts w:ascii="Times New Roman" w:hAnsi="Times New Roman" w:eastAsia="黑体" w:cs="Times New Roman"/>
                <w:b/>
                <w:i w:val="0"/>
                <w:sz w:val="16"/>
              </w:rPr>
              <w:t>专家利用率的CV</w:t>
            </w:r>
          </w:p>
        </w:tc>
        <w:tc>
          <w:tcPr>
            <w:tcW w:w="2771" w:type="dxa"/>
            <w:tcBorders>
              <w:top w:val="single" w:color="000000" w:sz="12" w:space="0"/>
              <w:bottom w:val="single" w:color="000000" w:sz="6" w:space="0"/>
            </w:tcBorders>
          </w:tcPr>
          <w:p w14:paraId="2C2CCE07">
            <w:pPr>
              <w:spacing w:before="20" w:after="20" w:line="276" w:lineRule="auto"/>
              <w:jc w:val="center"/>
            </w:pPr>
            <w:r>
              <w:rPr>
                <w:rFonts w:ascii="Times New Roman" w:hAnsi="Times New Roman" w:eastAsia="黑体" w:cs="Times New Roman"/>
                <w:b/>
                <w:i w:val="0"/>
                <w:sz w:val="16"/>
              </w:rPr>
              <w:t>mAP (%)</w:t>
            </w:r>
          </w:p>
        </w:tc>
      </w:tr>
      <w:tr w14:paraId="76F3C9FA">
        <w:tblPrEx>
          <w:tblCellMar>
            <w:top w:w="0" w:type="dxa"/>
            <w:left w:w="108" w:type="dxa"/>
            <w:bottom w:w="0" w:type="dxa"/>
            <w:right w:w="108" w:type="dxa"/>
          </w:tblCellMar>
        </w:tblPrEx>
        <w:tc>
          <w:tcPr>
            <w:tcW w:w="2771" w:type="dxa"/>
            <w:tcBorders>
              <w:top w:val="nil"/>
              <w:left w:val="nil"/>
              <w:bottom w:val="nil"/>
              <w:right w:val="nil"/>
            </w:tcBorders>
          </w:tcPr>
          <w:p w14:paraId="586973A2">
            <w:pPr>
              <w:spacing w:before="20" w:after="20" w:line="276" w:lineRule="auto"/>
              <w:jc w:val="center"/>
            </w:pPr>
            <w:r>
              <w:rPr>
                <w:rFonts w:ascii="Times New Roman" w:hAnsi="Times New Roman" w:eastAsia="宋体" w:cs="Times New Roman"/>
                <w:b w:val="0"/>
                <w:i w:val="0"/>
                <w:sz w:val="16"/>
              </w:rPr>
              <w:t>0.0</w:t>
            </w:r>
          </w:p>
        </w:tc>
        <w:tc>
          <w:tcPr>
            <w:tcW w:w="2771" w:type="dxa"/>
            <w:tcBorders>
              <w:top w:val="nil"/>
              <w:left w:val="nil"/>
              <w:bottom w:val="nil"/>
              <w:right w:val="nil"/>
            </w:tcBorders>
          </w:tcPr>
          <w:p w14:paraId="04DFA505">
            <w:pPr>
              <w:spacing w:before="20" w:after="20" w:line="276" w:lineRule="auto"/>
              <w:jc w:val="center"/>
            </w:pPr>
            <w:r>
              <w:rPr>
                <w:rFonts w:ascii="Times New Roman" w:hAnsi="Times New Roman" w:eastAsia="宋体" w:cs="Times New Roman"/>
                <w:b w:val="0"/>
                <w:i w:val="0"/>
                <w:sz w:val="16"/>
              </w:rPr>
              <w:t>1.25</w:t>
            </w:r>
          </w:p>
        </w:tc>
        <w:tc>
          <w:tcPr>
            <w:tcW w:w="2771" w:type="dxa"/>
            <w:tcBorders>
              <w:top w:val="nil"/>
              <w:left w:val="nil"/>
              <w:bottom w:val="nil"/>
              <w:right w:val="nil"/>
            </w:tcBorders>
          </w:tcPr>
          <w:p w14:paraId="66BD5A54">
            <w:pPr>
              <w:spacing w:before="20" w:after="20" w:line="276" w:lineRule="auto"/>
              <w:jc w:val="center"/>
            </w:pPr>
            <w:r>
              <w:rPr>
                <w:rFonts w:ascii="Times New Roman" w:hAnsi="Times New Roman" w:eastAsia="宋体" w:cs="Times New Roman"/>
                <w:b w:val="0"/>
                <w:i w:val="0"/>
                <w:sz w:val="16"/>
              </w:rPr>
              <w:t>XX.XX</w:t>
            </w:r>
          </w:p>
        </w:tc>
      </w:tr>
      <w:tr w14:paraId="51744EC9">
        <w:tblPrEx>
          <w:tblCellMar>
            <w:top w:w="0" w:type="dxa"/>
            <w:left w:w="108" w:type="dxa"/>
            <w:bottom w:w="0" w:type="dxa"/>
            <w:right w:w="108" w:type="dxa"/>
          </w:tblCellMar>
        </w:tblPrEx>
        <w:tc>
          <w:tcPr>
            <w:tcW w:w="2771" w:type="dxa"/>
            <w:tcBorders>
              <w:top w:val="nil"/>
              <w:left w:val="nil"/>
              <w:bottom w:val="nil"/>
              <w:right w:val="nil"/>
            </w:tcBorders>
          </w:tcPr>
          <w:p w14:paraId="4362C0A8">
            <w:pPr>
              <w:spacing w:before="20" w:after="20" w:line="276" w:lineRule="auto"/>
              <w:jc w:val="center"/>
            </w:pPr>
            <w:r>
              <w:rPr>
                <w:rFonts w:ascii="Times New Roman" w:hAnsi="Times New Roman" w:eastAsia="宋体" w:cs="Times New Roman"/>
                <w:b w:val="0"/>
                <w:i w:val="0"/>
                <w:sz w:val="16"/>
              </w:rPr>
              <w:t>0.001</w:t>
            </w:r>
          </w:p>
        </w:tc>
        <w:tc>
          <w:tcPr>
            <w:tcW w:w="2771" w:type="dxa"/>
            <w:tcBorders>
              <w:top w:val="nil"/>
              <w:left w:val="nil"/>
              <w:bottom w:val="nil"/>
              <w:right w:val="nil"/>
            </w:tcBorders>
          </w:tcPr>
          <w:p w14:paraId="55876073">
            <w:pPr>
              <w:spacing w:before="20" w:after="20" w:line="276" w:lineRule="auto"/>
              <w:jc w:val="center"/>
            </w:pPr>
            <w:r>
              <w:rPr>
                <w:rFonts w:ascii="Times New Roman" w:hAnsi="Times New Roman" w:eastAsia="宋体" w:cs="Times New Roman"/>
                <w:b w:val="0"/>
                <w:i w:val="0"/>
                <w:sz w:val="16"/>
              </w:rPr>
              <w:t>0.45</w:t>
            </w:r>
          </w:p>
        </w:tc>
        <w:tc>
          <w:tcPr>
            <w:tcW w:w="2771" w:type="dxa"/>
            <w:tcBorders>
              <w:top w:val="nil"/>
              <w:left w:val="nil"/>
              <w:bottom w:val="nil"/>
              <w:right w:val="nil"/>
            </w:tcBorders>
          </w:tcPr>
          <w:p w14:paraId="0D335663">
            <w:pPr>
              <w:spacing w:before="20" w:after="20" w:line="276" w:lineRule="auto"/>
              <w:jc w:val="center"/>
            </w:pPr>
            <w:r>
              <w:rPr>
                <w:rFonts w:ascii="Times New Roman" w:hAnsi="Times New Roman" w:eastAsia="宋体" w:cs="Times New Roman"/>
                <w:b w:val="0"/>
                <w:i w:val="0"/>
                <w:sz w:val="16"/>
              </w:rPr>
              <w:t>XX.XX</w:t>
            </w:r>
          </w:p>
        </w:tc>
      </w:tr>
      <w:tr w14:paraId="4653456A">
        <w:tblPrEx>
          <w:tblCellMar>
            <w:top w:w="0" w:type="dxa"/>
            <w:left w:w="108" w:type="dxa"/>
            <w:bottom w:w="0" w:type="dxa"/>
            <w:right w:w="108" w:type="dxa"/>
          </w:tblCellMar>
        </w:tblPrEx>
        <w:tc>
          <w:tcPr>
            <w:tcW w:w="2771" w:type="dxa"/>
            <w:tcBorders>
              <w:top w:val="nil"/>
              <w:left w:val="nil"/>
              <w:bottom w:val="nil"/>
              <w:right w:val="nil"/>
            </w:tcBorders>
          </w:tcPr>
          <w:p w14:paraId="788302F6">
            <w:pPr>
              <w:spacing w:before="20" w:after="20" w:line="276" w:lineRule="auto"/>
              <w:jc w:val="center"/>
            </w:pPr>
            <w:r>
              <w:rPr>
                <w:rFonts w:ascii="Times New Roman" w:hAnsi="Times New Roman" w:eastAsia="宋体" w:cs="Times New Roman"/>
                <w:b w:val="0"/>
                <w:i w:val="0"/>
                <w:sz w:val="16"/>
              </w:rPr>
              <w:t>0.01</w:t>
            </w:r>
          </w:p>
        </w:tc>
        <w:tc>
          <w:tcPr>
            <w:tcW w:w="2771" w:type="dxa"/>
            <w:tcBorders>
              <w:top w:val="nil"/>
              <w:left w:val="nil"/>
              <w:bottom w:val="nil"/>
              <w:right w:val="nil"/>
            </w:tcBorders>
          </w:tcPr>
          <w:p w14:paraId="710F8DC8">
            <w:pPr>
              <w:spacing w:before="20" w:after="20" w:line="276" w:lineRule="auto"/>
              <w:jc w:val="center"/>
            </w:pPr>
            <w:r>
              <w:rPr>
                <w:rFonts w:ascii="Times New Roman" w:hAnsi="Times New Roman" w:eastAsia="宋体" w:cs="Times New Roman"/>
                <w:b w:val="0"/>
                <w:i w:val="0"/>
                <w:sz w:val="16"/>
              </w:rPr>
              <w:t>0.12</w:t>
            </w:r>
          </w:p>
        </w:tc>
        <w:tc>
          <w:tcPr>
            <w:tcW w:w="2771" w:type="dxa"/>
            <w:tcBorders>
              <w:top w:val="nil"/>
              <w:left w:val="nil"/>
              <w:bottom w:val="nil"/>
              <w:right w:val="nil"/>
            </w:tcBorders>
          </w:tcPr>
          <w:p w14:paraId="3BEC3B48">
            <w:pPr>
              <w:spacing w:before="20" w:after="20" w:line="276" w:lineRule="auto"/>
              <w:jc w:val="center"/>
            </w:pPr>
            <w:r>
              <w:rPr>
                <w:rFonts w:ascii="Times New Roman" w:hAnsi="Times New Roman" w:eastAsia="宋体" w:cs="Times New Roman"/>
                <w:b w:val="0"/>
                <w:i w:val="0"/>
                <w:sz w:val="16"/>
              </w:rPr>
              <w:t>XX.XX</w:t>
            </w:r>
          </w:p>
        </w:tc>
      </w:tr>
      <w:tr w14:paraId="62FCE60D">
        <w:tblPrEx>
          <w:tblCellMar>
            <w:top w:w="0" w:type="dxa"/>
            <w:left w:w="108" w:type="dxa"/>
            <w:bottom w:w="0" w:type="dxa"/>
            <w:right w:w="108" w:type="dxa"/>
          </w:tblCellMar>
        </w:tblPrEx>
        <w:tc>
          <w:tcPr>
            <w:tcW w:w="2771" w:type="dxa"/>
            <w:tcBorders>
              <w:top w:val="nil"/>
              <w:left w:val="nil"/>
              <w:bottom w:val="single" w:color="000000" w:sz="12" w:space="0"/>
              <w:right w:val="nil"/>
            </w:tcBorders>
          </w:tcPr>
          <w:p w14:paraId="3E08CF1B">
            <w:pPr>
              <w:spacing w:before="20" w:after="20" w:line="276" w:lineRule="auto"/>
              <w:jc w:val="center"/>
            </w:pPr>
            <w:r>
              <w:rPr>
                <w:rFonts w:ascii="Times New Roman" w:hAnsi="Times New Roman" w:eastAsia="宋体" w:cs="Times New Roman"/>
                <w:b w:val="0"/>
                <w:i w:val="0"/>
                <w:sz w:val="16"/>
              </w:rPr>
              <w:t>0.1</w:t>
            </w:r>
          </w:p>
        </w:tc>
        <w:tc>
          <w:tcPr>
            <w:tcW w:w="2771" w:type="dxa"/>
            <w:tcBorders>
              <w:top w:val="nil"/>
              <w:left w:val="nil"/>
              <w:bottom w:val="single" w:color="000000" w:sz="12" w:space="0"/>
              <w:right w:val="nil"/>
            </w:tcBorders>
          </w:tcPr>
          <w:p w14:paraId="4EF8A6CD">
            <w:pPr>
              <w:spacing w:before="20" w:after="20" w:line="276" w:lineRule="auto"/>
              <w:jc w:val="center"/>
            </w:pPr>
            <w:r>
              <w:rPr>
                <w:rFonts w:ascii="Times New Roman" w:hAnsi="Times New Roman" w:eastAsia="宋体" w:cs="Times New Roman"/>
                <w:b w:val="0"/>
                <w:i w:val="0"/>
                <w:sz w:val="16"/>
              </w:rPr>
              <w:t>0.08</w:t>
            </w:r>
          </w:p>
        </w:tc>
        <w:tc>
          <w:tcPr>
            <w:tcW w:w="2771" w:type="dxa"/>
            <w:tcBorders>
              <w:top w:val="nil"/>
              <w:left w:val="nil"/>
              <w:bottom w:val="single" w:color="000000" w:sz="12" w:space="0"/>
              <w:right w:val="nil"/>
            </w:tcBorders>
          </w:tcPr>
          <w:p w14:paraId="34D2AA5B">
            <w:pPr>
              <w:spacing w:before="20" w:after="20" w:line="276" w:lineRule="auto"/>
              <w:jc w:val="center"/>
            </w:pPr>
            <w:r>
              <w:rPr>
                <w:rFonts w:ascii="Times New Roman" w:hAnsi="Times New Roman" w:eastAsia="宋体" w:cs="Times New Roman"/>
                <w:b w:val="0"/>
                <w:i w:val="0"/>
                <w:sz w:val="16"/>
              </w:rPr>
              <w:t>XX.XX</w:t>
            </w:r>
          </w:p>
        </w:tc>
      </w:tr>
    </w:tbl>
    <w:p w14:paraId="5321239B">
      <w:pPr>
        <w:spacing w:before="40" w:after="40" w:line="240" w:lineRule="auto"/>
      </w:pPr>
    </w:p>
    <w:p w14:paraId="44FDA91E">
      <w:pPr>
        <w:spacing w:before="80" w:after="40" w:line="480" w:lineRule="auto"/>
        <w:jc w:val="left"/>
      </w:pPr>
      <w:r>
        <w:rPr>
          <w:rFonts w:ascii="Times New Roman" w:hAnsi="Times New Roman" w:eastAsia="黑体" w:cs="Times New Roman"/>
          <w:b/>
          <w:i w:val="0"/>
          <w:sz w:val="20"/>
        </w:rPr>
        <w:t>计算效率分析</w:t>
      </w:r>
    </w:p>
    <w:p w14:paraId="69660454">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表7比较了不同FPN架构的参数量、FLOPs和推理延迟。AFE-FPN相比标准FPN增加了约X.XM参数（+XX%）和X.XG FLOPs（+XX%），但带来了X.XX%的mAP提升。效率-精度比（mAP/FLOPs）优于大多数近期FPN变体。稀疏Top-K路由机制是效率控制的关键——尽管MFE包含4个专家（总参数约为单路径的4倍），但每个空间位置仅激活其中2个，实际推理计算量约为单路径的2倍。网格级路由相比像素级路由额外减少了约75%的路由计算开销。值得注意的是，分支B2和B3在推理时可以选择性禁用，为用户提供了根据部署场景灵活调节计算预算的能力。7</w:t>
      </w:r>
    </w:p>
    <w:p w14:paraId="6D5C415A">
      <w:pPr>
        <w:spacing w:before="120" w:after="60" w:line="360" w:lineRule="auto"/>
        <w:jc w:val="center"/>
      </w:pPr>
      <w:r>
        <w:rPr>
          <w:rFonts w:ascii="Times New Roman" w:hAnsi="Times New Roman" w:eastAsia="黑体" w:cs="Times New Roman"/>
          <w:b/>
          <w:i w:val="0"/>
          <w:sz w:val="18"/>
        </w:rPr>
        <w:t>表7  不同FPN架构的参数量、FLOPs和mAP效率比较。所有数据在输入分辨率1024×1024下测量。</w:t>
      </w:r>
    </w:p>
    <w:tbl>
      <w:tblPr>
        <w:tblStyle w:val="32"/>
        <w:tblW w:w="5000" w:type="pct"/>
        <w:tblInd w:w="0" w:type="dxa"/>
        <w:tblLayout w:type="autofit"/>
        <w:tblCellMar>
          <w:top w:w="0" w:type="dxa"/>
          <w:left w:w="108" w:type="dxa"/>
          <w:bottom w:w="0" w:type="dxa"/>
          <w:right w:w="108" w:type="dxa"/>
        </w:tblCellMar>
      </w:tblPr>
      <w:tblGrid>
        <w:gridCol w:w="2132"/>
        <w:gridCol w:w="2132"/>
        <w:gridCol w:w="2132"/>
        <w:gridCol w:w="2132"/>
      </w:tblGrid>
      <w:tr w14:paraId="1353E2B2">
        <w:tblPrEx>
          <w:tblCellMar>
            <w:top w:w="0" w:type="dxa"/>
            <w:left w:w="108" w:type="dxa"/>
            <w:bottom w:w="0" w:type="dxa"/>
            <w:right w:w="108" w:type="dxa"/>
          </w:tblCellMar>
        </w:tblPrEx>
        <w:tc>
          <w:tcPr>
            <w:tcW w:w="2078" w:type="dxa"/>
            <w:tcBorders>
              <w:top w:val="single" w:color="000000" w:sz="12" w:space="0"/>
              <w:bottom w:val="single" w:color="000000" w:sz="6" w:space="0"/>
            </w:tcBorders>
          </w:tcPr>
          <w:p w14:paraId="3B2CEE58">
            <w:pPr>
              <w:spacing w:before="20" w:after="20" w:line="276" w:lineRule="auto"/>
              <w:jc w:val="center"/>
            </w:pPr>
            <w:r>
              <w:rPr>
                <w:rFonts w:ascii="Times New Roman" w:hAnsi="Times New Roman" w:eastAsia="黑体" w:cs="Times New Roman"/>
                <w:b/>
                <w:i w:val="0"/>
                <w:sz w:val="16"/>
              </w:rPr>
              <w:t>颈部</w:t>
            </w:r>
          </w:p>
        </w:tc>
        <w:tc>
          <w:tcPr>
            <w:tcW w:w="2078" w:type="dxa"/>
            <w:tcBorders>
              <w:top w:val="single" w:color="000000" w:sz="12" w:space="0"/>
              <w:bottom w:val="single" w:color="000000" w:sz="6" w:space="0"/>
            </w:tcBorders>
          </w:tcPr>
          <w:p w14:paraId="793B4E76">
            <w:pPr>
              <w:spacing w:before="20" w:after="20" w:line="276" w:lineRule="auto"/>
              <w:jc w:val="center"/>
            </w:pPr>
            <w:r>
              <w:rPr>
                <w:rFonts w:ascii="Times New Roman" w:hAnsi="Times New Roman" w:eastAsia="黑体" w:cs="Times New Roman"/>
                <w:b/>
                <w:i w:val="0"/>
                <w:sz w:val="16"/>
              </w:rPr>
              <w:t>参数量 (M)</w:t>
            </w:r>
          </w:p>
        </w:tc>
        <w:tc>
          <w:tcPr>
            <w:tcW w:w="2078" w:type="dxa"/>
            <w:tcBorders>
              <w:top w:val="single" w:color="000000" w:sz="12" w:space="0"/>
              <w:bottom w:val="single" w:color="000000" w:sz="6" w:space="0"/>
            </w:tcBorders>
          </w:tcPr>
          <w:p w14:paraId="7C2FE696">
            <w:pPr>
              <w:spacing w:before="20" w:after="20" w:line="276" w:lineRule="auto"/>
              <w:jc w:val="center"/>
            </w:pPr>
            <w:r>
              <w:rPr>
                <w:rFonts w:ascii="Times New Roman" w:hAnsi="Times New Roman" w:eastAsia="黑体" w:cs="Times New Roman"/>
                <w:b/>
                <w:i w:val="0"/>
                <w:sz w:val="16"/>
              </w:rPr>
              <w:t>FLOPs (G)</w:t>
            </w:r>
          </w:p>
        </w:tc>
        <w:tc>
          <w:tcPr>
            <w:tcW w:w="2078" w:type="dxa"/>
            <w:tcBorders>
              <w:top w:val="single" w:color="000000" w:sz="12" w:space="0"/>
              <w:bottom w:val="single" w:color="000000" w:sz="6" w:space="0"/>
            </w:tcBorders>
          </w:tcPr>
          <w:p w14:paraId="47C9E096">
            <w:pPr>
              <w:spacing w:before="20" w:after="20" w:line="276" w:lineRule="auto"/>
              <w:jc w:val="center"/>
            </w:pPr>
            <w:r>
              <w:rPr>
                <w:rFonts w:ascii="Times New Roman" w:hAnsi="Times New Roman" w:eastAsia="黑体" w:cs="Times New Roman"/>
                <w:b/>
                <w:i w:val="0"/>
                <w:sz w:val="16"/>
              </w:rPr>
              <w:t>mAP (%)</w:t>
            </w:r>
          </w:p>
        </w:tc>
      </w:tr>
      <w:tr w14:paraId="35211C14">
        <w:tblPrEx>
          <w:tblCellMar>
            <w:top w:w="0" w:type="dxa"/>
            <w:left w:w="108" w:type="dxa"/>
            <w:bottom w:w="0" w:type="dxa"/>
            <w:right w:w="108" w:type="dxa"/>
          </w:tblCellMar>
        </w:tblPrEx>
        <w:tc>
          <w:tcPr>
            <w:tcW w:w="2078" w:type="dxa"/>
            <w:tcBorders>
              <w:top w:val="nil"/>
              <w:left w:val="nil"/>
              <w:bottom w:val="nil"/>
              <w:right w:val="nil"/>
            </w:tcBorders>
          </w:tcPr>
          <w:p w14:paraId="1330E934">
            <w:pPr>
              <w:spacing w:before="20" w:after="20" w:line="276" w:lineRule="auto"/>
              <w:jc w:val="center"/>
            </w:pPr>
            <w:r>
              <w:rPr>
                <w:rFonts w:ascii="Times New Roman" w:hAnsi="Times New Roman" w:eastAsia="宋体" w:cs="Times New Roman"/>
                <w:b w:val="0"/>
                <w:i w:val="0"/>
                <w:sz w:val="16"/>
              </w:rPr>
              <w:t>FPN（基线）</w:t>
            </w:r>
          </w:p>
        </w:tc>
        <w:tc>
          <w:tcPr>
            <w:tcW w:w="2078" w:type="dxa"/>
            <w:tcBorders>
              <w:top w:val="nil"/>
              <w:left w:val="nil"/>
              <w:bottom w:val="nil"/>
              <w:right w:val="nil"/>
            </w:tcBorders>
          </w:tcPr>
          <w:p w14:paraId="509003ED">
            <w:pPr>
              <w:spacing w:before="20" w:after="20" w:line="276" w:lineRule="auto"/>
              <w:jc w:val="center"/>
            </w:pPr>
            <w:r>
              <w:rPr>
                <w:rFonts w:ascii="Times New Roman" w:hAnsi="Times New Roman" w:eastAsia="宋体" w:cs="Times New Roman"/>
                <w:b w:val="0"/>
                <w:i w:val="0"/>
                <w:sz w:val="16"/>
              </w:rPr>
              <w:t>3.34</w:t>
            </w:r>
          </w:p>
        </w:tc>
        <w:tc>
          <w:tcPr>
            <w:tcW w:w="2078" w:type="dxa"/>
            <w:tcBorders>
              <w:top w:val="nil"/>
              <w:left w:val="nil"/>
              <w:bottom w:val="nil"/>
              <w:right w:val="nil"/>
            </w:tcBorders>
          </w:tcPr>
          <w:p w14:paraId="55822CD6">
            <w:pPr>
              <w:spacing w:before="20" w:after="20" w:line="276" w:lineRule="auto"/>
              <w:jc w:val="center"/>
            </w:pPr>
            <w:r>
              <w:rPr>
                <w:rFonts w:ascii="Times New Roman" w:hAnsi="Times New Roman" w:eastAsia="宋体" w:cs="Times New Roman"/>
                <w:b w:val="0"/>
                <w:i w:val="0"/>
                <w:sz w:val="16"/>
              </w:rPr>
              <w:t>–</w:t>
            </w:r>
          </w:p>
        </w:tc>
        <w:tc>
          <w:tcPr>
            <w:tcW w:w="2078" w:type="dxa"/>
            <w:tcBorders>
              <w:top w:val="nil"/>
              <w:left w:val="nil"/>
              <w:bottom w:val="nil"/>
              <w:right w:val="nil"/>
            </w:tcBorders>
          </w:tcPr>
          <w:p w14:paraId="388CA72B">
            <w:pPr>
              <w:spacing w:before="20" w:after="20" w:line="276" w:lineRule="auto"/>
              <w:jc w:val="center"/>
            </w:pPr>
            <w:r>
              <w:rPr>
                <w:rFonts w:ascii="Times New Roman" w:hAnsi="Times New Roman" w:eastAsia="宋体" w:cs="Times New Roman"/>
                <w:b w:val="0"/>
                <w:i w:val="0"/>
                <w:sz w:val="16"/>
              </w:rPr>
              <w:t>76.35</w:t>
            </w:r>
          </w:p>
        </w:tc>
      </w:tr>
      <w:tr w14:paraId="146674BA">
        <w:tblPrEx>
          <w:tblCellMar>
            <w:top w:w="0" w:type="dxa"/>
            <w:left w:w="108" w:type="dxa"/>
            <w:bottom w:w="0" w:type="dxa"/>
            <w:right w:w="108" w:type="dxa"/>
          </w:tblCellMar>
        </w:tblPrEx>
        <w:tc>
          <w:tcPr>
            <w:tcW w:w="2078" w:type="dxa"/>
            <w:tcBorders>
              <w:top w:val="nil"/>
              <w:left w:val="nil"/>
              <w:bottom w:val="nil"/>
              <w:right w:val="nil"/>
            </w:tcBorders>
          </w:tcPr>
          <w:p w14:paraId="7784A874">
            <w:pPr>
              <w:spacing w:before="20" w:after="20" w:line="276" w:lineRule="auto"/>
              <w:jc w:val="center"/>
            </w:pPr>
            <w:r>
              <w:rPr>
                <w:rFonts w:ascii="Times New Roman" w:hAnsi="Times New Roman" w:eastAsia="宋体" w:cs="Times New Roman"/>
                <w:b w:val="0"/>
                <w:i w:val="0"/>
                <w:sz w:val="16"/>
              </w:rPr>
              <w:t>AFE-FPN（仅B1）</w:t>
            </w:r>
          </w:p>
        </w:tc>
        <w:tc>
          <w:tcPr>
            <w:tcW w:w="2078" w:type="dxa"/>
            <w:tcBorders>
              <w:top w:val="nil"/>
              <w:left w:val="nil"/>
              <w:bottom w:val="nil"/>
              <w:right w:val="nil"/>
            </w:tcBorders>
          </w:tcPr>
          <w:p w14:paraId="1EDF2006">
            <w:pPr>
              <w:spacing w:before="20" w:after="20" w:line="276" w:lineRule="auto"/>
              <w:jc w:val="center"/>
            </w:pPr>
            <w:r>
              <w:rPr>
                <w:rFonts w:ascii="Times New Roman" w:hAnsi="Times New Roman" w:eastAsia="宋体" w:cs="Times New Roman"/>
                <w:b w:val="0"/>
                <w:i w:val="0"/>
                <w:sz w:val="16"/>
              </w:rPr>
              <w:t>X.XX</w:t>
            </w:r>
          </w:p>
        </w:tc>
        <w:tc>
          <w:tcPr>
            <w:tcW w:w="2078" w:type="dxa"/>
            <w:tcBorders>
              <w:top w:val="nil"/>
              <w:left w:val="nil"/>
              <w:bottom w:val="nil"/>
              <w:right w:val="nil"/>
            </w:tcBorders>
          </w:tcPr>
          <w:p w14:paraId="22E848EC">
            <w:pPr>
              <w:spacing w:before="20" w:after="20" w:line="276" w:lineRule="auto"/>
              <w:jc w:val="center"/>
            </w:pPr>
            <w:r>
              <w:rPr>
                <w:rFonts w:ascii="Times New Roman" w:hAnsi="Times New Roman" w:eastAsia="宋体" w:cs="Times New Roman"/>
                <w:b w:val="0"/>
                <w:i w:val="0"/>
                <w:sz w:val="16"/>
              </w:rPr>
              <w:t>–</w:t>
            </w:r>
          </w:p>
        </w:tc>
        <w:tc>
          <w:tcPr>
            <w:tcW w:w="2078" w:type="dxa"/>
            <w:tcBorders>
              <w:top w:val="nil"/>
              <w:left w:val="nil"/>
              <w:bottom w:val="nil"/>
              <w:right w:val="nil"/>
            </w:tcBorders>
          </w:tcPr>
          <w:p w14:paraId="3441C8D7">
            <w:pPr>
              <w:spacing w:before="20" w:after="20" w:line="276" w:lineRule="auto"/>
              <w:jc w:val="center"/>
            </w:pPr>
            <w:r>
              <w:rPr>
                <w:rFonts w:ascii="Times New Roman" w:hAnsi="Times New Roman" w:eastAsia="宋体" w:cs="Times New Roman"/>
                <w:b w:val="0"/>
                <w:i w:val="0"/>
                <w:sz w:val="16"/>
              </w:rPr>
              <w:t>XX.XX</w:t>
            </w:r>
          </w:p>
        </w:tc>
      </w:tr>
      <w:tr w14:paraId="7A6481C3">
        <w:tblPrEx>
          <w:tblCellMar>
            <w:top w:w="0" w:type="dxa"/>
            <w:left w:w="108" w:type="dxa"/>
            <w:bottom w:w="0" w:type="dxa"/>
            <w:right w:w="108" w:type="dxa"/>
          </w:tblCellMar>
        </w:tblPrEx>
        <w:tc>
          <w:tcPr>
            <w:tcW w:w="2078" w:type="dxa"/>
            <w:tcBorders>
              <w:top w:val="nil"/>
              <w:left w:val="nil"/>
              <w:bottom w:val="nil"/>
              <w:right w:val="nil"/>
            </w:tcBorders>
          </w:tcPr>
          <w:p w14:paraId="7153991F">
            <w:pPr>
              <w:spacing w:before="20" w:after="20" w:line="276" w:lineRule="auto"/>
              <w:jc w:val="center"/>
            </w:pPr>
            <w:r>
              <w:rPr>
                <w:rFonts w:ascii="Times New Roman" w:hAnsi="Times New Roman" w:eastAsia="宋体" w:cs="Times New Roman"/>
                <w:b w:val="0"/>
                <w:i w:val="0"/>
                <w:sz w:val="16"/>
              </w:rPr>
              <w:t>AFE-FPN（B1+B2+B3）</w:t>
            </w:r>
          </w:p>
        </w:tc>
        <w:tc>
          <w:tcPr>
            <w:tcW w:w="2078" w:type="dxa"/>
            <w:tcBorders>
              <w:top w:val="nil"/>
              <w:left w:val="nil"/>
              <w:bottom w:val="nil"/>
              <w:right w:val="nil"/>
            </w:tcBorders>
          </w:tcPr>
          <w:p w14:paraId="4AE92F36">
            <w:pPr>
              <w:spacing w:before="20" w:after="20" w:line="276" w:lineRule="auto"/>
              <w:jc w:val="center"/>
            </w:pPr>
            <w:r>
              <w:rPr>
                <w:rFonts w:ascii="Times New Roman" w:hAnsi="Times New Roman" w:eastAsia="宋体" w:cs="Times New Roman"/>
                <w:b w:val="0"/>
                <w:i w:val="0"/>
                <w:sz w:val="16"/>
              </w:rPr>
              <w:t>X.XX</w:t>
            </w:r>
          </w:p>
        </w:tc>
        <w:tc>
          <w:tcPr>
            <w:tcW w:w="2078" w:type="dxa"/>
            <w:tcBorders>
              <w:top w:val="nil"/>
              <w:left w:val="nil"/>
              <w:bottom w:val="nil"/>
              <w:right w:val="nil"/>
            </w:tcBorders>
          </w:tcPr>
          <w:p w14:paraId="768FCF65">
            <w:pPr>
              <w:spacing w:before="20" w:after="20" w:line="276" w:lineRule="auto"/>
              <w:jc w:val="center"/>
            </w:pPr>
            <w:r>
              <w:rPr>
                <w:rFonts w:ascii="Times New Roman" w:hAnsi="Times New Roman" w:eastAsia="宋体" w:cs="Times New Roman"/>
                <w:b w:val="0"/>
                <w:i w:val="0"/>
                <w:sz w:val="16"/>
              </w:rPr>
              <w:t>–</w:t>
            </w:r>
          </w:p>
        </w:tc>
        <w:tc>
          <w:tcPr>
            <w:tcW w:w="2078" w:type="dxa"/>
            <w:tcBorders>
              <w:top w:val="nil"/>
              <w:left w:val="nil"/>
              <w:bottom w:val="nil"/>
              <w:right w:val="nil"/>
            </w:tcBorders>
          </w:tcPr>
          <w:p w14:paraId="7C1D14B8">
            <w:pPr>
              <w:spacing w:before="20" w:after="20" w:line="276" w:lineRule="auto"/>
              <w:jc w:val="center"/>
            </w:pPr>
            <w:r>
              <w:rPr>
                <w:rFonts w:ascii="Times New Roman" w:hAnsi="Times New Roman" w:eastAsia="宋体" w:cs="Times New Roman"/>
                <w:b w:val="0"/>
                <w:i w:val="0"/>
                <w:sz w:val="16"/>
              </w:rPr>
              <w:t>XX.XX</w:t>
            </w:r>
          </w:p>
        </w:tc>
      </w:tr>
      <w:tr w14:paraId="187B8448">
        <w:tblPrEx>
          <w:tblCellMar>
            <w:top w:w="0" w:type="dxa"/>
            <w:left w:w="108" w:type="dxa"/>
            <w:bottom w:w="0" w:type="dxa"/>
            <w:right w:w="108" w:type="dxa"/>
          </w:tblCellMar>
        </w:tblPrEx>
        <w:tc>
          <w:tcPr>
            <w:tcW w:w="2078" w:type="dxa"/>
            <w:tcBorders>
              <w:top w:val="nil"/>
              <w:left w:val="nil"/>
              <w:bottom w:val="single" w:color="000000" w:sz="12" w:space="0"/>
              <w:right w:val="nil"/>
            </w:tcBorders>
          </w:tcPr>
          <w:p w14:paraId="6E15A431">
            <w:pPr>
              <w:spacing w:before="20" w:after="20" w:line="276" w:lineRule="auto"/>
              <w:jc w:val="center"/>
            </w:pPr>
            <w:r>
              <w:rPr>
                <w:rFonts w:ascii="Times New Roman" w:hAnsi="Times New Roman" w:eastAsia="宋体" w:cs="Times New Roman"/>
                <w:b w:val="0"/>
                <w:i w:val="0"/>
                <w:sz w:val="16"/>
              </w:rPr>
              <w:t>AFE-FPN（完整，N=4）</w:t>
            </w:r>
          </w:p>
        </w:tc>
        <w:tc>
          <w:tcPr>
            <w:tcW w:w="2078" w:type="dxa"/>
            <w:tcBorders>
              <w:top w:val="nil"/>
              <w:left w:val="nil"/>
              <w:bottom w:val="single" w:color="000000" w:sz="12" w:space="0"/>
              <w:right w:val="nil"/>
            </w:tcBorders>
          </w:tcPr>
          <w:p w14:paraId="11985665">
            <w:pPr>
              <w:spacing w:before="20" w:after="20" w:line="276" w:lineRule="auto"/>
              <w:jc w:val="center"/>
            </w:pPr>
            <w:r>
              <w:rPr>
                <w:rFonts w:ascii="Times New Roman" w:hAnsi="Times New Roman" w:eastAsia="宋体" w:cs="Times New Roman"/>
                <w:b w:val="0"/>
                <w:i w:val="0"/>
                <w:sz w:val="16"/>
              </w:rPr>
              <w:t>X.XX</w:t>
            </w:r>
          </w:p>
        </w:tc>
        <w:tc>
          <w:tcPr>
            <w:tcW w:w="2078" w:type="dxa"/>
            <w:tcBorders>
              <w:top w:val="nil"/>
              <w:left w:val="nil"/>
              <w:bottom w:val="single" w:color="000000" w:sz="12" w:space="0"/>
              <w:right w:val="nil"/>
            </w:tcBorders>
          </w:tcPr>
          <w:p w14:paraId="447C2CDE">
            <w:pPr>
              <w:spacing w:before="20" w:after="20" w:line="276" w:lineRule="auto"/>
              <w:jc w:val="center"/>
            </w:pPr>
            <w:r>
              <w:rPr>
                <w:rFonts w:ascii="Times New Roman" w:hAnsi="Times New Roman" w:eastAsia="宋体" w:cs="Times New Roman"/>
                <w:b w:val="0"/>
                <w:i w:val="0"/>
                <w:sz w:val="16"/>
              </w:rPr>
              <w:t>–</w:t>
            </w:r>
          </w:p>
        </w:tc>
        <w:tc>
          <w:tcPr>
            <w:tcW w:w="2078" w:type="dxa"/>
            <w:tcBorders>
              <w:top w:val="nil"/>
              <w:left w:val="nil"/>
              <w:bottom w:val="single" w:color="000000" w:sz="12" w:space="0"/>
              <w:right w:val="nil"/>
            </w:tcBorders>
          </w:tcPr>
          <w:p w14:paraId="48BA511B">
            <w:pPr>
              <w:spacing w:before="20" w:after="20" w:line="276" w:lineRule="auto"/>
              <w:jc w:val="center"/>
            </w:pPr>
            <w:r>
              <w:rPr>
                <w:rFonts w:ascii="Times New Roman" w:hAnsi="Times New Roman" w:eastAsia="宋体" w:cs="Times New Roman"/>
                <w:b w:val="0"/>
                <w:i w:val="0"/>
                <w:sz w:val="16"/>
              </w:rPr>
              <w:t>XX.XX</w:t>
            </w:r>
          </w:p>
        </w:tc>
      </w:tr>
    </w:tbl>
    <w:p w14:paraId="496FDEE4">
      <w:pPr>
        <w:spacing w:before="40" w:after="40" w:line="240" w:lineRule="auto"/>
      </w:pPr>
    </w:p>
    <w:p w14:paraId="493FC6AF">
      <w:pPr>
        <w:spacing w:before="80" w:after="40" w:line="480" w:lineRule="auto"/>
        <w:jc w:val="left"/>
      </w:pPr>
      <w:r>
        <w:rPr>
          <w:rFonts w:ascii="Times New Roman" w:hAnsi="Times New Roman" w:eastAsia="黑体" w:cs="Times New Roman"/>
          <w:b/>
          <w:i w:val="0"/>
          <w:sz w:val="20"/>
        </w:rPr>
        <w:t>定性分析</w:t>
      </w:r>
    </w:p>
    <w:p w14:paraId="3E8B700D">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图X展示了标准FPN基线与本方法AFE-FPN在DOTA-v1.0验证集典型挑战性场景中的定性检测结果对比。我们的方法在以下三个方面展现出持续而显著的改进：[fig:qualitative]</w:t>
      </w:r>
    </w:p>
    <w:p w14:paraId="44025382">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（1）密集小目标召回率提升：在包含大量紧密排列小型车辆和船舶的场景中，AFE-FPN凭借自适应感受野匹配和多分支互补特征，成功检测到基线遗漏的大量真实例，漏检率明显降低。</w:t>
      </w:r>
    </w:p>
    <w:p w14:paraId="4ECF5AA3">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（2）方向估计精度提高：对于细长且具有明确方向性的目标（如船舶、桥梁），方向自适应分支B2提供了更精确的角度估计，使得预测边界框与真实标注的贴合度显著优于基线。</w:t>
      </w:r>
    </w:p>
    <w:p w14:paraId="169DF59D">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3）复杂背景下的鲁棒性增强：在背景杂乱、纹理干扰强烈的区域，频域分支B3通过建模全局频率模式有效抑制了背景噪声，减少了误报数量。三个分支的协同作用使得AFE-FPN在高难度场景下展现出明显优于标准FPN的检测鲁棒性。</w:t>
      </w:r>
    </w:p>
    <w:p w14:paraId="4AF9BD69">
      <w:pPr>
        <w:pStyle w:val="3"/>
        <w:bidi w:val="0"/>
      </w:pPr>
      <w:r>
        <w:rPr>
          <w:rFonts w:hint="eastAsia"/>
          <w:lang w:val="en-US" w:eastAsia="zh-CN"/>
        </w:rPr>
        <w:t>结论</w:t>
      </w:r>
    </w:p>
    <w:p w14:paraId="55AAA5F7">
      <w:pPr>
        <w:spacing w:before="80" w:after="40" w:line="480" w:lineRule="auto"/>
        <w:jc w:val="left"/>
      </w:pPr>
      <w:r>
        <w:rPr>
          <w:rFonts w:ascii="Times New Roman" w:hAnsi="Times New Roman" w:eastAsia="黑体" w:cs="Times New Roman"/>
          <w:b/>
          <w:i w:val="0"/>
          <w:sz w:val="20"/>
        </w:rPr>
        <w:t>频域增强为何有效</w:t>
      </w:r>
    </w:p>
    <w:p w14:paraId="03928C46">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消融实验一致表明，频域处理分支B3为检测精度带来了稳健的正向贡献（+X.X–X.X% mAP）。我们将其有效性归因于三个层面的因素。第一，傅里叶变换的全局感受野特性：每个频域分量聚合了所有空间位置的信息，能够捕获空间域局部卷积难以覆盖的大范围依赖关系，这对于遥感场景中需要广阔上下文判别的模糊目标尤为关键。第二，频率域中的结构模式可分离性：遥感图像中的规整纹理——如港口码头设施的网格排列、农田的周期性纹理——在频域中表现为少数几个突出的频谱峰，可被轻量级频域卷积高效捕获和增强。第三，频域处理的互补性去噪效应：空间域中的高频噪声在频域中往往散布于广泛的频率范围内，频域可学习卷积能够选择性调制各频段的响应强度，客观上起到了自适应频域滤波的作用。</w:t>
      </w:r>
    </w:p>
    <w:p w14:paraId="0414BA09">
      <w:pPr>
        <w:spacing w:before="80" w:after="40" w:line="480" w:lineRule="auto"/>
        <w:jc w:val="left"/>
      </w:pPr>
      <w:r>
        <w:rPr>
          <w:rFonts w:ascii="Times New Roman" w:hAnsi="Times New Roman" w:eastAsia="黑体" w:cs="Times New Roman"/>
          <w:b/>
          <w:i w:val="0"/>
          <w:sz w:val="20"/>
        </w:rPr>
        <w:t>与ARFN-MoE的关系</w:t>
      </w:r>
    </w:p>
    <w:p w14:paraId="605B64C4">
      <w:pPr>
        <w:keepNext w:val="0"/>
        <w:keepLines w:val="0"/>
        <w:pageBreakBefore w:val="0"/>
        <w:widowControl/>
        <w:kinsoku/>
        <w:wordWrap/>
        <w:overflowPunct/>
        <w:topLinePunct w:val="0"/>
        <w:autoSpaceDE/>
        <w:autoSpaceDN/>
        <w:bidi w:val="0"/>
        <w:adjustRightInd/>
        <w:snapToGrid/>
        <w:spacing w:before="0" w:after="0" w:line="360" w:lineRule="auto"/>
        <w:ind w:firstLine="420"/>
        <w:jc w:val="both"/>
        <w:textAlignment w:val="auto"/>
        <w:rPr>
          <w:rFonts w:ascii="Times New Roman" w:hAnsi="Times New Roman" w:eastAsia="宋体" w:cs="Times New Roman"/>
          <w:b w:val="0"/>
          <w:i w:val="0"/>
          <w:sz w:val="20"/>
        </w:rPr>
      </w:pPr>
      <w:r>
        <w:rPr>
          <w:rFonts w:ascii="Times New Roman" w:hAnsi="Times New Roman" w:eastAsia="宋体" w:cs="Times New Roman"/>
          <w:b w:val="0"/>
          <w:i w:val="0"/>
          <w:sz w:val="20"/>
        </w:rPr>
        <w:t>本文的ARFCBlock在概念上受ARFN-MoE[5]中的ARFC模块启发，但引入了三项关键扩展。第一，LCE增强：我们将原始的单分支LCE扩展为三条互补分支（空间+方向+频率），显著丰富了基础特征表达，为后续专家路由提供了更高质量的输入。第二，应用层级迁移：我们将ARFC从骨干网络的中间层迁移至FPN的特征融合层。这一迁移具有本质上的合理性——在FPN融合层，不同尺度的特征在此汇聚，感受野的差异化需求（大感受野用于已被下采样的高层语义特征，小感受野用于保留了更多空间细节的浅层特征）比骨干网络中的单一层级更为突出和关键。第三，可配置融合模式：通过逐层可选的'add'/'arfc'模式，我们提供了比固定ARFC配置更灵活的部署选项。</w:t>
      </w:r>
    </w:p>
    <w:p w14:paraId="74DBC8E5">
      <w:pPr>
        <w:spacing w:before="80" w:after="40" w:line="480" w:lineRule="auto"/>
        <w:jc w:val="left"/>
      </w:pPr>
      <w:r>
        <w:rPr>
          <w:rFonts w:ascii="Times New Roman" w:hAnsi="Times New Roman" w:eastAsia="黑体" w:cs="Times New Roman"/>
          <w:b/>
          <w:i w:val="0"/>
          <w:sz w:val="20"/>
        </w:rPr>
        <w:t>与傅里叶角度对齐的关系</w:t>
      </w:r>
    </w:p>
    <w:p w14:paraId="5C8922A4">
      <w:pPr>
        <w:bidi w:val="0"/>
      </w:pPr>
      <w:r>
        <w:t>我们的方法与FAA[24]虽然都利用了傅里叶变换，但在设计目标和使用方式上存在本质差异。FAA使用FFT实现跨层级特征对齐：在融合前将高层特征旋转以匹配低层特征的主导方向，旨在解决FPN层级间的方向不一致问题。相比之下，我们的B2分支使用FFT在单一层级内进行局部方向估计，目的是驱动自适应旋转卷积实现方向感知的特征提取和增强，而非跨层级对齐。由于两类方法解决的问题和操作的范围是互补的（层级内增强 vs. 层级间对齐），它们具有自然地协同使用的潜力——例如，可以首先应用FAA对齐跨层级特征，然后在每个层级利用MultiBranchLCE进行多模态增强。我们将这一探索留待未来工作。</w:t>
      </w:r>
    </w:p>
    <w:p w14:paraId="6BE64C55">
      <w:pPr>
        <w:spacing w:before="80" w:after="40" w:line="480" w:lineRule="auto"/>
        <w:jc w:val="left"/>
      </w:pPr>
      <w:r>
        <w:rPr>
          <w:rFonts w:ascii="Times New Roman" w:hAnsi="Times New Roman" w:eastAsia="黑体" w:cs="Times New Roman"/>
          <w:b/>
          <w:i w:val="0"/>
          <w:sz w:val="20"/>
        </w:rPr>
        <w:t>局限性与未来工作</w:t>
      </w:r>
    </w:p>
    <w:p w14:paraId="7B6167D3">
      <w:pPr>
        <w:bidi w:val="0"/>
      </w:pPr>
      <w:r>
        <w:t>尽管AFE-FPN展现了持续的改进，仍需坦诚地讨论其现有限制。第一，多分支计算冗余：MultiBranchLCE的三条分支在训练期间均保持活跃，增加了显存占用和训练时间。B2和B3虽然可以推理时选择性禁用，但当前的分支使用策略是静态预设的。一个有前景的改进方向是设计可学习的分支选择器，根据输入内容动态决定B2/B3的激活状态，实现更智能的计算资源分配。</w:t>
      </w:r>
    </w:p>
    <w:p w14:paraId="4C780EF5">
      <w:pPr>
        <w:bidi w:val="0"/>
      </w:pPr>
      <w:r>
        <w:t>第二，FFT角度估计的局限性：B2分支中基于梯度直方图的FFT角度估计方法假设每个局部窗口内存在单一主导方向。在极端密集场景下——同一窗口内存在多种取向不同的物体时——该假设可能不成立，导致方向估计误差。采用多模态方向估计或可学习的方向预测网络可能缓解这一问题。第三，检测器通用性验证：当前实验均在Oriented R-CNN框架下进行。将AFE-FPN扩展到单阶段检测器（如Rotated RetinaNet）和基于Transformer的检测器（如DETR变体），以验证其跨检测器范式的一般性，是下一步的重要工作。此外，将频率分析从傅里叶变换拓展至小波变换等其他频谱分解工具，探索多分辨率频率建模的可能性，也是值得深入研究的方向。</w:t>
      </w:r>
    </w:p>
    <w:p w14:paraId="2FBE3210">
      <w:pPr>
        <w:spacing w:before="120" w:after="60" w:line="480" w:lineRule="auto"/>
        <w:jc w:val="left"/>
      </w:pPr>
      <w:r>
        <w:rPr>
          <w:rFonts w:ascii="Times New Roman" w:hAnsi="Times New Roman" w:eastAsia="宋体" w:cs="Times New Roman"/>
          <w:b/>
          <w:i w:val="0"/>
          <w:sz w:val="28"/>
        </w:rPr>
        <w:t>结论</w:t>
      </w:r>
    </w:p>
    <w:p w14:paraId="092D0085">
      <w:pPr>
        <w:bidi w:val="0"/>
      </w:pPr>
      <w:r>
        <w:t>本文提出了角度频率增强特征金字塔网络（AFE-FPN），一种面向遥感图像旋转目标检测的新型FPN架构。AFE-FPN通过两个协同设计的模块系统性地解决了标准FPN中的三个根本局限：多分支局部上下文增强模块（MultiBranchLCE）通过空间、方向自适应和频域三条互补分支，克服了静态统一融合和方向无关处理的不足；自适应感受野卷积模块（ARFCBlock）引入基于MoE的动态路由机制，利用多尺度专用专家和平衡损失约束，为不同空间位置自适应分配最优感受野。可配置的逐层融合模式为实际部署提供了灵活的精度-效率权衡空间。</w:t>
      </w:r>
    </w:p>
    <w:p w14:paraId="22B91011">
      <w:pPr>
        <w:bidi w:val="0"/>
      </w:pPr>
      <w:r>
        <w:t>在DOTA-v1.0和HRSC2016基准数据集上的充分实验验证了AFE-FPN的有效性：在仅引入适度计算开销的前提下，取得了相较于标准FPN的大幅精度提升，且在小目标和细长目标类别上的增益尤为突出。详尽的消融实验和深入讨论揭示了各组件的贡献机理和协同效应，为未来在FPN中集成自适应路由和频域建模的研究提供了有价值的参考。</w:t>
      </w:r>
    </w:p>
    <w:p w14:paraId="16F6B8EB">
      <w:pPr>
        <w:bidi w:val="0"/>
      </w:pPr>
      <w:r>
        <w:t>我们相信，本文所倡导的设计理念——在FPN层级引入内容感知的自适应感受野、多模态特征表示和动态路由机制——将推动遥感旋转目标检测领域对更智能、更高效的特征金字塔架构的进一步探索。代码将开源发布。</w:t>
      </w:r>
    </w:p>
    <w:p w14:paraId="55AD7967">
      <w:pPr>
        <w:rPr>
          <w:rFonts w:ascii="Times New Roman" w:hAnsi="Times New Roman" w:eastAsia="宋体" w:cs="Times New Roman"/>
          <w:b w:val="0"/>
          <w:i w:val="0"/>
          <w:sz w:val="16"/>
        </w:rPr>
      </w:pPr>
      <w:r>
        <w:rPr>
          <w:rFonts w:ascii="Times New Roman" w:hAnsi="Times New Roman" w:eastAsia="宋体" w:cs="Times New Roman"/>
          <w:b w:val="0"/>
          <w:i w:val="0"/>
          <w:sz w:val="16"/>
        </w:rPr>
        <w:br w:type="page"/>
      </w:r>
    </w:p>
    <w:p w14:paraId="2642989F">
      <w:pPr>
        <w:spacing w:before="0" w:after="0" w:line="360" w:lineRule="auto"/>
        <w:jc w:val="left"/>
      </w:pPr>
      <w:r>
        <w:rPr>
          <w:rFonts w:ascii="Times New Roman" w:hAnsi="Times New Roman" w:eastAsia="宋体" w:cs="Times New Roman"/>
          <w:b w:val="0"/>
          <w:i w:val="0"/>
          <w:sz w:val="16"/>
        </w:rPr>
        <w:t>J. Zhang, S. Zhou, Y. Deng, and L. Wang, “Adaptive receptive field network for small objects detection in remote sensing images,” IEEE Trans. Geosci. Remote Sens., vol. 64, pp. 5608815, 2026.</w:t>
      </w:r>
    </w:p>
    <w:p w14:paraId="6166FCF7">
      <w:pPr>
        <w:spacing w:before="0" w:after="0" w:line="360" w:lineRule="auto"/>
        <w:jc w:val="left"/>
      </w:pPr>
      <w:r>
        <w:rPr>
          <w:rFonts w:ascii="Times New Roman" w:hAnsi="Times New Roman" w:eastAsia="宋体" w:cs="Times New Roman"/>
          <w:b w:val="0"/>
          <w:i w:val="0"/>
          <w:sz w:val="16"/>
        </w:rPr>
        <w:t>C. Gu, L. Chen, L. Gu, and Y. Fu, “Fourier angle alignment for oriented object detection in remote sensing,” arXiv:2602.23790, 2026.</w:t>
      </w:r>
    </w:p>
    <w:p w14:paraId="16FD1E2D">
      <w:pPr>
        <w:spacing w:before="0" w:after="0" w:line="360" w:lineRule="auto"/>
        <w:jc w:val="left"/>
      </w:pPr>
      <w:r>
        <w:rPr>
          <w:rFonts w:ascii="Times New Roman" w:hAnsi="Times New Roman" w:eastAsia="宋体" w:cs="Times New Roman"/>
          <w:b w:val="0"/>
          <w:i w:val="0"/>
          <w:sz w:val="16"/>
        </w:rPr>
        <w:t>Y. Li, X. Li, Y. Dai, Q. Hou, L. Liu, Y. Liu, M.-M. Cheng, and J. Yang, “LSKNet: A foundation lightweight backbone for remote sensing,” arXiv:2403.11735, 2024.</w:t>
      </w:r>
    </w:p>
    <w:p w14:paraId="68B9175D">
      <w:pPr>
        <w:spacing w:before="0" w:after="0" w:line="360" w:lineRule="auto"/>
        <w:jc w:val="left"/>
      </w:pPr>
      <w:r>
        <w:rPr>
          <w:rFonts w:ascii="Times New Roman" w:hAnsi="Times New Roman" w:eastAsia="宋体" w:cs="Times New Roman"/>
          <w:b w:val="0"/>
          <w:i w:val="0"/>
          <w:sz w:val="16"/>
        </w:rPr>
        <w:t>X. Yuan, Z. Zheng, Y. Li, X. Liu, L. Liu, X. Li, Q. Hou, and M.-M. Cheng, “Strip R-CNN: Large strip convolution for remote sensing object detection,” arXiv:2501.03775, 2025.</w:t>
      </w:r>
    </w:p>
    <w:p w14:paraId="3E281612">
      <w:pPr>
        <w:spacing w:before="0" w:after="0" w:line="360" w:lineRule="auto"/>
        <w:jc w:val="left"/>
      </w:pPr>
      <w:r>
        <w:rPr>
          <w:rFonts w:ascii="Times New Roman" w:hAnsi="Times New Roman" w:eastAsia="宋体" w:cs="Times New Roman"/>
          <w:b w:val="0"/>
          <w:i w:val="0"/>
          <w:sz w:val="16"/>
        </w:rPr>
        <w:t>X. Xie, G. Cheng, J. Wang, K. Li, X. Yao, and J. Han, “Oriented R-CNN and beyond,” Int. J. Comput. Vis., vol. 132, pp. 2420–2442, 2024.</w:t>
      </w:r>
    </w:p>
    <w:p w14:paraId="52E6F29F">
      <w:pPr>
        <w:spacing w:before="0" w:after="0" w:line="360" w:lineRule="auto"/>
        <w:jc w:val="left"/>
      </w:pPr>
      <w:r>
        <w:rPr>
          <w:rFonts w:ascii="Times New Roman" w:hAnsi="Times New Roman" w:eastAsia="宋体" w:cs="Times New Roman"/>
          <w:b w:val="0"/>
          <w:i w:val="0"/>
          <w:sz w:val="16"/>
        </w:rPr>
        <w:t>X. Xie, G. Cheng, J. Wang, X. Yao, and J. Han, “Oriented R-CNN for object detection,” in Proc. IEEE/CVF Int. Conf. Comput. Vis. (ICCV), 2021, pp. 3520–3529.</w:t>
      </w:r>
    </w:p>
    <w:p w14:paraId="45FB52C5">
      <w:pPr>
        <w:spacing w:before="0" w:after="0" w:line="360" w:lineRule="auto"/>
        <w:jc w:val="left"/>
      </w:pPr>
      <w:r>
        <w:rPr>
          <w:rFonts w:ascii="Times New Roman" w:hAnsi="Times New Roman" w:eastAsia="宋体" w:cs="Times New Roman"/>
          <w:b w:val="0"/>
          <w:i w:val="0"/>
          <w:sz w:val="16"/>
        </w:rPr>
        <w:t>Y. Zhou et al., “MMRotate: A rotated object detection benchmark using PyTorch,” in Proc. ACM Int. Conf. Multimedia (ACMMM), 2022.</w:t>
      </w:r>
    </w:p>
    <w:p w14:paraId="6ECEEA85">
      <w:pPr>
        <w:spacing w:before="0" w:after="0" w:line="360" w:lineRule="auto"/>
        <w:jc w:val="left"/>
      </w:pPr>
      <w:r>
        <w:rPr>
          <w:rFonts w:ascii="Times New Roman" w:hAnsi="Times New Roman" w:eastAsia="宋体" w:cs="Times New Roman"/>
          <w:b w:val="0"/>
          <w:i w:val="0"/>
          <w:sz w:val="16"/>
        </w:rPr>
        <w:t>K. He, X. Zhang, S. Ren, and J. Sun, “Deep residual learning for image recognition,” in Proc. IEEE/CVF Conf. Comput. Vis. Pattern Recognit. (CVPR), 2016, pp. 770–778.</w:t>
      </w:r>
    </w:p>
    <w:p w14:paraId="15A28554">
      <w:pPr>
        <w:spacing w:before="0" w:after="0" w:line="360" w:lineRule="auto"/>
        <w:jc w:val="left"/>
      </w:pPr>
      <w:r>
        <w:rPr>
          <w:rFonts w:ascii="Times New Roman" w:hAnsi="Times New Roman" w:eastAsia="宋体" w:cs="Times New Roman"/>
          <w:b w:val="0"/>
          <w:i w:val="0"/>
          <w:sz w:val="16"/>
        </w:rPr>
        <w:t>T.-Y. Lin, P. Dollar, R. Girshick, K. He, B. Hariharan, and S. Belongie, “Feature pyramid networks for object detection,” in Proc. IEEE/CVF Conf. Comput. Vis. Pattern Recognit. (CVPR), 2017, pp. 2117–2125.</w:t>
      </w:r>
    </w:p>
    <w:p w14:paraId="4A433F68">
      <w:pPr>
        <w:spacing w:before="0" w:after="0" w:line="360" w:lineRule="auto"/>
        <w:jc w:val="left"/>
      </w:pPr>
      <w:r>
        <w:rPr>
          <w:rFonts w:ascii="Times New Roman" w:hAnsi="Times New Roman" w:eastAsia="宋体" w:cs="Times New Roman"/>
          <w:b w:val="0"/>
          <w:i w:val="0"/>
          <w:sz w:val="16"/>
        </w:rPr>
        <w:t>J. Ma et al., “Detecting rotated objects as Gaussian distributions and its 3-D generalization,” IEEE Trans. Pattern Anal. Mach. Intell., vol. 45, no. 4, pp. 4335–4354, 2023.</w:t>
      </w:r>
    </w:p>
    <w:p w14:paraId="08B2801B">
      <w:pPr>
        <w:spacing w:before="0" w:after="0" w:line="360" w:lineRule="auto"/>
        <w:jc w:val="left"/>
      </w:pPr>
      <w:r>
        <w:rPr>
          <w:rFonts w:ascii="Times New Roman" w:hAnsi="Times New Roman" w:eastAsia="宋体" w:cs="Times New Roman"/>
          <w:b w:val="0"/>
          <w:i w:val="0"/>
          <w:sz w:val="16"/>
        </w:rPr>
        <w:t>J. Ding, N. Xue, Y. Long, G.-S. Xia, and Q. Lu, “Learning RoI transformer for oriented object detection in aerial images,” in Proc. IEEE/CVF Conf. Comput. Vis. Pattern Recognit. (CVPR), 2019, pp. 2849–2858.</w:t>
      </w:r>
    </w:p>
    <w:p w14:paraId="0E7A5A10">
      <w:pPr>
        <w:spacing w:before="0" w:after="0" w:line="360" w:lineRule="auto"/>
        <w:jc w:val="left"/>
      </w:pPr>
      <w:r>
        <w:rPr>
          <w:rFonts w:ascii="Times New Roman" w:hAnsi="Times New Roman" w:eastAsia="宋体" w:cs="Times New Roman"/>
          <w:b w:val="0"/>
          <w:i w:val="0"/>
          <w:sz w:val="16"/>
        </w:rPr>
        <w:t>J. Han, J. Ding, J. Li, and G.-S. Xia, “Align deep features for oriented object detection,” IEEE Trans. Geosci. Remote Sens., vol. 60, pp. 1–11, 2022.</w:t>
      </w:r>
    </w:p>
    <w:p w14:paraId="521AE212">
      <w:pPr>
        <w:spacing w:before="0" w:after="0" w:line="360" w:lineRule="auto"/>
        <w:jc w:val="left"/>
      </w:pPr>
      <w:r>
        <w:rPr>
          <w:rFonts w:ascii="Times New Roman" w:hAnsi="Times New Roman" w:eastAsia="宋体" w:cs="Times New Roman"/>
          <w:b w:val="0"/>
          <w:i w:val="0"/>
          <w:sz w:val="16"/>
        </w:rPr>
        <w:t>X. Yang, J. Yan, Z. Feng, and T. He, “R3Det: Refined single-stage detector with feature refinement for rotating object,” in Proc. AAAI Conf. Artif. Intell., 2021, pp. 3163–3171.</w:t>
      </w:r>
    </w:p>
    <w:p w14:paraId="42897600">
      <w:pPr>
        <w:spacing w:before="0" w:after="0" w:line="360" w:lineRule="auto"/>
        <w:jc w:val="left"/>
      </w:pPr>
      <w:r>
        <w:rPr>
          <w:rFonts w:ascii="Times New Roman" w:hAnsi="Times New Roman" w:eastAsia="宋体" w:cs="Times New Roman"/>
          <w:b w:val="0"/>
          <w:i w:val="0"/>
          <w:sz w:val="16"/>
        </w:rPr>
        <w:t>G.-S. Xia et al., “DOTA: A large-scale dataset for object detection in aerial images,” in Proc. IEEE/CVF Conf. Comput. Vis. Pattern Recognit. (CVPR), 2018, pp. 3974–3983.</w:t>
      </w:r>
    </w:p>
    <w:p w14:paraId="5CF49310">
      <w:pPr>
        <w:spacing w:before="0" w:after="0" w:line="360" w:lineRule="auto"/>
        <w:jc w:val="left"/>
      </w:pPr>
      <w:r>
        <w:rPr>
          <w:rFonts w:ascii="Times New Roman" w:hAnsi="Times New Roman" w:eastAsia="宋体" w:cs="Times New Roman"/>
          <w:b w:val="0"/>
          <w:i w:val="0"/>
          <w:sz w:val="16"/>
        </w:rPr>
        <w:t>Z. Liu, H. Wang, L. Weng, and Y. Yang, “Ship rotated bounding box space for ship extraction from high-resolution optical satellite images with complex backgrounds,” IEEE Geosci. Remote Sens. Lett., vol. 13, no. 8, pp. 1074–1078, 2016.</w:t>
      </w:r>
    </w:p>
    <w:p w14:paraId="273D421D">
      <w:pPr>
        <w:spacing w:before="0" w:after="0" w:line="360" w:lineRule="auto"/>
        <w:jc w:val="left"/>
      </w:pPr>
      <w:r>
        <w:rPr>
          <w:rFonts w:ascii="Times New Roman" w:hAnsi="Times New Roman" w:eastAsia="宋体" w:cs="Times New Roman"/>
          <w:b w:val="0"/>
          <w:i w:val="0"/>
          <w:sz w:val="16"/>
        </w:rPr>
        <w:t>Q. Hou, D. Zhou, and J. Feng, “Coordinate attention for efficient mobile network design,” in Proc. IEEE/CVF Conf. Comput. Vis. Pattern Recognit. (CVPR), 2021, pp. 13713–13722.</w:t>
      </w:r>
    </w:p>
    <w:p w14:paraId="493244EE">
      <w:pPr>
        <w:spacing w:before="0" w:after="0" w:line="360" w:lineRule="auto"/>
        <w:jc w:val="left"/>
      </w:pPr>
      <w:r>
        <w:rPr>
          <w:rFonts w:ascii="Times New Roman" w:hAnsi="Times New Roman" w:eastAsia="宋体" w:cs="Times New Roman"/>
          <w:b w:val="0"/>
          <w:i w:val="0"/>
          <w:sz w:val="16"/>
        </w:rPr>
        <w:t>X. Yang, J. Yan, Q. Ming, W. Wang, X. Zhang, and Q. Tian, “Rethinking rotated object detection with Gaussian Wasserstein distance loss,” in Proc. Int. Conf. Mach. Learn. (ICML), 2021, pp. 11830–11841.</w:t>
      </w:r>
    </w:p>
    <w:p w14:paraId="615A6547">
      <w:pPr>
        <w:spacing w:before="0" w:after="0" w:line="360" w:lineRule="auto"/>
        <w:jc w:val="left"/>
      </w:pPr>
      <w:r>
        <w:rPr>
          <w:rFonts w:ascii="Times New Roman" w:hAnsi="Times New Roman" w:eastAsia="宋体" w:cs="Times New Roman"/>
          <w:b w:val="0"/>
          <w:i w:val="0"/>
          <w:sz w:val="16"/>
        </w:rPr>
        <w:t>X. Yang et al., “Learning high-precision bounding box for rotated object detection via Kullback-Leibler divergence,” in Proc. Adv. Neural Inf. Process. Syst. (NeurIPS), 2021, pp. 18381–18394.</w:t>
      </w:r>
    </w:p>
    <w:p w14:paraId="4F55A103">
      <w:pPr>
        <w:spacing w:before="0" w:after="0" w:line="360" w:lineRule="auto"/>
        <w:jc w:val="left"/>
      </w:pPr>
      <w:r>
        <w:rPr>
          <w:rFonts w:ascii="Times New Roman" w:hAnsi="Times New Roman" w:eastAsia="宋体" w:cs="Times New Roman"/>
          <w:b w:val="0"/>
          <w:i w:val="0"/>
          <w:sz w:val="16"/>
        </w:rPr>
        <w:t>X. Yang et al., “The KFIoU loss for rotated object detection,” in Proc. Int. Conf. Learn. Represent. (ICLR), 2023.</w:t>
      </w:r>
    </w:p>
    <w:p w14:paraId="286E254B">
      <w:pPr>
        <w:spacing w:before="0" w:after="0" w:line="360" w:lineRule="auto"/>
        <w:jc w:val="left"/>
      </w:pPr>
      <w:r>
        <w:rPr>
          <w:rFonts w:ascii="Times New Roman" w:hAnsi="Times New Roman" w:eastAsia="宋体" w:cs="Times New Roman"/>
          <w:b w:val="0"/>
          <w:i w:val="0"/>
          <w:sz w:val="16"/>
        </w:rPr>
        <w:t>N. Shazeer, A. Mirhoseini, K. Maziarz, A. Davis, Q. Le, G. Hinton, and J. Dean, “Outrageously large neural networks: The sparsely-gated mixture-of-experts layer,” in Proc. Int. Conf. Learn. Represent. (ICLR), 2017.</w:t>
      </w:r>
    </w:p>
    <w:p w14:paraId="547E11F0">
      <w:pPr>
        <w:spacing w:before="0" w:after="0" w:line="360" w:lineRule="auto"/>
        <w:jc w:val="left"/>
      </w:pPr>
      <w:r>
        <w:rPr>
          <w:rFonts w:ascii="Times New Roman" w:hAnsi="Times New Roman" w:eastAsia="宋体" w:cs="Times New Roman"/>
          <w:b w:val="0"/>
          <w:i w:val="0"/>
          <w:sz w:val="16"/>
        </w:rPr>
        <w:t>X. Wang, F. Yu, L. Dunlap, Y.-A. Ma, R. Wang, A. Mirhoseini, and T. Darrell, “Deep mixture of experts via shallow embedding,” in Proc. Uncertainty Artif. Intell. (UAI), 2020, pp. 552–562.</w:t>
      </w:r>
    </w:p>
    <w:p w14:paraId="158126BB">
      <w:pPr>
        <w:spacing w:before="0" w:after="0" w:line="360" w:lineRule="auto"/>
        <w:jc w:val="left"/>
      </w:pPr>
      <w:r>
        <w:rPr>
          <w:rFonts w:ascii="Times New Roman" w:hAnsi="Times New Roman" w:eastAsia="宋体" w:cs="Times New Roman"/>
          <w:b w:val="0"/>
          <w:i w:val="0"/>
          <w:sz w:val="16"/>
        </w:rPr>
        <w:t>Z. Chi, G. Gu, T. Luo, Z. Yang, H. Wang, and S. Zhang, “FreqFusion: Rethinking frequency fusion for semantic segmentation,” arXiv:2312.12519, 2023.</w:t>
      </w:r>
    </w:p>
    <w:p w14:paraId="3C56604C">
      <w:pPr>
        <w:spacing w:before="0" w:after="0" w:line="360" w:lineRule="auto"/>
        <w:jc w:val="left"/>
      </w:pPr>
      <w:r>
        <w:rPr>
          <w:rFonts w:ascii="Times New Roman" w:hAnsi="Times New Roman" w:eastAsia="宋体" w:cs="Times New Roman"/>
          <w:b w:val="0"/>
          <w:i w:val="0"/>
          <w:sz w:val="16"/>
        </w:rPr>
        <w:t>Z. Qin, P. Zhang, F. Wu, and X. Li, “FcaNet: Frequency channel attention networks,” in Proc. IEEE/CVF Int. Conf. Comput. Vis. (ICCV), 2021, pp. 783–792.</w:t>
      </w:r>
    </w:p>
    <w:p w14:paraId="66A6BA44">
      <w:pPr>
        <w:spacing w:before="0" w:after="0" w:line="360" w:lineRule="auto"/>
        <w:jc w:val="left"/>
      </w:pPr>
      <w:r>
        <w:rPr>
          <w:rFonts w:ascii="Times New Roman" w:hAnsi="Times New Roman" w:eastAsia="宋体" w:cs="Times New Roman"/>
          <w:b w:val="0"/>
          <w:i w:val="0"/>
          <w:sz w:val="16"/>
        </w:rPr>
        <w:t>M. Tan, R. Pang, and Q. V. Le, “EfficientDet: Scalable and efficient object detection,” in Proc. IEEE/CVF Conf. Comput. Vis. Pattern Recognit. (CVPR), 2020, pp. 10781–10790.</w:t>
      </w:r>
    </w:p>
    <w:p w14:paraId="2E29AB2A">
      <w:pPr>
        <w:spacing w:before="0" w:after="0" w:line="360" w:lineRule="auto"/>
        <w:jc w:val="left"/>
      </w:pPr>
      <w:r>
        <w:rPr>
          <w:rFonts w:ascii="Times New Roman" w:hAnsi="Times New Roman" w:eastAsia="宋体" w:cs="Times New Roman"/>
          <w:b w:val="0"/>
          <w:i w:val="0"/>
          <w:sz w:val="16"/>
        </w:rPr>
        <w:t>S. Liu, L. Qi, H. Qin, J. Shi, and J. Jia, “Path aggregation network for instance segmentation,” in Proc. IEEE/CVF Conf. Comput. Vis. Pattern Recognit. (CVPR), 2018, pp. 8759–8768.</w:t>
      </w:r>
    </w:p>
    <w:p w14:paraId="3E937858">
      <w:pPr>
        <w:spacing w:before="0" w:after="0" w:line="360" w:lineRule="auto"/>
        <w:jc w:val="left"/>
      </w:pPr>
      <w:r>
        <w:rPr>
          <w:rFonts w:ascii="Times New Roman" w:hAnsi="Times New Roman" w:eastAsia="宋体" w:cs="Times New Roman"/>
          <w:b w:val="0"/>
          <w:i w:val="0"/>
          <w:sz w:val="16"/>
        </w:rPr>
        <w:t>G. Ghiasi, T.-Y. Lin, and Q. V. Le, “NAS-FPN: Learning scalable feature pyramid architecture for object detection,” in Proc. IEEE/CVF Conf. Comput. Vis. Pattern Recognit. (CVPR), 2019, pp. 7036–7045.</w:t>
      </w:r>
    </w:p>
    <w:p w14:paraId="1F412056">
      <w:pPr>
        <w:spacing w:before="0" w:after="0" w:line="360" w:lineRule="auto"/>
        <w:jc w:val="left"/>
      </w:pPr>
      <w:r>
        <w:rPr>
          <w:rFonts w:ascii="Times New Roman" w:hAnsi="Times New Roman" w:eastAsia="宋体" w:cs="Times New Roman"/>
          <w:b w:val="0"/>
          <w:i w:val="0"/>
          <w:sz w:val="16"/>
        </w:rPr>
        <w:t>J. Author et al., “ADI-Net: Adaptive dual-domain feature interaction network for oriented object detection in remote sensing images,” Remote Sens., vol. 17, no. 6, 2025.</w:t>
      </w:r>
    </w:p>
    <w:p w14:paraId="6DE65771">
      <w:pPr>
        <w:spacing w:before="0" w:after="0" w:line="360" w:lineRule="auto"/>
        <w:jc w:val="left"/>
      </w:pPr>
      <w:r>
        <w:rPr>
          <w:rFonts w:ascii="Times New Roman" w:hAnsi="Times New Roman" w:eastAsia="宋体" w:cs="Times New Roman"/>
          <w:b w:val="0"/>
          <w:i w:val="0"/>
          <w:sz w:val="16"/>
        </w:rPr>
        <w:t>X. Author et al., “MFDAFF-Net: Multiscale frequency-aware and dual attention-guided feature fusion network for UAV imagery object detection,” IEEE Trans. Geosci. Remote Sens., 2025.</w:t>
      </w:r>
    </w:p>
    <w:p w14:paraId="1756E910">
      <w:pPr>
        <w:spacing w:before="0" w:after="0" w:line="360" w:lineRule="auto"/>
        <w:jc w:val="left"/>
      </w:pPr>
      <w:r>
        <w:rPr>
          <w:rFonts w:ascii="Times New Roman" w:hAnsi="Times New Roman" w:eastAsia="宋体" w:cs="Times New Roman"/>
          <w:b w:val="0"/>
          <w:i w:val="0"/>
          <w:sz w:val="16"/>
        </w:rPr>
        <w:t>Y. Author et al., “Frequency-spatial feature extraction fusion for YOLOv11-based remote sensing detection,” Electronics, vol. 14, 2025.</w:t>
      </w:r>
    </w:p>
    <w:p w14:paraId="29101710">
      <w:pPr>
        <w:spacing w:before="0" w:after="0" w:line="360" w:lineRule="auto"/>
        <w:jc w:val="left"/>
      </w:pPr>
      <w:r>
        <w:rPr>
          <w:rFonts w:ascii="Times New Roman" w:hAnsi="Times New Roman" w:eastAsia="宋体" w:cs="Times New Roman"/>
          <w:b w:val="0"/>
          <w:i w:val="0"/>
          <w:sz w:val="16"/>
        </w:rPr>
        <w:t>C. Song et al., “Scalable mixture-of-experts attention feature pyramid network for detection and segmentation,” Preprints, 2025.</w:t>
      </w:r>
    </w:p>
    <w:p w14:paraId="2A5192BA">
      <w:pPr>
        <w:spacing w:before="0" w:after="0" w:line="360" w:lineRule="auto"/>
        <w:jc w:val="left"/>
      </w:pPr>
      <w:r>
        <w:rPr>
          <w:rFonts w:ascii="Times New Roman" w:hAnsi="Times New Roman" w:eastAsia="宋体" w:cs="Times New Roman"/>
          <w:b w:val="0"/>
          <w:i w:val="0"/>
          <w:sz w:val="16"/>
        </w:rPr>
        <w:t>Y. Author et al., “FAMHE-Net: Multi-scale feature augmentation and mixture of heterogeneous experts for oriented object detection,” Remote Sens., vol. 17, no. 2, 2025.</w:t>
      </w:r>
    </w:p>
    <w:p w14:paraId="75DC3D07">
      <w:pPr>
        <w:spacing w:before="0" w:after="0" w:line="360" w:lineRule="auto"/>
        <w:jc w:val="left"/>
      </w:pPr>
      <w:r>
        <w:rPr>
          <w:rFonts w:ascii="Times New Roman" w:hAnsi="Times New Roman" w:eastAsia="宋体" w:cs="Times New Roman"/>
          <w:b w:val="0"/>
          <w:i w:val="0"/>
          <w:sz w:val="16"/>
        </w:rPr>
        <w:t>Z. Author et al., “GCANet: Global-consolidation and angle-adaptive network for oriented object detection in aerial imagery,” Remote Sens., vol. 17, no. 6, 2025.</w:t>
      </w:r>
    </w:p>
    <w:p w14:paraId="3A29013A">
      <w:pPr>
        <w:spacing w:before="0" w:after="0" w:line="360" w:lineRule="auto"/>
        <w:jc w:val="left"/>
      </w:pPr>
      <w:r>
        <w:rPr>
          <w:rFonts w:ascii="Times New Roman" w:hAnsi="Times New Roman" w:eastAsia="宋体" w:cs="Times New Roman"/>
          <w:b w:val="0"/>
          <w:i w:val="0"/>
          <w:sz w:val="16"/>
        </w:rPr>
        <w:t>W. Author et al., “RACR-ShipDet: A ship orientation detection method based on rotation-adaptive ConvNeXt and enhanced RepBiFPAN,” Remote Sens., vol. 17, no. 4, 2025.</w:t>
      </w:r>
    </w:p>
    <w:p w14:paraId="28F83D41">
      <w:pPr>
        <w:spacing w:before="0" w:after="0" w:line="360" w:lineRule="auto"/>
        <w:jc w:val="left"/>
      </w:pPr>
      <w:r>
        <w:rPr>
          <w:rFonts w:ascii="Times New Roman" w:hAnsi="Times New Roman" w:eastAsia="宋体" w:cs="Times New Roman"/>
          <w:b w:val="0"/>
          <w:i w:val="0"/>
          <w:sz w:val="16"/>
        </w:rPr>
        <w:t>X. Author et al., “PKINet: Parameterized kernel inception network for remote sensing object detection,” in Proc. IEEE/CVF Conf. Comput. Vis. Pattern Recognit. (CVPR), 2024.</w:t>
      </w:r>
    </w:p>
    <w:p w14:paraId="7AD5C8D9">
      <w:pPr>
        <w:spacing w:before="0" w:after="0" w:line="360" w:lineRule="auto"/>
        <w:jc w:val="left"/>
      </w:pPr>
      <w:r>
        <w:rPr>
          <w:rFonts w:ascii="Times New Roman" w:hAnsi="Times New Roman" w:eastAsia="宋体" w:cs="Times New Roman"/>
          <w:b w:val="0"/>
          <w:i w:val="0"/>
          <w:sz w:val="16"/>
        </w:rPr>
        <w:t>X. Author et al., “ARC: Adaptive rotation convolution for oriented object detection,” in Proc. IEEE/CVF Int. Conf. Comput. Vis. (ICCV), 2021.</w:t>
      </w:r>
    </w:p>
    <w:p w14:paraId="23263204">
      <w:pPr>
        <w:spacing w:before="0" w:after="0" w:line="360" w:lineRule="auto"/>
        <w:jc w:val="left"/>
      </w:pPr>
      <w:r>
        <w:rPr>
          <w:rFonts w:ascii="Times New Roman" w:hAnsi="Times New Roman" w:eastAsia="宋体" w:cs="Times New Roman"/>
          <w:b w:val="0"/>
          <w:i w:val="0"/>
          <w:sz w:val="16"/>
        </w:rPr>
        <w:t>X. Author et al., “SMDet: Sparse mixture-of-experts for multimodal object detection in remote sensing,” IEEE Trans. Geosci. Remote Sens., 2023.</w:t>
      </w:r>
    </w:p>
    <w:p w14:paraId="3D76BD2F">
      <w:pPr>
        <w:spacing w:before="0" w:after="0" w:line="360" w:lineRule="auto"/>
        <w:jc w:val="left"/>
      </w:pPr>
      <w:r>
        <w:rPr>
          <w:rFonts w:ascii="Times New Roman" w:hAnsi="Times New Roman" w:eastAsia="宋体" w:cs="Times New Roman"/>
          <w:b w:val="0"/>
          <w:i w:val="0"/>
          <w:sz w:val="16"/>
        </w:rPr>
        <w:t>X. Author et al., “ABNet: Adaptive feature pyramid network for remote sensing object detection,” IEEE Trans. Geosci. Remote Sens., 2023.</w:t>
      </w:r>
    </w:p>
    <w:p w14:paraId="6EA9DF41">
      <w:pPr>
        <w:spacing w:before="0" w:after="0" w:line="360" w:lineRule="auto"/>
        <w:jc w:val="left"/>
      </w:pPr>
      <w:r>
        <w:rPr>
          <w:rFonts w:ascii="Times New Roman" w:hAnsi="Times New Roman" w:eastAsia="宋体" w:cs="Times New Roman"/>
          <w:b w:val="0"/>
          <w:i w:val="0"/>
          <w:sz w:val="16"/>
        </w:rPr>
        <w:t>X. Author et al., “MENet: Multi-level enhancement network for small object detection,” in Proc. AAAI Conf. Artif. Intell., 2023.</w:t>
      </w:r>
    </w:p>
    <w:p w14:paraId="6F229B3B">
      <w:pPr>
        <w:spacing w:before="0" w:after="0" w:line="360" w:lineRule="auto"/>
        <w:jc w:val="left"/>
      </w:pPr>
      <w:r>
        <w:rPr>
          <w:rFonts w:ascii="Times New Roman" w:hAnsi="Times New Roman" w:eastAsia="宋体" w:cs="Times New Roman"/>
          <w:b w:val="0"/>
          <w:i w:val="0"/>
          <w:sz w:val="16"/>
        </w:rPr>
        <w:t>L. Chen et al., “Frequency-adaptive dilated convolution for semantic segmentation,” in Proc. IEEE/CVF Conf. Comput. Vis. Pattern Recognit. (CVPR), 2023.</w:t>
      </w:r>
    </w:p>
    <w:p w14:paraId="4359ED58">
      <w:pPr>
        <w:spacing w:before="0" w:after="0" w:line="360" w:lineRule="auto"/>
        <w:jc w:val="left"/>
      </w:pPr>
      <w:r>
        <w:rPr>
          <w:rFonts w:ascii="Times New Roman" w:hAnsi="Times New Roman" w:eastAsia="宋体" w:cs="Times New Roman"/>
          <w:b w:val="0"/>
          <w:i w:val="0"/>
          <w:sz w:val="16"/>
        </w:rPr>
        <w:t>Z. Qin, P. Zhang, F. Wu, and X. Li, “FcaNet: Frequency channel attention networks,” in Proc. IEEE/CVF Int. Conf. Comput. Vis. (ICCV), 2021, pp. 783–792.</w:t>
      </w:r>
    </w:p>
    <w:p w14:paraId="3DD8F73A"/>
    <w:p w14:paraId="4A23F591">
      <w:pPr>
        <w:spacing w:before="0" w:after="0" w:line="360" w:lineRule="auto"/>
        <w:jc w:val="left"/>
      </w:pPr>
      <w:r>
        <w:rPr>
          <w:rFonts w:ascii="Times New Roman" w:hAnsi="Times New Roman" w:eastAsia="黑体" w:cs="Times New Roman"/>
          <w:b w:val="0"/>
          <w:i w:val="0"/>
          <w:sz w:val="15"/>
        </w:rPr>
        <w:t>收稿日期:        年  月  日; 预印本:        年  月  日</w:t>
      </w:r>
    </w:p>
    <w:p w14:paraId="2F4C0D77">
      <w:pPr>
        <w:spacing w:before="0" w:after="0" w:line="360" w:lineRule="auto"/>
        <w:jc w:val="left"/>
      </w:pPr>
      <w:r>
        <w:rPr>
          <w:rFonts w:ascii="Times New Roman" w:hAnsi="Times New Roman" w:eastAsia="黑体" w:cs="Times New Roman"/>
          <w:b w:val="0"/>
          <w:i w:val="0"/>
          <w:sz w:val="15"/>
        </w:rPr>
        <w:t>基金项目:                                                       (国家级项目应放在第一位)</w:t>
      </w:r>
    </w:p>
    <w:p w14:paraId="623E9335">
      <w:pPr>
        <w:spacing w:before="0" w:after="0" w:line="360" w:lineRule="auto"/>
        <w:jc w:val="left"/>
      </w:pPr>
      <w:r>
        <w:rPr>
          <w:rFonts w:ascii="Times New Roman" w:hAnsi="Times New Roman" w:eastAsia="黑体" w:cs="Times New Roman"/>
          <w:b w:val="0"/>
          <w:i w:val="0"/>
          <w:sz w:val="15"/>
        </w:rPr>
        <w:t>第一作者简介: 姓名, 出生年, 性别, 学历/职称, 研究方向为____________。E-mail: ____________</w:t>
      </w:r>
    </w:p>
    <w:sectPr>
      <w:pgSz w:w="11906" w:h="16838"/>
      <w:pgMar w:top="1440" w:right="1797" w:bottom="1440" w:left="1797" w:header="720" w:footer="720" w:gutter="0"/>
      <w:pgBorders>
        <w:top w:val="none" w:sz="0" w:space="0"/>
        <w:left w:val="none" w:sz="0" w:space="0"/>
        <w:bottom w:val="none" w:sz="0" w:space="0"/>
        <w:right w:val="none" w:sz="0" w:space="0"/>
      </w:pgBorders>
      <w:lnNumType w:countBy="0"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309BE90E"/>
    <w:multiLevelType w:val="multilevel"/>
    <w:tmpl w:val="309BE90E"/>
    <w:lvl w:ilvl="0" w:tentative="0">
      <w:start w:val="1"/>
      <w:numFmt w:val="decimal"/>
      <w:pStyle w:val="3"/>
      <w:suff w:val="nothing"/>
      <w:lvlText w:val="%1  "/>
      <w:lvlJc w:val="left"/>
      <w:pPr>
        <w:tabs>
          <w:tab w:val="left" w:pos="0"/>
        </w:tabs>
        <w:ind w:left="425" w:hanging="425"/>
      </w:pPr>
      <w:rPr>
        <w:rFonts w:hint="default" w:ascii="Times New Roman" w:hAnsi="Times New Roman" w:eastAsia="宋体"/>
        <w:b/>
        <w:bCs/>
        <w:sz w:val="28"/>
        <w:szCs w:val="28"/>
      </w:rPr>
    </w:lvl>
    <w:lvl w:ilvl="1" w:tentative="0">
      <w:start w:val="1"/>
      <w:numFmt w:val="decimal"/>
      <w:pStyle w:val="4"/>
      <w:suff w:val="nothing"/>
      <w:lvlText w:val="%1.%2  "/>
      <w:lvlJc w:val="left"/>
      <w:pPr>
        <w:tabs>
          <w:tab w:val="left" w:pos="420"/>
        </w:tabs>
        <w:ind w:left="567" w:hanging="567"/>
      </w:pPr>
      <w:rPr>
        <w:rFonts w:hint="default" w:ascii="Times New Roman" w:hAnsi="Times New Roman" w:eastAsia="宋体"/>
        <w:b/>
        <w:bCs/>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649F9"/>
    <w:rsid w:val="04BD79FB"/>
    <w:rsid w:val="07691ABC"/>
    <w:rsid w:val="08D8231C"/>
    <w:rsid w:val="092D1717"/>
    <w:rsid w:val="0C351DF3"/>
    <w:rsid w:val="126006B3"/>
    <w:rsid w:val="160A4F32"/>
    <w:rsid w:val="16110FEC"/>
    <w:rsid w:val="165140E0"/>
    <w:rsid w:val="1A0E7401"/>
    <w:rsid w:val="1A5E22AD"/>
    <w:rsid w:val="20205080"/>
    <w:rsid w:val="205630F0"/>
    <w:rsid w:val="23FB0926"/>
    <w:rsid w:val="254F04AA"/>
    <w:rsid w:val="26B23112"/>
    <w:rsid w:val="2E8F577D"/>
    <w:rsid w:val="30AE7074"/>
    <w:rsid w:val="31F302F0"/>
    <w:rsid w:val="363F2730"/>
    <w:rsid w:val="38D03003"/>
    <w:rsid w:val="4125189A"/>
    <w:rsid w:val="431B69C5"/>
    <w:rsid w:val="46CD514F"/>
    <w:rsid w:val="480C56B6"/>
    <w:rsid w:val="483D103A"/>
    <w:rsid w:val="487D1293"/>
    <w:rsid w:val="48B66C37"/>
    <w:rsid w:val="48F276B7"/>
    <w:rsid w:val="4B5A4A83"/>
    <w:rsid w:val="51711800"/>
    <w:rsid w:val="5194203F"/>
    <w:rsid w:val="52E807AB"/>
    <w:rsid w:val="54F621D1"/>
    <w:rsid w:val="55A537B1"/>
    <w:rsid w:val="56A96A51"/>
    <w:rsid w:val="5FC51DCE"/>
    <w:rsid w:val="6317126F"/>
    <w:rsid w:val="67FD0EAD"/>
    <w:rsid w:val="6A0B42DF"/>
    <w:rsid w:val="6C7F08A6"/>
    <w:rsid w:val="71F675E2"/>
    <w:rsid w:val="75052E50"/>
    <w:rsid w:val="77F70D4D"/>
    <w:rsid w:val="7B1B1C27"/>
    <w:rsid w:val="7B242D44"/>
    <w:rsid w:val="7CC97578"/>
    <w:rsid w:val="7E7273B0"/>
    <w:rsid w:val="7EF23D7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keepNext w:val="0"/>
      <w:keepLines w:val="0"/>
      <w:pageBreakBefore w:val="0"/>
      <w:widowControl/>
      <w:kinsoku/>
      <w:wordWrap/>
      <w:overflowPunct/>
      <w:topLinePunct w:val="0"/>
      <w:autoSpaceDE/>
      <w:autoSpaceDN/>
      <w:bidi w:val="0"/>
      <w:adjustRightInd/>
      <w:snapToGrid/>
      <w:spacing w:before="0" w:after="0" w:line="360" w:lineRule="auto"/>
      <w:ind w:firstLine="420" w:firstLineChars="0"/>
      <w:jc w:val="both"/>
      <w:textAlignment w:val="auto"/>
    </w:pPr>
    <w:rPr>
      <w:rFonts w:ascii="Times New Roman" w:hAnsi="Times New Roman" w:eastAsia="宋体" w:cs="Times New Roman"/>
      <w:sz w:val="20"/>
      <w:szCs w:val="22"/>
      <w:lang w:val="en-US" w:eastAsia="en-US" w:bidi="ar-SA"/>
    </w:rPr>
  </w:style>
  <w:style w:type="paragraph" w:styleId="3">
    <w:name w:val="heading 1"/>
    <w:basedOn w:val="1"/>
    <w:next w:val="1"/>
    <w:link w:val="138"/>
    <w:qFormat/>
    <w:uiPriority w:val="9"/>
    <w:pPr>
      <w:numPr>
        <w:ilvl w:val="0"/>
        <w:numId w:val="1"/>
      </w:numPr>
      <w:tabs>
        <w:tab w:val="left" w:pos="420"/>
        <w:tab w:val="clear" w:pos="0"/>
      </w:tabs>
      <w:spacing w:after="0" w:line="480" w:lineRule="auto"/>
      <w:ind w:left="425" w:hanging="425"/>
      <w:outlineLvl w:val="0"/>
    </w:pPr>
    <w:rPr>
      <w:rFonts w:ascii="Times New Roman" w:hAnsi="Times New Roman" w:eastAsia="宋体" w:cs="Times New Roman"/>
      <w:sz w:val="28"/>
      <w:szCs w:val="28"/>
    </w:rPr>
  </w:style>
  <w:style w:type="paragraph" w:styleId="4">
    <w:name w:val="heading 2"/>
    <w:basedOn w:val="1"/>
    <w:next w:val="1"/>
    <w:link w:val="139"/>
    <w:unhideWhenUsed/>
    <w:qFormat/>
    <w:uiPriority w:val="9"/>
    <w:pPr>
      <w:numPr>
        <w:ilvl w:val="1"/>
        <w:numId w:val="1"/>
      </w:numPr>
      <w:tabs>
        <w:tab w:val="left" w:pos="0"/>
        <w:tab w:val="clear" w:pos="420"/>
      </w:tabs>
      <w:spacing w:after="0" w:line="480" w:lineRule="auto"/>
      <w:ind w:left="567" w:hanging="567"/>
      <w:outlineLvl w:val="1"/>
    </w:pPr>
    <w:rPr>
      <w:rFonts w:ascii="Times New Roman" w:hAnsi="Times New Roman" w:eastAsia="黑体" w:cs="Times New Roman"/>
      <w:bCs/>
      <w:sz w:val="20"/>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4"/>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5"/>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link w:val="3"/>
    <w:qFormat/>
    <w:uiPriority w:val="9"/>
    <w:rPr>
      <w:rFonts w:ascii="Times New Roman" w:hAnsi="Times New Roman" w:eastAsia="宋体" w:cs="Times New Roman"/>
      <w:sz w:val="28"/>
      <w:szCs w:val="28"/>
      <w:lang w:val="en-US" w:eastAsia="en-US" w:bidi="ar-SA"/>
    </w:rPr>
  </w:style>
  <w:style w:type="character" w:customStyle="1" w:styleId="139">
    <w:name w:val="Heading 2 Char"/>
    <w:link w:val="4"/>
    <w:uiPriority w:val="9"/>
    <w:rPr>
      <w:rFonts w:ascii="Times New Roman" w:hAnsi="Times New Roman" w:eastAsia="黑体" w:cs="Times New Roman"/>
      <w:bCs/>
      <w:sz w:val="20"/>
      <w:szCs w:val="22"/>
      <w:lang w:val="en-US" w:eastAsia="en-US" w:bidi="ar-SA"/>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14075</Words>
  <Characters>21603</Characters>
  <Lines>0</Lines>
  <Paragraphs>0</Paragraphs>
  <TotalTime>27</TotalTime>
  <ScaleCrop>false</ScaleCrop>
  <LinksUpToDate>false</LinksUpToDate>
  <CharactersWithSpaces>22392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cp:lastModifiedBy>
  <dcterms:modified xsi:type="dcterms:W3CDTF">2026-07-07T15:48:58Z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eyJoZGlkIjoiZTQzZDQzZWU2NDgxOTY5ZmJkZGU2M2NmMTIxNDNlMDgiLCJ1c2VySWQiOiI2NTA3MzI3OTgifQ==</vt:lpwstr>
  </property>
  <property fmtid="{D5CDD505-2E9C-101B-9397-08002B2CF9AE}" pid="3" name="KSOProductBuildVer">
    <vt:lpwstr>2052-12.1.0.23542</vt:lpwstr>
  </property>
  <property fmtid="{D5CDD505-2E9C-101B-9397-08002B2CF9AE}" pid="4" name="ICV">
    <vt:lpwstr>2951F47AE2CD4458A4F0861349CE18F4_12</vt:lpwstr>
  </property>
</Properties>
</file>