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3438"/>
          <w:sz w:val="34"/>
        </w:rPr>
        <w:t>ĐỀ CƯƠNG CHI TIẾT LUẬN VĂN THẠC SĨ</w:t>
      </w:r>
    </w:p>
    <w:p>
      <w:pPr>
        <w:jc w:val="center"/>
      </w:pPr>
      <w:r>
        <w:rPr>
          <w:i/>
          <w:color w:val="5A7278"/>
          <w:sz w:val="26"/>
        </w:rPr>
        <w:t>Đặc tả và tích hợp kiểm soát truy cập dựa trên vai trò trong Thiết kế hướng miền</w:t>
      </w:r>
    </w:p>
    <w:p>
      <w:pPr>
        <w:jc w:val="center"/>
      </w:pPr>
      <w:r>
        <w:rPr>
          <w:color w:val="5A7278"/>
          <w:sz w:val="22"/>
        </w:rPr>
        <w:t>Học viên: Nguyễn Nhật Hoàng · GVHD: PGS.TS. Đặng Đức Hạnh, TS. Nguyễn Thị Thủy</w:t>
      </w:r>
    </w:p>
    <w:p>
      <w:pPr>
        <w:spacing w:after="80"/>
        <w:jc w:val="both"/>
      </w:pPr>
      <w:r>
        <w:rPr>
          <w:i/>
          <w:color w:val="5A7278"/>
          <w:sz w:val="22"/>
        </w:rPr>
        <w:t>Đề cương đề xuất cho bản thảo luận văn khoảng 75–90 trang nội dung (chưa kể phụ lục). Mỗi mục nêu: nội dung cần viết, hình/bảng đi kèm và dung lượng gợi ý. Các dòng in nghiêng “Hình/Bảng” là danh mục minh họa cần chuẩn bị; nhiều hình đã có sẵn từ bộ slide và tài liệu kỹ thuật.</w:t>
      </w:r>
    </w:p>
    <w:p>
      <w:pPr>
        <w:spacing w:before="320" w:after="120"/>
      </w:pPr>
      <w:r>
        <w:rPr>
          <w:b/>
          <w:color w:val="0A3438"/>
          <w:sz w:val="28"/>
        </w:rPr>
        <w:t>TÓM TẮT / ABSTRACT</w:t>
      </w:r>
      <w:r>
        <w:rPr>
          <w:i/>
          <w:color w:val="5A7278"/>
          <w:sz w:val="21"/>
        </w:rPr>
        <w:t xml:space="preserve">   (1 trang mỗi ngôn ngữ)</w:t>
      </w:r>
    </w:p>
    <w:p>
      <w:pPr>
        <w:spacing w:after="80"/>
        <w:jc w:val="both"/>
      </w:pPr>
      <w:r>
        <w:rPr>
          <w:i w:val="0"/>
          <w:sz w:val="24"/>
        </w:rPr>
        <w:t>Cấu trúc 5 câu theo mô-típ chuẩn: (1) bối cảnh — (2) vấn đề — (3) giải pháp đề xuất — (4) cách kiểm chứng — (5) kết quả và ý nghĩa. Bản nháp gợi ý:</w:t>
      </w:r>
    </w:p>
    <w:p>
      <w:pPr>
        <w:spacing w:after="80"/>
        <w:jc w:val="both"/>
      </w:pPr>
      <w:r>
        <w:rPr>
          <w:i w:val="0"/>
          <w:sz w:val="24"/>
        </w:rPr>
        <w:t>“Thiết kế hướng miền (DDD) đặt mô hình miền làm trung tâm của phần mềm, nhưng kiểm soát truy cập dựa trên vai trò (RBAC) thường bị đẩy xuống tầng hạ tầng và cài đặt thủ công, khiến logic phân quyền nằm rải rác trong mã nguồn, không kiểm chứng được ở mức thiết kế và nhanh chóng lệch khỏi tài liệu. Luận văn phát triển một ngôn ngữ chuyên biệt miền (DSL) cho phép đặc tả chính sách RBAC ngay trong mô hình miền: cú pháp cụ thể là một profile trên sơ đồ lớp UML/PlantUML, cú pháp trừu tượng là một metamodel RBAC hợp nhất với hai khía cạnh cấu trúc và hành vi trên một cây cú pháp duy nhất, còn ngữ nghĩa tĩnh được đặc tả bằng các bất biến OCL. Trên nền DSL đó, luận văn đề xuất một phương pháp năm bước — phân tích cú pháp, hợp nhất mô hình, làm giàu mô hình, kiểm chứng ràng buộc và sinh mã theo mẫu — trong đó quyền được liên kết chéo với lớp miền và lan truyền qua phân cấp vai trò bằng phép lặp điểm bất động. Phương pháp được hiện thực hóa bằng công cụ ddd-codegen và đánh giá trên case study CourseMan theo bốn câu hỏi nghiên cứu về tính khả thi, năng suất, tính đúng đắn và khả năng truy vết. Kết quả cho thấy từ 331 dòng đặc tả, công cụ sinh tự động 31 tệp mã với 1.432 dòng, bao gồm toàn bộ lớp thực thi phân quyền, cho phép thay đổi chính sách truy cập chỉ bằng cách chỉnh sửa mô hình và sinh lại mã.”</w:t>
      </w:r>
    </w:p>
    <w:p>
      <w:pPr>
        <w:spacing w:after="120"/>
        <w:ind w:left="360"/>
        <w:jc w:val="both"/>
      </w:pPr>
      <w:r>
        <w:rPr>
          <w:b/>
          <w:i/>
          <w:color w:val="1B7A5E"/>
          <w:sz w:val="22"/>
        </w:rPr>
        <w:t xml:space="preserve">Lưu ý: </w:t>
      </w:r>
      <w:r>
        <w:rPr>
          <w:i/>
          <w:color w:val="5A7278"/>
          <w:sz w:val="22"/>
        </w:rPr>
        <w:t>Từ khóa (3–6 từ): Thiết kế hướng miền; ngôn ngữ chuyên biệt miền; kiểm soát truy cập dựa trên vai trò; sinh mã tự động; UML/OCL. Bản tiếng Anh dịch sát bản Việt, dùng lại thuật ngữ đã thống nhất trong mẫu thông tin luận văn.</w:t>
      </w:r>
    </w:p>
    <w:p>
      <w:pPr>
        <w:spacing w:before="320" w:after="120"/>
      </w:pPr>
      <w:r>
        <w:rPr>
          <w:b/>
          <w:color w:val="0A3438"/>
          <w:sz w:val="28"/>
        </w:rPr>
        <w:t>CHƯƠNG 1. ĐẶT VẤN ĐỀ</w:t>
      </w:r>
      <w:r>
        <w:rPr>
          <w:i/>
          <w:color w:val="5A7278"/>
          <w:sz w:val="21"/>
        </w:rPr>
        <w:t xml:space="preserve">   (10–12 trang)</w:t>
      </w:r>
    </w:p>
    <w:p>
      <w:pPr>
        <w:spacing w:before="200" w:after="60"/>
      </w:pPr>
      <w:r>
        <w:rPr>
          <w:b/>
          <w:color w:val="028090"/>
          <w:sz w:val="25"/>
        </w:rPr>
        <w:t>1.1. Bối cảnh</w:t>
      </w:r>
    </w:p>
    <w:p>
      <w:pPr>
        <w:pStyle w:val="ListBullet"/>
        <w:spacing w:after="40"/>
        <w:jc w:val="both"/>
      </w:pPr>
      <w:r>
        <w:rPr>
          <w:sz w:val="23"/>
        </w:rPr>
        <w:t>Độ phức tạp nghiệp vụ và vai trò của mô hình miền trong phát triển phần mềm hiện đại; DDD như lời giải cho việc quản lý độ phức tạp (Evans, 2003).</w:t>
      </w:r>
    </w:p>
    <w:p>
      <w:pPr>
        <w:pStyle w:val="ListBullet"/>
        <w:spacing w:after="40"/>
        <w:jc w:val="both"/>
      </w:pPr>
      <w:r>
        <w:rPr>
          <w:sz w:val="23"/>
        </w:rPr>
        <w:t>Xu hướng kiến trúc microservice phân rã theo bounded context (Newman, 2021; Richardson, 2018) và nhu cầu phân quyền nhất quán giữa các dịch vụ.</w:t>
      </w:r>
    </w:p>
    <w:p>
      <w:pPr>
        <w:pStyle w:val="ListBullet"/>
        <w:spacing w:after="40"/>
        <w:jc w:val="both"/>
      </w:pPr>
      <w:r>
        <w:rPr>
          <w:sz w:val="23"/>
        </w:rPr>
        <w:t>Mạch nghiên cứu annotation-based DSL cho DDD tại VNU-UET: DCSL cho cấu trúc, AGL cho hành vi, UDML cho hợp nhất khía cạnh, TMSA cho kiến trúc đích.</w:t>
      </w:r>
    </w:p>
    <w:p>
      <w:pPr>
        <w:spacing w:after="120"/>
        <w:ind w:left="360"/>
        <w:jc w:val="both"/>
      </w:pPr>
      <w:r>
        <w:rPr>
          <w:b/>
          <w:i/>
          <w:color w:val="1B7A5E"/>
          <w:sz w:val="22"/>
        </w:rPr>
        <w:t xml:space="preserve">Hình 1.1: </w:t>
      </w:r>
      <w:r>
        <w:rPr>
          <w:i/>
          <w:color w:val="5A7278"/>
          <w:sz w:val="22"/>
        </w:rPr>
        <w:t>Vị trí của mô hình miền trong kiến trúc phân tầng của một ứng dụng DDD.</w:t>
      </w:r>
    </w:p>
    <w:p>
      <w:pPr>
        <w:spacing w:before="200" w:after="60"/>
      </w:pPr>
      <w:r>
        <w:rPr>
          <w:b/>
          <w:color w:val="028090"/>
          <w:sz w:val="25"/>
        </w:rPr>
        <w:t>1.2. Vấn đề nghiên cứu</w:t>
      </w:r>
    </w:p>
    <w:p>
      <w:pPr>
        <w:pStyle w:val="ListBullet"/>
        <w:spacing w:after="40"/>
        <w:jc w:val="both"/>
      </w:pPr>
      <w:r>
        <w:rPr>
          <w:sz w:val="23"/>
        </w:rPr>
        <w:t>RBAC là một khía cạnh cắt ngang (cross-cutting concern): logic kiểm tra quyền rải rác (scattering) và trộn lẫn với nghiệp vụ (tangling).</w:t>
      </w:r>
    </w:p>
    <w:p>
      <w:pPr>
        <w:pStyle w:val="ListBullet"/>
        <w:spacing w:after="40"/>
        <w:jc w:val="both"/>
      </w:pPr>
      <w:r>
        <w:rPr>
          <w:sz w:val="23"/>
        </w:rPr>
        <w:t>Ba đặc thù khiến RBAC khó mô-đun hóa: quyền phải tham chiếu chéo tới lớp miền; quyền lan truyền qua phân cấp vai trò nên không cục bộ; ràng buộc tách nhiệm (SSD/DSD) và giới hạn số lượng phát biểu trên phạm vi toàn hệ thống.</w:t>
      </w:r>
    </w:p>
    <w:p>
      <w:pPr>
        <w:pStyle w:val="ListBullet"/>
        <w:spacing w:after="40"/>
        <w:jc w:val="both"/>
      </w:pPr>
      <w:r>
        <w:rPr>
          <w:sz w:val="23"/>
        </w:rPr>
        <w:t>Hệ quả thực tiễn: chi phí cao khi thay đổi chính sách, khó kiểm thử, không kiểm chứng được ở mức thiết kế, mô hình và mã lệch nhau.</w:t>
      </w:r>
    </w:p>
    <w:p>
      <w:pPr>
        <w:spacing w:after="120"/>
        <w:ind w:left="360"/>
        <w:jc w:val="both"/>
      </w:pPr>
      <w:r>
        <w:rPr>
          <w:b/>
          <w:i/>
          <w:color w:val="1B7A5E"/>
          <w:sz w:val="22"/>
        </w:rPr>
        <w:t xml:space="preserve">Hình 1.2: </w:t>
      </w:r>
      <w:r>
        <w:rPr>
          <w:i/>
          <w:color w:val="5A7278"/>
          <w:sz w:val="22"/>
        </w:rPr>
        <w:t>Minh họa scattering/tangling: các khối kiểm tra quyền nằm xen kẽ trong nhiều module (lấy từ slide 4).</w:t>
      </w:r>
    </w:p>
    <w:p>
      <w:pPr>
        <w:spacing w:before="200" w:after="60"/>
      </w:pPr>
      <w:r>
        <w:rPr>
          <w:b/>
          <w:color w:val="028090"/>
          <w:sz w:val="25"/>
        </w:rPr>
        <w:t>1.3. Khoảng trống nghiên cứu</w:t>
      </w:r>
    </w:p>
    <w:p>
      <w:pPr>
        <w:pStyle w:val="ListBullet"/>
        <w:spacing w:after="40"/>
        <w:jc w:val="both"/>
      </w:pPr>
      <w:r>
        <w:rPr>
          <w:sz w:val="23"/>
        </w:rPr>
        <w:t>Đối sánh bốn dòng công trình: nền tảng RBAC (Sandhu, 1996; Ray et al., 2004), model-driven security (SecureUML — Lodderstedt et al., 2002; Basin et al., 2006), aDSL cho DDD (DCSL, AGL), hợp nhất khía cạnh (UDML) và kiến trúc đích (TMSA).</w:t>
      </w:r>
    </w:p>
    <w:p>
      <w:pPr>
        <w:pStyle w:val="ListBullet"/>
        <w:spacing w:after="40"/>
        <w:jc w:val="both"/>
      </w:pPr>
      <w:r>
        <w:rPr>
          <w:sz w:val="23"/>
        </w:rPr>
        <w:t>Chỉ rõ khoảng trống: RBAC mới được nêu như một khía cạnh khả thi trong UDML nhưng chưa được đặc tả thành một DSL ngang hàng DCSL/AGL; các công cụ model-driven security không đặt trong khung hợp nhất đa khía cạnh của DDD và không sinh scaffolding phân tầng hiện đại.</w:t>
      </w:r>
    </w:p>
    <w:p>
      <w:pPr>
        <w:spacing w:after="120"/>
        <w:ind w:left="360"/>
        <w:jc w:val="both"/>
      </w:pPr>
      <w:r>
        <w:rPr>
          <w:b/>
          <w:i/>
          <w:color w:val="1B7A5E"/>
          <w:sz w:val="22"/>
        </w:rPr>
        <w:t xml:space="preserve">Bảng 1.1: </w:t>
      </w:r>
      <w:r>
        <w:rPr>
          <w:i/>
          <w:color w:val="5A7278"/>
          <w:sz w:val="22"/>
        </w:rPr>
        <w:t>Ma trận đối sánh công trình liên quan theo 5 tiêu chí: đặc tả ở mức mô hình · liên kết với mô hình miền · phân cấp vai trò · kiểm chứng hình thức · sinh mã tự động.</w:t>
      </w:r>
    </w:p>
    <w:p>
      <w:pPr>
        <w:spacing w:before="200" w:after="60"/>
      </w:pPr>
      <w:r>
        <w:rPr>
          <w:b/>
          <w:color w:val="028090"/>
          <w:sz w:val="25"/>
        </w:rPr>
        <w:t>1.4. Mục tiêu và câu hỏi nghiên cứu</w:t>
      </w:r>
    </w:p>
    <w:p>
      <w:pPr>
        <w:pStyle w:val="ListBullet"/>
        <w:spacing w:after="40"/>
        <w:jc w:val="both"/>
      </w:pPr>
      <w:r>
        <w:rPr>
          <w:sz w:val="23"/>
        </w:rPr>
        <w:t>Phát biểu bài toán theo dạng Cho — Tìm — Sao cho (đầu vào là các đặc tả mức mô hình; đầu ra là ứng dụng phân tầng kèm bộ thực thi phân quyền; bốn yêu cầu: khía cạnh hạng nhất, trực giao, truy vết, tự động hóa).</w:t>
      </w:r>
    </w:p>
    <w:p>
      <w:pPr>
        <w:pStyle w:val="ListBullet"/>
        <w:spacing w:after="40"/>
        <w:jc w:val="both"/>
      </w:pPr>
      <w:r>
        <w:rPr>
          <w:sz w:val="23"/>
        </w:rPr>
        <w:t>Bốn câu hỏi nghiên cứu RQ1–RQ4 (tính khả thi, năng suất, tính đúng đắn, truy vết và mức dễ hiểu) — nêu ở đây và trả lời ở Chương 4.</w:t>
      </w:r>
    </w:p>
    <w:p>
      <w:pPr>
        <w:spacing w:after="120"/>
        <w:ind w:left="360"/>
        <w:jc w:val="both"/>
      </w:pPr>
      <w:r>
        <w:rPr>
          <w:b/>
          <w:i/>
          <w:color w:val="1B7A5E"/>
          <w:sz w:val="22"/>
        </w:rPr>
        <w:t xml:space="preserve">Hình 1.3: </w:t>
      </w:r>
      <w:r>
        <w:rPr>
          <w:i/>
          <w:color w:val="5A7278"/>
          <w:sz w:val="22"/>
        </w:rPr>
        <w:t>Sơ đồ phát biểu bài toán Cho — Tìm — Sao cho (lấy từ slide 5).</w:t>
      </w:r>
    </w:p>
    <w:p>
      <w:pPr>
        <w:spacing w:before="200" w:after="60"/>
      </w:pPr>
      <w:r>
        <w:rPr>
          <w:b/>
          <w:color w:val="028090"/>
          <w:sz w:val="25"/>
        </w:rPr>
        <w:t>1.5. Đóng góp của luận văn</w:t>
      </w:r>
    </w:p>
    <w:p>
      <w:pPr>
        <w:pStyle w:val="ListBullet"/>
        <w:spacing w:after="40"/>
        <w:jc w:val="both"/>
      </w:pPr>
      <w:r>
        <w:rPr>
          <w:sz w:val="23"/>
        </w:rPr>
        <w:t>Đóng góp 1 — phương pháp: DSL đặc tả chính sách RBAC và cơ chế tích hợp vào mô hình miền.</w:t>
      </w:r>
    </w:p>
    <w:p>
      <w:pPr>
        <w:pStyle w:val="ListBullet"/>
        <w:spacing w:after="40"/>
        <w:jc w:val="both"/>
      </w:pPr>
      <w:r>
        <w:rPr>
          <w:sz w:val="23"/>
        </w:rPr>
        <w:t>Đóng góp 2 — công cụ và thực nghiệm: ddd-codegen và đánh giá trên case study CourseMan.</w:t>
      </w:r>
    </w:p>
    <w:p>
      <w:pPr>
        <w:spacing w:before="200" w:after="60"/>
      </w:pPr>
      <w:r>
        <w:rPr>
          <w:b/>
          <w:color w:val="028090"/>
          <w:sz w:val="25"/>
        </w:rPr>
        <w:t>1.6. Phạm vi và giới hạn</w:t>
      </w:r>
    </w:p>
    <w:p>
      <w:pPr>
        <w:pStyle w:val="ListBullet"/>
        <w:spacing w:after="40"/>
        <w:jc w:val="both"/>
      </w:pPr>
      <w:r>
        <w:rPr>
          <w:sz w:val="23"/>
        </w:rPr>
        <w:t>Phạm vi RBAC: RBAC₀ và RBAC₁ đầy đủ; RBAC₂ ở mức đặc tả và kiểm chứng thiết kế; RBAC₃ và cross-domain thuộc hướng phát triển.</w:t>
      </w:r>
    </w:p>
    <w:p>
      <w:pPr>
        <w:pStyle w:val="ListBullet"/>
        <w:spacing w:after="40"/>
        <w:jc w:val="both"/>
      </w:pPr>
      <w:r>
        <w:rPr>
          <w:sz w:val="23"/>
        </w:rPr>
        <w:t>Phạm vi ngôn ngữ đích: một nền tảng (NestJS/TypeScript) làm minh chứng khả thi; phương pháp giữ ở mức khái niệm, độc lập công nghệ.</w:t>
      </w:r>
    </w:p>
    <w:p>
      <w:pPr>
        <w:pStyle w:val="ListBullet"/>
        <w:spacing w:after="40"/>
        <w:jc w:val="both"/>
      </w:pPr>
      <w:r>
        <w:rPr>
          <w:sz w:val="23"/>
        </w:rPr>
        <w:t>Phạm vi OCL: tập con đủ cho lớp bất biến RBAC₀–RBAC₂.</w:t>
      </w:r>
    </w:p>
    <w:p>
      <w:pPr>
        <w:spacing w:before="200" w:after="60"/>
      </w:pPr>
      <w:r>
        <w:rPr>
          <w:b/>
          <w:color w:val="028090"/>
          <w:sz w:val="25"/>
        </w:rPr>
        <w:t>1.7. Bố cục luận văn</w:t>
      </w:r>
    </w:p>
    <w:p>
      <w:pPr>
        <w:spacing w:after="80"/>
        <w:jc w:val="both"/>
      </w:pPr>
      <w:r>
        <w:rPr>
          <w:i w:val="0"/>
          <w:sz w:val="24"/>
        </w:rPr>
        <w:t>Đoạn văn ngắn dẫn dắt bốn chương và mối quan hệ giữa chúng.</w:t>
      </w:r>
    </w:p>
    <w:p>
      <w:pPr>
        <w:spacing w:before="320" w:after="120"/>
      </w:pPr>
      <w:r>
        <w:rPr>
          <w:b/>
          <w:color w:val="0A3438"/>
          <w:sz w:val="28"/>
        </w:rPr>
        <w:t>CHƯƠNG 2. CƠ SỞ LÝ THUYẾT</w:t>
      </w:r>
      <w:r>
        <w:rPr>
          <w:i/>
          <w:color w:val="5A7278"/>
          <w:sz w:val="21"/>
        </w:rPr>
        <w:t xml:space="preserve">   (20–24 trang)</w:t>
      </w:r>
    </w:p>
    <w:p>
      <w:pPr>
        <w:spacing w:before="200" w:after="60"/>
      </w:pPr>
      <w:r>
        <w:rPr>
          <w:b/>
          <w:color w:val="028090"/>
          <w:sz w:val="25"/>
        </w:rPr>
        <w:t>2.1. Thiết kế hướng miền</w:t>
      </w:r>
    </w:p>
    <w:p>
      <w:pPr>
        <w:pStyle w:val="ListBullet"/>
        <w:spacing w:after="40"/>
        <w:jc w:val="both"/>
      </w:pPr>
      <w:r>
        <w:rPr>
          <w:sz w:val="23"/>
        </w:rPr>
        <w:t>Ngôn ngữ chung, bounded context, context map (Evans, 2003).</w:t>
      </w:r>
    </w:p>
    <w:p>
      <w:pPr>
        <w:pStyle w:val="ListBullet"/>
        <w:spacing w:after="40"/>
        <w:jc w:val="both"/>
      </w:pPr>
      <w:r>
        <w:rPr>
          <w:sz w:val="23"/>
        </w:rPr>
        <w:t>Các khuôn mẫu chiến thuật: entity, value object, aggregate và aggregate root, repository, domain service, domain event (Vernon, 2013).</w:t>
      </w:r>
    </w:p>
    <w:p>
      <w:pPr>
        <w:pStyle w:val="ListBullet"/>
        <w:spacing w:after="40"/>
        <w:jc w:val="both"/>
      </w:pPr>
      <w:r>
        <w:rPr>
          <w:sz w:val="23"/>
        </w:rPr>
        <w:t>Kiến trúc phân tầng: domain / application / infrastructure / presentation — cơ sở cho cấu trúc mã sinh ra.</w:t>
      </w:r>
    </w:p>
    <w:p>
      <w:pPr>
        <w:spacing w:after="120"/>
        <w:ind w:left="360"/>
        <w:jc w:val="both"/>
      </w:pPr>
      <w:r>
        <w:rPr>
          <w:b/>
          <w:i/>
          <w:color w:val="1B7A5E"/>
          <w:sz w:val="22"/>
        </w:rPr>
        <w:t xml:space="preserve">Hình 2.1: </w:t>
      </w:r>
      <w:r>
        <w:rPr>
          <w:i/>
          <w:color w:val="5A7278"/>
          <w:sz w:val="22"/>
        </w:rPr>
        <w:t>Sơ đồ khái niệm các khuôn mẫu chiến thuật DDD và quan hệ giữa chúng.</w:t>
      </w:r>
    </w:p>
    <w:p>
      <w:pPr>
        <w:spacing w:before="200" w:after="60"/>
      </w:pPr>
      <w:r>
        <w:rPr>
          <w:b/>
          <w:color w:val="028090"/>
          <w:sz w:val="25"/>
        </w:rPr>
        <w:t>2.2. Ngôn ngữ chuyên biệt miền</w:t>
      </w:r>
    </w:p>
    <w:p>
      <w:pPr>
        <w:pStyle w:val="ListBullet"/>
        <w:spacing w:after="40"/>
        <w:jc w:val="both"/>
      </w:pPr>
      <w:r>
        <w:rPr>
          <w:sz w:val="23"/>
        </w:rPr>
        <w:t>Khái niệm DSL, phân biệt DSL nội sinh và ngoại sinh; semantic model (Fowler, 2010).</w:t>
      </w:r>
    </w:p>
    <w:p>
      <w:pPr>
        <w:pStyle w:val="ListBullet"/>
        <w:spacing w:after="40"/>
        <w:jc w:val="both"/>
      </w:pPr>
      <w:r>
        <w:rPr>
          <w:sz w:val="23"/>
        </w:rPr>
        <w:t>Ba thành phần của một DSL: cú pháp trừu tượng, cú pháp cụ thể, ngữ nghĩa (Voelter et al., 2013) — khung trình bày mà Chương 3 sẽ tuân theo.</w:t>
      </w:r>
    </w:p>
    <w:p>
      <w:pPr>
        <w:pStyle w:val="ListBullet"/>
        <w:spacing w:after="40"/>
        <w:jc w:val="both"/>
      </w:pPr>
      <w:r>
        <w:rPr>
          <w:sz w:val="23"/>
        </w:rPr>
        <w:t>Cách tiếp cận annotation-based aDSL: DCSL cho cấu trúc (Le et al., 2018, 2020) và AGL cho hành vi (Dang et al., 2023); ánh xạ annotation Java ↔ decorator TypeScript.</w:t>
      </w:r>
    </w:p>
    <w:p>
      <w:pPr>
        <w:spacing w:after="120"/>
        <w:ind w:left="360"/>
        <w:jc w:val="both"/>
      </w:pPr>
      <w:r>
        <w:rPr>
          <w:b/>
          <w:i/>
          <w:color w:val="1B7A5E"/>
          <w:sz w:val="22"/>
        </w:rPr>
        <w:t xml:space="preserve">Bảng 2.1: </w:t>
      </w:r>
      <w:r>
        <w:rPr>
          <w:i/>
          <w:color w:val="5A7278"/>
          <w:sz w:val="22"/>
        </w:rPr>
        <w:t>Đối chiếu ba thành phần của DSL với các thành phần tương ứng trong DCSL, AGL và DSL đề xuất.</w:t>
      </w:r>
    </w:p>
    <w:p>
      <w:pPr>
        <w:spacing w:before="200" w:after="60"/>
      </w:pPr>
      <w:r>
        <w:rPr>
          <w:b/>
          <w:color w:val="028090"/>
          <w:sz w:val="25"/>
        </w:rPr>
        <w:t>2.3. Kiểm soát truy cập dựa trên vai trò</w:t>
      </w:r>
    </w:p>
    <w:p>
      <w:pPr>
        <w:pStyle w:val="ListBullet"/>
        <w:spacing w:after="40"/>
        <w:jc w:val="both"/>
      </w:pPr>
      <w:r>
        <w:rPr>
          <w:sz w:val="23"/>
        </w:rPr>
        <w:t>Họ mô hình RBAC₀–RBAC₃ (Sandhu et al., 1996): user, role, permission, session; quan hệ UA và PA.</w:t>
      </w:r>
    </w:p>
    <w:p>
      <w:pPr>
        <w:pStyle w:val="ListBullet"/>
        <w:spacing w:after="40"/>
        <w:jc w:val="both"/>
      </w:pPr>
      <w:r>
        <w:rPr>
          <w:sz w:val="23"/>
        </w:rPr>
        <w:t>RBAC₁ — phân cấp vai trò và kế thừa quyền; định nghĩa hình thức của quan hệ thứ tự bộ phận trên tập vai trò.</w:t>
      </w:r>
    </w:p>
    <w:p>
      <w:pPr>
        <w:pStyle w:val="ListBullet"/>
        <w:spacing w:after="40"/>
        <w:jc w:val="both"/>
      </w:pPr>
      <w:r>
        <w:rPr>
          <w:sz w:val="23"/>
        </w:rPr>
        <w:t>RBAC₂ — ràng buộc: tách nhiệm tĩnh (SSD), tách nhiệm động (DSD), giới hạn số lượng (cardinality).</w:t>
      </w:r>
    </w:p>
    <w:p>
      <w:pPr>
        <w:pStyle w:val="ListBullet"/>
        <w:spacing w:after="40"/>
        <w:jc w:val="both"/>
      </w:pPr>
      <w:r>
        <w:rPr>
          <w:sz w:val="23"/>
        </w:rPr>
        <w:t>Biểu diễn RBAC bằng UML và OCL, mẫu vi phạm (Ray et al., 2004).</w:t>
      </w:r>
    </w:p>
    <w:p>
      <w:pPr>
        <w:pStyle w:val="ListBullet"/>
        <w:spacing w:after="40"/>
        <w:jc w:val="both"/>
      </w:pPr>
      <w:r>
        <w:rPr>
          <w:sz w:val="23"/>
        </w:rPr>
        <w:t>RBAC đa miền và ánh xạ vai trò liên hệ thống (Li et al., 2022) — nền cho hướng phát triển.</w:t>
      </w:r>
    </w:p>
    <w:p>
      <w:pPr>
        <w:spacing w:after="120"/>
        <w:ind w:left="360"/>
        <w:jc w:val="both"/>
      </w:pPr>
      <w:r>
        <w:rPr>
          <w:b/>
          <w:i/>
          <w:color w:val="1B7A5E"/>
          <w:sz w:val="22"/>
        </w:rPr>
        <w:t xml:space="preserve">Hình 2.2: </w:t>
      </w:r>
      <w:r>
        <w:rPr>
          <w:i/>
          <w:color w:val="5A7278"/>
          <w:sz w:val="22"/>
        </w:rPr>
        <w:t>Metamodel RBAC₀–RBAC₂ dạng sơ đồ lớp UML.</w:t>
      </w:r>
    </w:p>
    <w:p>
      <w:pPr>
        <w:spacing w:before="200" w:after="60"/>
      </w:pPr>
      <w:r>
        <w:rPr>
          <w:b/>
          <w:color w:val="028090"/>
          <w:sz w:val="25"/>
        </w:rPr>
        <w:t>2.4. Mô hình hóa hình thức bằng UML và OCL</w:t>
      </w:r>
    </w:p>
    <w:p>
      <w:pPr>
        <w:pStyle w:val="ListBullet"/>
        <w:spacing w:after="40"/>
        <w:jc w:val="both"/>
      </w:pPr>
      <w:r>
        <w:rPr>
          <w:sz w:val="23"/>
        </w:rPr>
        <w:t>Cơ chế profile và stereotype của UML (OMG, 2017) — cơ sở chuẩn hóa cho cú pháp cụ thể của DSL.</w:t>
      </w:r>
    </w:p>
    <w:p>
      <w:pPr>
        <w:pStyle w:val="ListBullet"/>
        <w:spacing w:after="40"/>
        <w:jc w:val="both"/>
      </w:pPr>
      <w:r>
        <w:rPr>
          <w:sz w:val="23"/>
        </w:rPr>
        <w:t>OCL: bất biến, biểu thức tập hợp, navigation (OMG, 2014).</w:t>
      </w:r>
    </w:p>
    <w:p>
      <w:pPr>
        <w:pStyle w:val="ListBullet"/>
        <w:spacing w:after="40"/>
        <w:jc w:val="both"/>
      </w:pPr>
      <w:r>
        <w:rPr>
          <w:sz w:val="23"/>
        </w:rPr>
        <w:t>Công cụ kiểm chứng USE (Gogolla et al., 2007): snapshot, object diagram, kiểm tra bất biến.</w:t>
      </w:r>
    </w:p>
    <w:p>
      <w:pPr>
        <w:pStyle w:val="ListBullet"/>
        <w:spacing w:after="40"/>
        <w:jc w:val="both"/>
      </w:pPr>
      <w:r>
        <w:rPr>
          <w:sz w:val="23"/>
        </w:rPr>
        <w:t>PlantUML như một cú pháp văn bản của sơ đồ UML: ưu điểm quản lý phiên bản, hạn chế về metamodel hình thức.</w:t>
      </w:r>
    </w:p>
    <w:p>
      <w:pPr>
        <w:spacing w:before="200" w:after="60"/>
      </w:pPr>
      <w:r>
        <w:rPr>
          <w:b/>
          <w:color w:val="028090"/>
          <w:sz w:val="25"/>
        </w:rPr>
        <w:t>2.5. Hợp nhất khía cạnh quan tâm và kiến trúc microservice</w:t>
      </w:r>
    </w:p>
    <w:p>
      <w:pPr>
        <w:pStyle w:val="ListBullet"/>
        <w:spacing w:after="40"/>
        <w:jc w:val="both"/>
      </w:pPr>
      <w:r>
        <w:rPr>
          <w:sz w:val="23"/>
        </w:rPr>
        <w:t>Cơ chế Annotable/Annotation của UDML: compose nhiều khía cạnh vào một mô hình thống nhất; ba bất biến trực giao, gắn kết, truy vết.</w:t>
      </w:r>
    </w:p>
    <w:p>
      <w:pPr>
        <w:pStyle w:val="ListBullet"/>
        <w:spacing w:after="40"/>
        <w:jc w:val="both"/>
      </w:pPr>
      <w:r>
        <w:rPr>
          <w:sz w:val="23"/>
        </w:rPr>
        <w:t>Kiến trúc TMSA (Le et al., 2025): tổ chức dịch vụ theo đa cây, ánh xạ bounded context ↔ dịch vụ.</w:t>
      </w:r>
    </w:p>
    <w:p>
      <w:pPr>
        <w:pStyle w:val="ListBullet"/>
        <w:spacing w:after="40"/>
        <w:jc w:val="both"/>
      </w:pPr>
      <w:r>
        <w:rPr>
          <w:sz w:val="23"/>
        </w:rPr>
        <w:t>Nền tảng NestJS: module, provider, guard, custom decorator, metadata reflection, CQRS — các cấu trúc mà bước sinh mã sử dụng.</w:t>
      </w:r>
    </w:p>
    <w:p>
      <w:pPr>
        <w:spacing w:after="120"/>
        <w:ind w:left="360"/>
        <w:jc w:val="both"/>
      </w:pPr>
      <w:r>
        <w:rPr>
          <w:b/>
          <w:i/>
          <w:color w:val="1B7A5E"/>
          <w:sz w:val="22"/>
        </w:rPr>
        <w:t xml:space="preserve">Hình 2.3: </w:t>
      </w:r>
      <w:r>
        <w:rPr>
          <w:i/>
          <w:color w:val="5A7278"/>
          <w:sz w:val="22"/>
        </w:rPr>
        <w:t>Vị trí của luận văn trong mạch nghiên cứu DCSL → AGL → UDML → luận văn.</w:t>
      </w:r>
    </w:p>
    <w:p>
      <w:pPr>
        <w:spacing w:before="200" w:after="60"/>
      </w:pPr>
      <w:r>
        <w:rPr>
          <w:b/>
          <w:color w:val="028090"/>
          <w:sz w:val="25"/>
        </w:rPr>
        <w:t>2.6. Tổng kết chương và định vị nghiên cứu</w:t>
      </w:r>
    </w:p>
    <w:p>
      <w:pPr>
        <w:spacing w:after="80"/>
        <w:jc w:val="both"/>
      </w:pPr>
      <w:r>
        <w:rPr>
          <w:i w:val="0"/>
          <w:sz w:val="24"/>
        </w:rPr>
        <w:t>Tóm tắt các khái niệm được kế thừa và chỉ rõ điểm luận văn bổ sung, dẫn sang Chương 3.</w:t>
      </w:r>
    </w:p>
    <w:p>
      <w:pPr>
        <w:spacing w:before="320" w:after="120"/>
      </w:pPr>
      <w:r>
        <w:rPr>
          <w:b/>
          <w:color w:val="0A3438"/>
          <w:sz w:val="28"/>
        </w:rPr>
        <w:t>CHƯƠNG 3. PHƯƠNG PHÁP ĐỀ XUẤT</w:t>
      </w:r>
      <w:r>
        <w:rPr>
          <w:i/>
          <w:color w:val="5A7278"/>
          <w:sz w:val="21"/>
        </w:rPr>
        <w:t xml:space="preserve">   (26–32 trang — chương trọng tâm)</w:t>
      </w:r>
    </w:p>
    <w:p>
      <w:pPr>
        <w:spacing w:before="200" w:after="60"/>
      </w:pPr>
      <w:r>
        <w:rPr>
          <w:b/>
          <w:color w:val="028090"/>
          <w:sz w:val="25"/>
        </w:rPr>
        <w:t>3.1. Tổng quan phương pháp</w:t>
      </w:r>
    </w:p>
    <w:p>
      <w:pPr>
        <w:pStyle w:val="ListBullet"/>
        <w:spacing w:after="40"/>
        <w:jc w:val="both"/>
      </w:pPr>
      <w:r>
        <w:rPr>
          <w:sz w:val="23"/>
        </w:rPr>
        <w:t>Trình bày pipeline ở mức khái niệm: đầu vào (sơ đồ lớp, sơ đồ hoạt động, ràng buộc OCL) — năm bước xử lý — dữ liệu trung gian — đầu ra.</w:t>
      </w:r>
    </w:p>
    <w:p>
      <w:pPr>
        <w:pStyle w:val="ListBullet"/>
        <w:spacing w:after="40"/>
        <w:jc w:val="both"/>
      </w:pPr>
      <w:r>
        <w:rPr>
          <w:sz w:val="23"/>
        </w:rPr>
        <w:t>Nhấn mạnh tính độc lập với công nghệ cài đặt: công nghệ chỉ xuất hiện ở bước sinh mã.</w:t>
      </w:r>
    </w:p>
    <w:p>
      <w:pPr>
        <w:pStyle w:val="ListBullet"/>
        <w:spacing w:after="40"/>
        <w:jc w:val="both"/>
      </w:pPr>
      <w:r>
        <w:rPr>
          <w:sz w:val="23"/>
        </w:rPr>
        <w:t>Vòng phản hồi từ bước kiểm chứng về đặc tả.</w:t>
      </w:r>
    </w:p>
    <w:p>
      <w:pPr>
        <w:spacing w:after="120"/>
        <w:ind w:left="360"/>
        <w:jc w:val="both"/>
      </w:pPr>
      <w:r>
        <w:rPr>
          <w:b/>
          <w:i/>
          <w:color w:val="1B7A5E"/>
          <w:sz w:val="22"/>
        </w:rPr>
        <w:t xml:space="preserve">Hình 3.1: </w:t>
      </w:r>
      <w:r>
        <w:rPr>
          <w:i/>
          <w:color w:val="5A7278"/>
          <w:sz w:val="22"/>
        </w:rPr>
        <w:t>Sơ đồ tổng quan phương pháp (đã có sẵn: hinh-tong-quan-phuong-phap.svg).</w:t>
      </w:r>
    </w:p>
    <w:p>
      <w:pPr>
        <w:spacing w:before="200" w:after="60"/>
      </w:pPr>
      <w:r>
        <w:rPr>
          <w:b/>
          <w:color w:val="028090"/>
          <w:sz w:val="25"/>
        </w:rPr>
        <w:t>3.2. DSL đặc tả chính sách RBAC</w:t>
      </w:r>
    </w:p>
    <w:p>
      <w:pPr>
        <w:spacing w:after="80"/>
        <w:jc w:val="both"/>
      </w:pPr>
      <w:r>
        <w:rPr>
          <w:i w:val="0"/>
          <w:sz w:val="24"/>
        </w:rPr>
        <w:t>Trình bày theo đúng ba thành phần của một DSL — đây là mục thể hiện đóng góp thứ nhất, nên viết kỹ nhất.</w:t>
      </w:r>
    </w:p>
    <w:p>
      <w:pPr>
        <w:pStyle w:val="ListBullet"/>
        <w:spacing w:after="40"/>
        <w:jc w:val="both"/>
      </w:pPr>
      <w:r>
        <w:rPr>
          <w:sz w:val="23"/>
        </w:rPr>
        <w:t>3.2.1. Cú pháp trừu tượng: metamodel RBAC (Role, Permission, Resource, Action, Scope, RoleHierarchy, SsdConstraint, DsdConstraint, Cardinality) đặc tả bằng sơ đồ lớp UML kèm bất biến dạng đúng.</w:t>
      </w:r>
    </w:p>
    <w:p>
      <w:pPr>
        <w:pStyle w:val="ListBullet"/>
        <w:spacing w:after="40"/>
        <w:jc w:val="both"/>
      </w:pPr>
      <w:r>
        <w:rPr>
          <w:sz w:val="23"/>
        </w:rPr>
        <w:t>3.2.2. Cú pháp cụ thể: profile trên sơ đồ lớp PlantUML — bảng ánh xạ từng khái niệm metamodel sang ký pháp; văn phạm của biểu thức quyền TÊN : TàiNguyên.thaoTác [phạm vi].</w:t>
      </w:r>
    </w:p>
    <w:p>
      <w:pPr>
        <w:pStyle w:val="ListBullet"/>
        <w:spacing w:after="40"/>
        <w:jc w:val="both"/>
      </w:pPr>
      <w:r>
        <w:rPr>
          <w:sz w:val="23"/>
        </w:rPr>
        <w:t>3.2.3. Ngữ nghĩa tĩnh: các bất biến OCL cho RBAC₀ (dạng đúng, tính duy nhất), RBAC₁ (không chu trình) và RBAC₂ (SSD, DSD, cardinality); giải thích từng bất biến kèm ví dụ vi phạm.</w:t>
      </w:r>
    </w:p>
    <w:p>
      <w:pPr>
        <w:pStyle w:val="ListBullet"/>
        <w:spacing w:after="40"/>
        <w:jc w:val="both"/>
      </w:pPr>
      <w:r>
        <w:rPr>
          <w:sz w:val="23"/>
        </w:rPr>
        <w:t>3.2.4. Ví dụ minh họa xuyên suốt: một trích đoạn đặc tả RBAC của CourseMan.</w:t>
      </w:r>
    </w:p>
    <w:p>
      <w:pPr>
        <w:spacing w:after="120"/>
        <w:ind w:left="360"/>
        <w:jc w:val="both"/>
      </w:pPr>
      <w:r>
        <w:rPr>
          <w:b/>
          <w:i/>
          <w:color w:val="1B7A5E"/>
          <w:sz w:val="22"/>
        </w:rPr>
        <w:t xml:space="preserve">Hình 3.2 – 3.4: </w:t>
      </w:r>
      <w:r>
        <w:rPr>
          <w:i/>
          <w:color w:val="5A7278"/>
          <w:sz w:val="22"/>
        </w:rPr>
        <w:t>Metamodel RBAC; bảng ánh xạ cú pháp cụ thể; ví dụ đặc tả kèm sơ đồ render.</w:t>
      </w:r>
    </w:p>
    <w:p>
      <w:pPr>
        <w:spacing w:before="200" w:after="60"/>
      </w:pPr>
      <w:r>
        <w:rPr>
          <w:b/>
          <w:color w:val="028090"/>
          <w:sz w:val="25"/>
        </w:rPr>
        <w:t>3.3. Bước 1 — Phân tích cú pháp</w:t>
      </w:r>
    </w:p>
    <w:p>
      <w:pPr>
        <w:pStyle w:val="ListBullet"/>
        <w:spacing w:after="40"/>
        <w:jc w:val="both"/>
      </w:pPr>
      <w:r>
        <w:rPr>
          <w:sz w:val="23"/>
        </w:rPr>
        <w:t>Kiến trúc nhiều bộ phân tích cho nhiều nguồn đặc tả; kết quả là cây cú pháp riêng của từng nguồn.</w:t>
      </w:r>
    </w:p>
    <w:p>
      <w:pPr>
        <w:pStyle w:val="ListBullet"/>
        <w:spacing w:after="40"/>
        <w:jc w:val="both"/>
      </w:pPr>
      <w:r>
        <w:rPr>
          <w:sz w:val="23"/>
        </w:rPr>
        <w:t>Yêu cầu giữ vị trí nguồn (dòng, tệp) cho mọi phần tử — cơ sở của truy vết và thông báo lỗi.</w:t>
      </w:r>
    </w:p>
    <w:p>
      <w:pPr>
        <w:pStyle w:val="ListBullet"/>
        <w:spacing w:after="40"/>
        <w:jc w:val="both"/>
      </w:pPr>
      <w:r>
        <w:rPr>
          <w:sz w:val="23"/>
        </w:rPr>
        <w:t>Phạm vi cú pháp hỗ trợ (profile con của PlantUML) và cách xử lý cú pháp ngoài phạm vi.</w:t>
      </w:r>
    </w:p>
    <w:p>
      <w:pPr>
        <w:spacing w:after="120"/>
        <w:ind w:left="360"/>
        <w:jc w:val="both"/>
      </w:pPr>
      <w:r>
        <w:rPr>
          <w:b/>
          <w:i/>
          <w:color w:val="1B7A5E"/>
          <w:sz w:val="22"/>
        </w:rPr>
        <w:t xml:space="preserve">Bảng 3.1: </w:t>
      </w:r>
      <w:r>
        <w:rPr>
          <w:i/>
          <w:color w:val="5A7278"/>
          <w:sz w:val="22"/>
        </w:rPr>
        <w:t>Danh mục cú pháp được hỗ trợ và khái niệm metamodel tương ứng.</w:t>
      </w:r>
    </w:p>
    <w:p>
      <w:pPr>
        <w:spacing w:before="200" w:after="60"/>
      </w:pPr>
      <w:r>
        <w:rPr>
          <w:b/>
          <w:color w:val="028090"/>
          <w:sz w:val="25"/>
        </w:rPr>
        <w:t>3.4. Bước 2 — Hợp nhất mô hình</w:t>
      </w:r>
    </w:p>
    <w:p>
      <w:pPr>
        <w:pStyle w:val="ListBullet"/>
        <w:spacing w:after="40"/>
        <w:jc w:val="both"/>
      </w:pPr>
      <w:r>
        <w:rPr>
          <w:sz w:val="23"/>
        </w:rPr>
        <w:t>Định nghĩa mô hình miền hợp nhất: một cây cú pháp trừu tượng chứa ba khía cạnh; hình thức hóa bằng sơ đồ lớp.</w:t>
      </w:r>
    </w:p>
    <w:p>
      <w:pPr>
        <w:pStyle w:val="ListBullet"/>
        <w:spacing w:after="40"/>
        <w:jc w:val="both"/>
      </w:pPr>
      <w:r>
        <w:rPr>
          <w:sz w:val="23"/>
        </w:rPr>
        <w:t>Cơ chế tham chiếu chéo: quyền → lớp miền, hành vi → phương thức; điều kiện hợp lệ của tham chiếu.</w:t>
      </w:r>
    </w:p>
    <w:p>
      <w:pPr>
        <w:pStyle w:val="ListBullet"/>
        <w:spacing w:after="40"/>
        <w:jc w:val="both"/>
      </w:pPr>
      <w:r>
        <w:rPr>
          <w:sz w:val="23"/>
        </w:rPr>
        <w:t>Thuật toán hợp nhất và các bất biến sau hợp nhất (trực giao, gắn kết, truy vết) — kế thừa UDML.</w:t>
      </w:r>
    </w:p>
    <w:p>
      <w:pPr>
        <w:spacing w:after="120"/>
        <w:ind w:left="360"/>
        <w:jc w:val="both"/>
      </w:pPr>
      <w:r>
        <w:rPr>
          <w:b/>
          <w:i/>
          <w:color w:val="1B7A5E"/>
          <w:sz w:val="22"/>
        </w:rPr>
        <w:t xml:space="preserve">Hình 3.5: </w:t>
      </w:r>
      <w:r>
        <w:rPr>
          <w:i/>
          <w:color w:val="5A7278"/>
          <w:sz w:val="22"/>
        </w:rPr>
        <w:t>Metamodel hợp nhất ba khía cạnh trên một AST.</w:t>
      </w:r>
    </w:p>
    <w:p>
      <w:pPr>
        <w:spacing w:before="200" w:after="60"/>
      </w:pPr>
      <w:r>
        <w:rPr>
          <w:b/>
          <w:color w:val="028090"/>
          <w:sz w:val="25"/>
        </w:rPr>
        <w:t>3.5. Bước 3 — Làm giàu mô hình</w:t>
      </w:r>
    </w:p>
    <w:p>
      <w:pPr>
        <w:pStyle w:val="ListBullet"/>
        <w:spacing w:after="40"/>
        <w:jc w:val="both"/>
      </w:pPr>
      <w:r>
        <w:rPr>
          <w:sz w:val="23"/>
        </w:rPr>
        <w:t>Bốn phép biến đổi: chuẩn hóa lớp miền; sinh thao tác CRUD mặc định; sinh kho lưu trữ; lan truyền quyền theo phân cấp vai trò.</w:t>
      </w:r>
    </w:p>
    <w:p>
      <w:pPr>
        <w:pStyle w:val="ListBullet"/>
        <w:spacing w:after="40"/>
        <w:jc w:val="both"/>
      </w:pPr>
      <w:r>
        <w:rPr>
          <w:sz w:val="23"/>
        </w:rPr>
        <w:t>Trình bày thuật toán lan truyền quyền dạng mã giả; chứng minh tính dừng (tập quyền hữu hạn, phép cộng dồn đơn điệu) và tính đúng đắn so với định nghĩa RBAC₁.</w:t>
      </w:r>
    </w:p>
    <w:p>
      <w:pPr>
        <w:pStyle w:val="ListBullet"/>
        <w:spacing w:after="40"/>
        <w:jc w:val="both"/>
      </w:pPr>
      <w:r>
        <w:rPr>
          <w:sz w:val="23"/>
        </w:rPr>
        <w:t>Độ phức tạp tính toán và điều kiện tiên quyết (đồ thị kế thừa không chu trình).</w:t>
      </w:r>
    </w:p>
    <w:p>
      <w:pPr>
        <w:spacing w:after="120"/>
        <w:ind w:left="360"/>
        <w:jc w:val="both"/>
      </w:pPr>
      <w:r>
        <w:rPr>
          <w:b/>
          <w:i/>
          <w:color w:val="1B7A5E"/>
          <w:sz w:val="22"/>
        </w:rPr>
        <w:t xml:space="preserve">Hình 3.6 · Thuật toán 3.1: </w:t>
      </w:r>
      <w:r>
        <w:rPr>
          <w:i/>
          <w:color w:val="5A7278"/>
          <w:sz w:val="22"/>
        </w:rPr>
        <w:t>Ví dụ lan truyền quyền trên phân cấp ba tầng; mã giả thuật toán điểm bất động.</w:t>
      </w:r>
    </w:p>
    <w:p>
      <w:pPr>
        <w:spacing w:before="200" w:after="60"/>
      </w:pPr>
      <w:r>
        <w:rPr>
          <w:b/>
          <w:color w:val="028090"/>
          <w:sz w:val="25"/>
        </w:rPr>
        <w:t>3.6. Bước 4 — Kiểm chứng ràng buộc</w:t>
      </w:r>
    </w:p>
    <w:p>
      <w:pPr>
        <w:pStyle w:val="ListBullet"/>
        <w:spacing w:after="40"/>
        <w:jc w:val="both"/>
      </w:pPr>
      <w:r>
        <w:rPr>
          <w:sz w:val="23"/>
        </w:rPr>
        <w:t>Phân loại bất biến theo ba lớp RBAC₀/₁/₂ và theo thời điểm kiểm chứng (thiết kế / vận hành).</w:t>
      </w:r>
    </w:p>
    <w:p>
      <w:pPr>
        <w:pStyle w:val="ListBullet"/>
        <w:spacing w:after="40"/>
        <w:jc w:val="both"/>
      </w:pPr>
      <w:r>
        <w:rPr>
          <w:sz w:val="23"/>
        </w:rPr>
        <w:t>Quy trình đánh giá bất biến trên mô hình; định dạng chẩn đoán trỏ về vị trí trong đặc tả.</w:t>
      </w:r>
    </w:p>
    <w:p>
      <w:pPr>
        <w:pStyle w:val="ListBullet"/>
        <w:spacing w:after="40"/>
        <w:jc w:val="both"/>
      </w:pPr>
      <w:r>
        <w:rPr>
          <w:sz w:val="23"/>
        </w:rPr>
        <w:t>Ranh giới: bất biến nào quyết định được ở mức mô hình, bất biến nào bắt buộc kiểm lúc vận hành và vì sao.</w:t>
      </w:r>
    </w:p>
    <w:p>
      <w:pPr>
        <w:spacing w:after="120"/>
        <w:ind w:left="360"/>
        <w:jc w:val="both"/>
      </w:pPr>
      <w:r>
        <w:rPr>
          <w:b/>
          <w:i/>
          <w:color w:val="1B7A5E"/>
          <w:sz w:val="22"/>
        </w:rPr>
        <w:t xml:space="preserve">Bảng 3.2: </w:t>
      </w:r>
      <w:r>
        <w:rPr>
          <w:i/>
          <w:color w:val="5A7278"/>
          <w:sz w:val="22"/>
        </w:rPr>
        <w:t>Danh mục bất biến, biểu thức OCL tương ứng, thời điểm kiểm chứng.</w:t>
      </w:r>
    </w:p>
    <w:p>
      <w:pPr>
        <w:spacing w:before="200" w:after="60"/>
      </w:pPr>
      <w:r>
        <w:rPr>
          <w:b/>
          <w:color w:val="028090"/>
          <w:sz w:val="25"/>
        </w:rPr>
        <w:t>3.7. Bước 5 — Sinh mã theo mẫu</w:t>
      </w:r>
    </w:p>
    <w:p>
      <w:pPr>
        <w:pStyle w:val="ListBullet"/>
        <w:spacing w:after="40"/>
        <w:jc w:val="both"/>
      </w:pPr>
      <w:r>
        <w:rPr>
          <w:sz w:val="23"/>
        </w:rPr>
        <w:t>Bảng ánh xạ khái niệm mô hình → sản phẩm mã ở mức khái niệm (bounded context → module; lớp miền → mã tầng miền; use case → đơn vị xử lý; vai trò/quyền → bảng gán quyền và điểm kiểm soát).</w:t>
      </w:r>
    </w:p>
    <w:p>
      <w:pPr>
        <w:pStyle w:val="ListBullet"/>
        <w:spacing w:after="40"/>
        <w:jc w:val="both"/>
      </w:pPr>
      <w:r>
        <w:rPr>
          <w:sz w:val="23"/>
        </w:rPr>
        <w:t>Nguyên tắc mẫu logic-less: mọi tính toán thực hiện ở bước chuẩn bị dữ liệu; lợi ích cho kiểm thử.</w:t>
      </w:r>
    </w:p>
    <w:p>
      <w:pPr>
        <w:pStyle w:val="ListBullet"/>
        <w:spacing w:after="40"/>
        <w:jc w:val="both"/>
      </w:pPr>
      <w:r>
        <w:rPr>
          <w:sz w:val="23"/>
        </w:rPr>
        <w:t>Chú thích truy vết và cơ chế bảo toàn mã viết tay (protected region) khi sinh lại.</w:t>
      </w:r>
    </w:p>
    <w:p>
      <w:pPr>
        <w:spacing w:after="120"/>
        <w:ind w:left="360"/>
        <w:jc w:val="both"/>
      </w:pPr>
      <w:r>
        <w:rPr>
          <w:b/>
          <w:i/>
          <w:color w:val="1B7A5E"/>
          <w:sz w:val="22"/>
        </w:rPr>
        <w:t xml:space="preserve">Bảng 3.3: </w:t>
      </w:r>
      <w:r>
        <w:rPr>
          <w:i/>
          <w:color w:val="5A7278"/>
          <w:sz w:val="22"/>
        </w:rPr>
        <w:t>Ánh xạ khái niệm mô hình → sản phẩm mã, kèm cột minh họa cho nền tảng NestJS.</w:t>
      </w:r>
    </w:p>
    <w:p>
      <w:pPr>
        <w:spacing w:before="200" w:after="60"/>
      </w:pPr>
      <w:r>
        <w:rPr>
          <w:b/>
          <w:color w:val="028090"/>
          <w:sz w:val="25"/>
        </w:rPr>
        <w:t>3.8. Các tính chất của phương pháp</w:t>
      </w:r>
    </w:p>
    <w:p>
      <w:pPr>
        <w:pStyle w:val="ListBullet"/>
        <w:spacing w:after="40"/>
        <w:jc w:val="both"/>
      </w:pPr>
      <w:r>
        <w:rPr>
          <w:sz w:val="23"/>
        </w:rPr>
        <w:t>Tính trực giao: thêm hoặc bớt khía cạnh RBAC không làm thay đổi phần cấu trúc và hành vi.</w:t>
      </w:r>
    </w:p>
    <w:p>
      <w:pPr>
        <w:pStyle w:val="ListBullet"/>
        <w:spacing w:after="40"/>
        <w:jc w:val="both"/>
      </w:pPr>
      <w:r>
        <w:rPr>
          <w:sz w:val="23"/>
        </w:rPr>
        <w:t>Tính truy vết hai chiều mô hình ↔ mã.</w:t>
      </w:r>
    </w:p>
    <w:p>
      <w:pPr>
        <w:pStyle w:val="ListBullet"/>
        <w:spacing w:after="40"/>
        <w:jc w:val="both"/>
      </w:pPr>
      <w:r>
        <w:rPr>
          <w:sz w:val="23"/>
        </w:rPr>
        <w:t>Tính idempotent của bước sinh mã.</w:t>
      </w:r>
    </w:p>
    <w:p>
      <w:pPr>
        <w:pStyle w:val="ListBullet"/>
        <w:spacing w:after="40"/>
        <w:jc w:val="both"/>
      </w:pPr>
      <w:r>
        <w:rPr>
          <w:sz w:val="23"/>
        </w:rPr>
        <w:t>Tính độc lập công nghệ và điều kiện để chuyển sang nền tảng đích khác.</w:t>
      </w:r>
    </w:p>
    <w:p>
      <w:pPr>
        <w:spacing w:before="200" w:after="60"/>
      </w:pPr>
      <w:r>
        <w:rPr>
          <w:b/>
          <w:color w:val="028090"/>
          <w:sz w:val="25"/>
        </w:rPr>
        <w:t>3.9. Tổng kết chương</w:t>
      </w:r>
    </w:p>
    <w:p>
      <w:pPr>
        <w:spacing w:before="320" w:after="120"/>
      </w:pPr>
      <w:r>
        <w:rPr>
          <w:b/>
          <w:color w:val="0A3438"/>
          <w:sz w:val="28"/>
        </w:rPr>
        <w:t>CHƯƠNG 4. THỰC NGHIỆM VÀ ĐÁNH GIÁ</w:t>
      </w:r>
      <w:r>
        <w:rPr>
          <w:i/>
          <w:color w:val="5A7278"/>
          <w:sz w:val="21"/>
        </w:rPr>
        <w:t xml:space="preserve">   (22–28 trang)</w:t>
      </w:r>
    </w:p>
    <w:p>
      <w:pPr>
        <w:spacing w:before="200" w:after="60"/>
      </w:pPr>
      <w:r>
        <w:rPr>
          <w:b/>
          <w:color w:val="028090"/>
          <w:sz w:val="25"/>
        </w:rPr>
        <w:t>4.1. Công cụ ddd-codegen</w:t>
      </w:r>
    </w:p>
    <w:p>
      <w:pPr>
        <w:pStyle w:val="ListBullet"/>
        <w:spacing w:after="40"/>
        <w:jc w:val="both"/>
      </w:pPr>
      <w:r>
        <w:rPr>
          <w:sz w:val="23"/>
        </w:rPr>
        <w:t>Kiến trúc phần mềm của công cụ: bốn gói model / parser / transformer / generator ứng với các bước của phương pháp.</w:t>
      </w:r>
    </w:p>
    <w:p>
      <w:pPr>
        <w:pStyle w:val="ListBullet"/>
        <w:spacing w:after="40"/>
        <w:jc w:val="both"/>
      </w:pPr>
      <w:r>
        <w:rPr>
          <w:sz w:val="23"/>
        </w:rPr>
        <w:t>Lựa chọn công nghệ và lý do: TypeScript, bộ phân tích viết tay theo lối đệ quy xuống, chevrotain cho OCL, Handlebars cho mẫu sinh.</w:t>
      </w:r>
    </w:p>
    <w:p>
      <w:pPr>
        <w:pStyle w:val="ListBullet"/>
        <w:spacing w:after="40"/>
        <w:jc w:val="both"/>
      </w:pPr>
      <w:r>
        <w:rPr>
          <w:sz w:val="23"/>
        </w:rPr>
        <w:t>Giao diện dòng lệnh và quy trình sử dụng.</w:t>
      </w:r>
    </w:p>
    <w:p>
      <w:pPr>
        <w:pStyle w:val="ListBullet"/>
        <w:spacing w:after="40"/>
        <w:jc w:val="both"/>
      </w:pPr>
      <w:r>
        <w:rPr>
          <w:sz w:val="23"/>
        </w:rPr>
        <w:t>Quy mô cài đặt: khoảng 3.200 dòng mã, 15 mẫu sinh; trạng thái hoàn thành của từng bước.</w:t>
      </w:r>
    </w:p>
    <w:p>
      <w:pPr>
        <w:spacing w:after="120"/>
        <w:ind w:left="360"/>
        <w:jc w:val="both"/>
      </w:pPr>
      <w:r>
        <w:rPr>
          <w:b/>
          <w:i/>
          <w:color w:val="1B7A5E"/>
          <w:sz w:val="22"/>
        </w:rPr>
        <w:t xml:space="preserve">Hình 4.1 · Bảng 4.1: </w:t>
      </w:r>
      <w:r>
        <w:rPr>
          <w:i/>
          <w:color w:val="5A7278"/>
          <w:sz w:val="22"/>
        </w:rPr>
        <w:t>Sơ đồ kiến trúc công cụ; bảng ánh xạ năm bước phương pháp ↔ thành phần công cụ ↔ trạng thái.</w:t>
      </w:r>
    </w:p>
    <w:p>
      <w:pPr>
        <w:spacing w:before="200" w:after="60"/>
      </w:pPr>
      <w:r>
        <w:rPr>
          <w:b/>
          <w:color w:val="028090"/>
          <w:sz w:val="25"/>
        </w:rPr>
        <w:t>4.2. Case study CourseMan</w:t>
      </w:r>
    </w:p>
    <w:p>
      <w:pPr>
        <w:pStyle w:val="ListBullet"/>
        <w:spacing w:after="40"/>
        <w:jc w:val="both"/>
      </w:pPr>
      <w:r>
        <w:rPr>
          <w:sz w:val="23"/>
        </w:rPr>
        <w:t>Mô tả bài toán: hai bounded context (ghi danh, lớp học) và miền phân quyền với ba vai trò.</w:t>
      </w:r>
    </w:p>
    <w:p>
      <w:pPr>
        <w:pStyle w:val="ListBullet"/>
        <w:spacing w:after="40"/>
        <w:jc w:val="both"/>
      </w:pPr>
      <w:r>
        <w:rPr>
          <w:sz w:val="23"/>
        </w:rPr>
        <w:t>Đặc tả đầu vào: sơ đồ lớp, sơ đồ hoạt động, tệp OCL — thống kê dung lượng từng tệp.</w:t>
      </w:r>
    </w:p>
    <w:p>
      <w:pPr>
        <w:pStyle w:val="ListBullet"/>
        <w:spacing w:after="40"/>
        <w:jc w:val="both"/>
      </w:pPr>
      <w:r>
        <w:rPr>
          <w:sz w:val="23"/>
        </w:rPr>
        <w:t>Lý do chọn CourseMan: là case study chuẩn của mạch DCSL/AGL nên kết quả so sánh được; đủ nhỏ để trình bày nhưng chứa đủ mọi khái niệm cần kiểm chứng.</w:t>
      </w:r>
    </w:p>
    <w:p>
      <w:pPr>
        <w:spacing w:after="120"/>
        <w:ind w:left="360"/>
        <w:jc w:val="both"/>
      </w:pPr>
      <w:r>
        <w:rPr>
          <w:b/>
          <w:i/>
          <w:color w:val="1B7A5E"/>
          <w:sz w:val="22"/>
        </w:rPr>
        <w:t xml:space="preserve">Hình 4.2 – 4.3: </w:t>
      </w:r>
      <w:r>
        <w:rPr>
          <w:i/>
          <w:color w:val="5A7278"/>
          <w:sz w:val="22"/>
        </w:rPr>
        <w:t>Sơ đồ lớp miền của CourseMan; sơ đồ đặc tả RBAC với phân cấp vai trò và ràng buộc.</w:t>
      </w:r>
    </w:p>
    <w:p>
      <w:pPr>
        <w:spacing w:before="200" w:after="60"/>
      </w:pPr>
      <w:r>
        <w:rPr>
          <w:b/>
          <w:color w:val="028090"/>
          <w:sz w:val="25"/>
        </w:rPr>
        <w:t>4.3. Thiết kế đánh giá</w:t>
      </w:r>
    </w:p>
    <w:p>
      <w:pPr>
        <w:pStyle w:val="ListBullet"/>
        <w:spacing w:after="40"/>
        <w:jc w:val="both"/>
      </w:pPr>
      <w:r>
        <w:rPr>
          <w:sz w:val="23"/>
        </w:rPr>
        <w:t>Nhắc lại bốn câu hỏi nghiên cứu và gắn mỗi câu với thước đo cùng nguồn dữ liệu.</w:t>
      </w:r>
    </w:p>
    <w:p>
      <w:pPr>
        <w:pStyle w:val="ListBullet"/>
        <w:spacing w:after="40"/>
        <w:jc w:val="both"/>
      </w:pPr>
      <w:r>
        <w:rPr>
          <w:sz w:val="23"/>
        </w:rPr>
        <w:t>Quy trình bốn bước: sinh hệ thống — chạy bộ kịch bản truy cập — mutation test trên mô hình — đo đạc và khảo sát.</w:t>
      </w:r>
    </w:p>
    <w:p>
      <w:pPr>
        <w:pStyle w:val="ListBullet"/>
        <w:spacing w:after="40"/>
        <w:jc w:val="both"/>
      </w:pPr>
      <w:r>
        <w:rPr>
          <w:sz w:val="23"/>
        </w:rPr>
        <w:t>Cách sinh bộ kịch bản từ bảng gán quyền để tránh thiên lệch; danh mục kịch bản cho phép và bị cấm.</w:t>
      </w:r>
    </w:p>
    <w:p>
      <w:pPr>
        <w:spacing w:after="120"/>
        <w:ind w:left="360"/>
        <w:jc w:val="both"/>
      </w:pPr>
      <w:r>
        <w:rPr>
          <w:b/>
          <w:i/>
          <w:color w:val="1B7A5E"/>
          <w:sz w:val="22"/>
        </w:rPr>
        <w:t xml:space="preserve">Bảng 4.2 – 4.3: </w:t>
      </w:r>
      <w:r>
        <w:rPr>
          <w:i/>
          <w:color w:val="5A7278"/>
          <w:sz w:val="22"/>
        </w:rPr>
        <w:t>Ma trận RQ ↔ thước đo ↔ nguồn dữ liệu; danh mục kịch bản kiểm thử TC1–TCn.</w:t>
      </w:r>
    </w:p>
    <w:p>
      <w:pPr>
        <w:spacing w:before="200" w:after="60"/>
      </w:pPr>
      <w:r>
        <w:rPr>
          <w:b/>
          <w:color w:val="028090"/>
          <w:sz w:val="25"/>
        </w:rPr>
        <w:t>4.4. Kết quả</w:t>
      </w:r>
    </w:p>
    <w:p>
      <w:pPr>
        <w:pStyle w:val="ListBullet"/>
        <w:spacing w:after="40"/>
        <w:jc w:val="both"/>
      </w:pPr>
      <w:r>
        <w:rPr>
          <w:sz w:val="23"/>
        </w:rPr>
        <w:t>RQ1 — tính khả thi: pipeline chạy trọn vẹn; mã sinh biên dịch và vận hành; kết quả từng kịch bản truy cập.</w:t>
      </w:r>
    </w:p>
    <w:p>
      <w:pPr>
        <w:pStyle w:val="ListBullet"/>
        <w:spacing w:after="40"/>
        <w:jc w:val="both"/>
      </w:pPr>
      <w:r>
        <w:rPr>
          <w:sz w:val="23"/>
        </w:rPr>
        <w:t>RQ2 — năng suất: 331 dòng đặc tả → 31 tệp / 1.432 dòng mã; số điểm chạm và thời gian khi thêm một vai trò hoặc quyền mới so với cài đặt thủ công.</w:t>
      </w:r>
    </w:p>
    <w:p>
      <w:pPr>
        <w:pStyle w:val="ListBullet"/>
        <w:spacing w:after="40"/>
        <w:jc w:val="both"/>
      </w:pPr>
      <w:r>
        <w:rPr>
          <w:sz w:val="23"/>
        </w:rPr>
        <w:t>RQ3 — tính đúng đắn: tỉ lệ đột biến mô hình bị phát hiện; chất lượng thông báo lỗi.</w:t>
      </w:r>
    </w:p>
    <w:p>
      <w:pPr>
        <w:pStyle w:val="ListBullet"/>
        <w:spacing w:after="40"/>
        <w:jc w:val="both"/>
      </w:pPr>
      <w:r>
        <w:rPr>
          <w:sz w:val="23"/>
        </w:rPr>
        <w:t>RQ4 — truy vết và mức dễ hiểu: tỉ lệ chú thích truy vết chính xác trên mẫu ngẫu nhiên; kết quả khảo sát.</w:t>
      </w:r>
    </w:p>
    <w:p>
      <w:pPr>
        <w:spacing w:after="120"/>
        <w:ind w:left="360"/>
        <w:jc w:val="both"/>
      </w:pPr>
      <w:r>
        <w:rPr>
          <w:b/>
          <w:i/>
          <w:color w:val="1B7A5E"/>
          <w:sz w:val="22"/>
        </w:rPr>
        <w:t xml:space="preserve">Bảng 4.4 – 4.6 · Hình 4.4: </w:t>
      </w:r>
      <w:r>
        <w:rPr>
          <w:i/>
          <w:color w:val="5A7278"/>
          <w:sz w:val="22"/>
        </w:rPr>
        <w:t>Bảng thống kê sinh mã theo từng bounded context; bảng kết quả kịch bản; bảng kết quả mutation test; biểu đồ so sánh công sức đặc tả và mã sinh.</w:t>
      </w:r>
    </w:p>
    <w:p>
      <w:pPr>
        <w:spacing w:before="200" w:after="60"/>
      </w:pPr>
      <w:r>
        <w:rPr>
          <w:b/>
          <w:color w:val="028090"/>
          <w:sz w:val="25"/>
        </w:rPr>
        <w:t>4.5. Threats to validity</w:t>
      </w:r>
    </w:p>
    <w:p>
      <w:pPr>
        <w:pStyle w:val="ListBullet"/>
        <w:spacing w:after="40"/>
        <w:jc w:val="both"/>
      </w:pPr>
      <w:r>
        <w:rPr>
          <w:sz w:val="23"/>
        </w:rPr>
        <w:t>Internal: nguy cơ thiên lệch do tác giả tự xây case study; biện pháp — sinh kịch bản và đột biến một cách máy móc từ đặc tả.</w:t>
      </w:r>
    </w:p>
    <w:p>
      <w:pPr>
        <w:pStyle w:val="ListBullet"/>
        <w:spacing w:after="40"/>
        <w:jc w:val="both"/>
      </w:pPr>
      <w:r>
        <w:rPr>
          <w:sz w:val="23"/>
        </w:rPr>
        <w:t>External: một case study, một nền tảng đích; biện pháp — phương pháp ở mức khái niệm, thay bộ mẫu là đổi được nền tảng.</w:t>
      </w:r>
    </w:p>
    <w:p>
      <w:pPr>
        <w:pStyle w:val="ListBullet"/>
        <w:spacing w:after="40"/>
        <w:jc w:val="both"/>
      </w:pPr>
      <w:r>
        <w:rPr>
          <w:sz w:val="23"/>
        </w:rPr>
        <w:t>Construct: LoC và thời gian chỉ là thước đo gián tiếp; biện pháp — kết hợp nhiều thước đo và khảo sát định tính.</w:t>
      </w:r>
    </w:p>
    <w:p>
      <w:pPr>
        <w:pStyle w:val="ListBullet"/>
        <w:spacing w:after="40"/>
        <w:jc w:val="both"/>
      </w:pPr>
      <w:r>
        <w:rPr>
          <w:sz w:val="23"/>
        </w:rPr>
        <w:t>Conclusion: cỡ mẫu khảo sát nhỏ; biện pháp — chỉ báo cáo thống kê mô tả, không tổng quát hóa.</w:t>
      </w:r>
    </w:p>
    <w:p>
      <w:pPr>
        <w:spacing w:before="200" w:after="60"/>
      </w:pPr>
      <w:r>
        <w:rPr>
          <w:b/>
          <w:color w:val="028090"/>
          <w:sz w:val="25"/>
        </w:rPr>
        <w:t>4.6. Bàn luận</w:t>
      </w:r>
    </w:p>
    <w:p>
      <w:pPr>
        <w:pStyle w:val="ListBullet"/>
        <w:spacing w:after="40"/>
        <w:jc w:val="both"/>
      </w:pPr>
      <w:r>
        <w:rPr>
          <w:sz w:val="23"/>
        </w:rPr>
        <w:t>Đối sánh với công trình liên quan theo ma trận tiêu chí ở Bảng 1.1, làm rõ điểm khác biệt so với SecureUML và các bộ sinh mã thương mại.</w:t>
      </w:r>
    </w:p>
    <w:p>
      <w:pPr>
        <w:pStyle w:val="ListBullet"/>
        <w:spacing w:after="40"/>
        <w:jc w:val="both"/>
      </w:pPr>
      <w:r>
        <w:rPr>
          <w:sz w:val="23"/>
        </w:rPr>
        <w:t>Bài học rút ra khi thiết kế DSL: đánh đổi giữa độ biểu đạt và độ phức tạp của cú pháp; ranh giới hợp lý của tập con OCL.</w:t>
      </w:r>
    </w:p>
    <w:p>
      <w:pPr>
        <w:pStyle w:val="ListBullet"/>
        <w:spacing w:after="40"/>
        <w:jc w:val="both"/>
      </w:pPr>
      <w:r>
        <w:rPr>
          <w:sz w:val="23"/>
        </w:rPr>
        <w:t>Giới hạn còn lại của công cụ và điều kiện áp dụng trong dự án thực tế.</w:t>
      </w:r>
    </w:p>
    <w:p>
      <w:pPr>
        <w:spacing w:before="320" w:after="120"/>
      </w:pPr>
      <w:r>
        <w:rPr>
          <w:b/>
          <w:color w:val="0A3438"/>
          <w:sz w:val="28"/>
        </w:rPr>
        <w:t>KẾT LUẬN VÀ HƯỚNG PHÁT TRIỂN</w:t>
      </w:r>
      <w:r>
        <w:rPr>
          <w:i/>
          <w:color w:val="5A7278"/>
          <w:sz w:val="21"/>
        </w:rPr>
        <w:t xml:space="preserve">   (3–4 trang)</w:t>
      </w:r>
    </w:p>
    <w:p>
      <w:pPr>
        <w:pStyle w:val="ListBullet"/>
        <w:spacing w:after="40"/>
        <w:jc w:val="both"/>
      </w:pPr>
      <w:r>
        <w:rPr>
          <w:sz w:val="23"/>
        </w:rPr>
        <w:t>Tóm lược hai đóng góp và mức độ trả lời bốn câu hỏi nghiên cứu.</w:t>
      </w:r>
    </w:p>
    <w:p>
      <w:pPr>
        <w:pStyle w:val="ListBullet"/>
        <w:spacing w:after="40"/>
        <w:jc w:val="both"/>
      </w:pPr>
      <w:r>
        <w:rPr>
          <w:sz w:val="23"/>
        </w:rPr>
        <w:t>Hạn chế của luận văn (nêu thẳng, nối tiếp mục 4.5).</w:t>
      </w:r>
    </w:p>
    <w:p>
      <w:pPr>
        <w:pStyle w:val="ListBullet"/>
        <w:spacing w:after="40"/>
        <w:jc w:val="both"/>
      </w:pPr>
      <w:r>
        <w:rPr>
          <w:sz w:val="23"/>
        </w:rPr>
        <w:t>Hướng phát triển: kiểm chứng OCL trọn vẹn; RBAC cross-domain giữa các bounded context; hỗ trợ nhiều ký pháp đầu vào; sinh kèm kiểm thử; mở rộng RBAC₃ và kết hợp ABAC; case study thứ hai.</w:t>
      </w:r>
    </w:p>
    <w:p>
      <w:pPr>
        <w:spacing w:before="320" w:after="120"/>
      </w:pPr>
      <w:r>
        <w:rPr>
          <w:b/>
          <w:color w:val="0A3438"/>
          <w:sz w:val="28"/>
        </w:rPr>
        <w:t>TÀI LIỆU THAM KHẢO VÀ PHỤ LỤC</w:t>
      </w:r>
    </w:p>
    <w:p>
      <w:pPr>
        <w:pStyle w:val="ListBullet"/>
        <w:spacing w:after="40"/>
        <w:jc w:val="both"/>
      </w:pPr>
      <w:r>
        <w:rPr>
          <w:sz w:val="23"/>
        </w:rPr>
        <w:t>Tài liệu tham khảo: 21 tài liệu đã lập theo chuẩn APA (xem tệp tai-lieu-tham-khao-APA.docx).</w:t>
      </w:r>
    </w:p>
    <w:p>
      <w:pPr>
        <w:pStyle w:val="ListBullet"/>
        <w:spacing w:after="40"/>
        <w:jc w:val="both"/>
      </w:pPr>
      <w:r>
        <w:rPr>
          <w:sz w:val="23"/>
        </w:rPr>
        <w:t>Phụ lục A: toàn văn đặc tả CourseMan (.puml, .activity.puml, .ocl).</w:t>
      </w:r>
    </w:p>
    <w:p>
      <w:pPr>
        <w:pStyle w:val="ListBullet"/>
        <w:spacing w:after="40"/>
        <w:jc w:val="both"/>
      </w:pPr>
      <w:r>
        <w:rPr>
          <w:sz w:val="23"/>
        </w:rPr>
        <w:t>Phụ lục B: danh mục 15 mẫu sinh và một mẫu tiêu biểu kèm mã sinh ra tương ứng.</w:t>
      </w:r>
    </w:p>
    <w:p>
      <w:pPr>
        <w:pStyle w:val="ListBullet"/>
        <w:spacing w:after="40"/>
        <w:jc w:val="both"/>
      </w:pPr>
      <w:r>
        <w:rPr>
          <w:sz w:val="23"/>
        </w:rPr>
        <w:t>Phụ lục C: bảng kết quả chi tiết của các kịch bản kiểm thử và mutation test.</w:t>
      </w:r>
    </w:p>
    <w:p>
      <w:pPr>
        <w:spacing w:before="320" w:after="120"/>
      </w:pPr>
      <w:r>
        <w:rPr>
          <w:b/>
          <w:color w:val="0A3438"/>
          <w:sz w:val="28"/>
        </w:rPr>
        <w:t>GỢI Ý VỀ THỨ TỰ VIẾT</w:t>
      </w:r>
    </w:p>
    <w:p>
      <w:pPr>
        <w:spacing w:after="80"/>
        <w:jc w:val="both"/>
      </w:pPr>
      <w:r>
        <w:rPr>
          <w:i w:val="0"/>
          <w:sz w:val="23"/>
        </w:rPr>
        <w:t>Thứ tự viết hiệu quả không trùng thứ tự trình bày. Đề xuất: Chương 3 trước (đóng góp cốt lõi, viết khi còn nắm rõ chi tiết thiết kế) → Chương 4 (viết song song với việc chạy thực nghiệm, số liệu vào bảng ngay khi có) → Chương 2 (chỉ viết những khái niệm thực sự được dùng ở Chương 3–4, tránh liệt kê dàn trải) → Chương 1 (viết sau cùng để khoảng trống nghiên cứu khớp chính xác với đóng góp đã trình bày) → Tóm tắt và Kết luận (viết cuối cùng).</w:t>
      </w:r>
    </w:p>
    <w:p>
      <w:pPr>
        <w:spacing w:after="80"/>
        <w:jc w:val="both"/>
      </w:pPr>
      <w:r>
        <w:rPr>
          <w:i w:val="0"/>
          <w:sz w:val="23"/>
        </w:rPr>
        <w:t>Kiểm tra tính nhất quán trước khi nộp: mọi con số xuất hiện ở Tóm tắt, Chương 1 và Chương 4 phải khớp nhau; mỗi câu hỏi nghiên cứu nêu ở 1.4 phải có mục trả lời tương ứng ở 4.4; mỗi hình và bảng đều được nhắc đến ít nhất một lần trong văn bản.</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729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