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A3438"/>
          <w:sz w:val="32"/>
        </w:rPr>
        <w:t>CÁC NGHIÊN CỨU LIÊN QUAN</w:t>
      </w:r>
    </w:p>
    <w:p>
      <w:pPr>
        <w:jc w:val="center"/>
      </w:pPr>
      <w:r>
        <w:rPr>
          <w:i/>
          <w:color w:val="5A7278"/>
          <w:sz w:val="22"/>
        </w:rPr>
        <w:t>Sắp xếp theo thời gian xuất bản — định dạng trích dẫn APA (7th edition)</w:t>
      </w:r>
    </w:p>
    <w:p>
      <w:pPr>
        <w:spacing w:before="240" w:after="80"/>
      </w:pPr>
      <w:r>
        <w:rPr>
          <w:b/>
          <w:color w:val="028090"/>
          <w:sz w:val="26"/>
        </w:rPr>
        <w:t>Nhóm 1 — Nền tảng lý thuyết kiểm soát truy cập dựa trên vai trò</w:t>
      </w:r>
    </w:p>
    <w:p>
      <w:pPr>
        <w:spacing w:after="40"/>
        <w:ind w:left="720" w:hanging="720"/>
        <w:jc w:val="both"/>
      </w:pPr>
      <w:r>
        <w:rPr>
          <w:sz w:val="26"/>
        </w:rPr>
        <w:t>Sandhu, R. S., Coyne, E. J., Feinstein, H. L., &amp; Youman, C. E. (1996). Role-based access control models. Computer, 29(2), 38–47. https://doi.org/10.1109/2.485845</w:t>
      </w:r>
    </w:p>
    <w:p>
      <w:pPr>
        <w:spacing w:after="160"/>
        <w:ind w:left="720"/>
      </w:pPr>
      <w:r>
        <w:rPr>
          <w:b/>
          <w:i/>
          <w:color w:val="5A7278"/>
          <w:sz w:val="22"/>
        </w:rPr>
        <w:t xml:space="preserve">Liên quan: </w:t>
      </w:r>
      <w:r>
        <w:rPr>
          <w:i/>
          <w:color w:val="5A7278"/>
          <w:sz w:val="22"/>
        </w:rPr>
        <w:t>Định nghĩa họ mô hình tham chiếu RBAC₀–RBAC₃ (vai trò, quyền, phiên, phân cấp vai trò, ràng buộc SSD/DSD). Luận văn kế thừa trực tiếp ngữ nghĩa RBAC₀/RBAC₁ cho metamodel và thuật toán lan truyền quyền, RBAC₂ cho các ràng buộc tách nhiệm.</w:t>
      </w:r>
    </w:p>
    <w:p>
      <w:pPr>
        <w:spacing w:after="40"/>
        <w:ind w:left="720" w:hanging="720"/>
        <w:jc w:val="both"/>
      </w:pPr>
      <w:r>
        <w:rPr>
          <w:sz w:val="26"/>
        </w:rPr>
        <w:t>Lodderstedt, T., Basin, D., &amp; Doser, J. (2002). SecureUML: A UML-based modeling language for model-driven security. In J.-M. Jézéquel, H. Hussmann, &amp; S. Cook (Eds.), UML 2002 — The Unified Modeling Language (Lecture Notes in Computer Science, Vol. 2460, pp. 426–441). Springer. https://doi.org/10.1007/3-540-45800-X_33</w:t>
      </w:r>
    </w:p>
    <w:p>
      <w:pPr>
        <w:spacing w:after="160"/>
        <w:ind w:left="720"/>
      </w:pPr>
      <w:r>
        <w:rPr>
          <w:b/>
          <w:i/>
          <w:color w:val="5A7278"/>
          <w:sz w:val="22"/>
        </w:rPr>
        <w:t xml:space="preserve">Liên quan: </w:t>
      </w:r>
      <w:r>
        <w:rPr>
          <w:i/>
          <w:color w:val="5A7278"/>
          <w:sz w:val="22"/>
        </w:rPr>
        <w:t>Công trình mở đường cho model-driven security: mô hình hóa chính sách phân quyền bằng UML profile rồi sinh hạ tầng kiểm soát truy cập. Cùng tinh thần với luận văn, nhưng không đặt trong khung hợp nhất đa concern của DDD và hướng tới nền tảng sinh mã thế hệ cũ.</w:t>
      </w:r>
    </w:p>
    <w:p>
      <w:pPr>
        <w:spacing w:after="40"/>
        <w:ind w:left="720" w:hanging="720"/>
        <w:jc w:val="both"/>
      </w:pPr>
      <w:r>
        <w:rPr>
          <w:sz w:val="26"/>
        </w:rPr>
        <w:t>Ray, I., Li, N., France, R., &amp; Kim, D.-K. (2004). Using UML to visualize role-based access control constraints. In Proceedings of the Ninth ACM Symposium on Access Control Models and Technologies (SACMAT '04) (pp. 115–124). ACM. https://doi.org/10.1145/990036.990054</w:t>
      </w:r>
    </w:p>
    <w:p>
      <w:pPr>
        <w:spacing w:after="160"/>
        <w:ind w:left="720"/>
      </w:pPr>
      <w:r>
        <w:rPr>
          <w:b/>
          <w:i/>
          <w:color w:val="5A7278"/>
          <w:sz w:val="22"/>
        </w:rPr>
        <w:t xml:space="preserve">Liên quan: </w:t>
      </w:r>
      <w:r>
        <w:rPr>
          <w:i/>
          <w:color w:val="5A7278"/>
          <w:sz w:val="22"/>
        </w:rPr>
        <w:t>Biểu diễn ràng buộc RBAC bằng UML kèm OCL và trực quan hóa vi phạm bằng mẫu sơ đồ đối tượng. Luận văn kế thừa cách phát biểu bất biến SSD/DSD/cardinality bằng OCL và ý tưởng chẩn đoán theo mẫu vi phạm ở bước kiểm chứng.</w:t>
      </w:r>
    </w:p>
    <w:p>
      <w:pPr>
        <w:spacing w:after="40"/>
        <w:ind w:left="720" w:hanging="720"/>
        <w:jc w:val="both"/>
      </w:pPr>
      <w:r>
        <w:rPr>
          <w:sz w:val="26"/>
        </w:rPr>
        <w:t>Basin, D., Doser, J., &amp; Lodderstedt, T. (2006). Model driven security: From UML models to access control infrastructures. ACM Transactions on Software Engineering and Methodology, 15(1), 39–91. https://doi.org/10.1145/1125808.1125810</w:t>
      </w:r>
    </w:p>
    <w:p>
      <w:pPr>
        <w:spacing w:after="160"/>
        <w:ind w:left="720"/>
      </w:pPr>
      <w:r>
        <w:rPr>
          <w:b/>
          <w:i/>
          <w:color w:val="5A7278"/>
          <w:sz w:val="22"/>
        </w:rPr>
        <w:t xml:space="preserve">Liên quan: </w:t>
      </w:r>
      <w:r>
        <w:rPr>
          <w:i/>
          <w:color w:val="5A7278"/>
          <w:sz w:val="22"/>
        </w:rPr>
        <w:t>Bản mở rộng đầy đủ của SecureUML, trình bày quy trình chuyển mô hình an ninh thành hạ tầng kiểm soát truy cập. Là mốc so sánh chính khi định vị đóng góp của luận văn về mặt sinh mã phân quyền tự động.</w:t>
      </w:r>
    </w:p>
    <w:p>
      <w:pPr>
        <w:spacing w:before="240" w:after="80"/>
      </w:pPr>
      <w:r>
        <w:rPr>
          <w:b/>
          <w:color w:val="028090"/>
          <w:sz w:val="26"/>
        </w:rPr>
        <w:t>Nhóm 2 — Ngôn ngữ chuyên biệt miền dựa trên annotation cho Thiết kế hướng miền</w:t>
      </w:r>
    </w:p>
    <w:p>
      <w:pPr>
        <w:spacing w:after="40"/>
        <w:ind w:left="720" w:hanging="720"/>
        <w:jc w:val="both"/>
      </w:pPr>
      <w:r>
        <w:rPr>
          <w:sz w:val="26"/>
        </w:rPr>
        <w:t>Le, D. M., Dang, D.-H., &amp; Nguyen, V.-H. (2018). On domain driven design using annotation-based domain specific language. Computer Languages, Systems &amp; Structures, 54, 199–235. https://doi.org/10.1016/j.cl.2018.05.001</w:t>
      </w:r>
    </w:p>
    <w:p>
      <w:pPr>
        <w:spacing w:after="160"/>
        <w:ind w:left="720"/>
      </w:pPr>
      <w:r>
        <w:rPr>
          <w:b/>
          <w:i/>
          <w:color w:val="5A7278"/>
          <w:sz w:val="22"/>
        </w:rPr>
        <w:t xml:space="preserve">Liên quan: </w:t>
      </w:r>
      <w:r>
        <w:rPr>
          <w:i/>
          <w:color w:val="5A7278"/>
          <w:sz w:val="22"/>
        </w:rPr>
        <w:t>Đề xuất DCSL — aDSL đặc tả cấu trúc lớp miền (DClass, DAttr, DAssoc) bằng annotation. Là nền tảng cho khía cạnh cấu trúc trong metamodel hợp nhất của luận văn và là khuôn mẫu để thiết kế DSL đặc tả RBAC.</w:t>
      </w:r>
    </w:p>
    <w:p>
      <w:pPr>
        <w:spacing w:after="40"/>
        <w:ind w:left="720" w:hanging="720"/>
        <w:jc w:val="both"/>
      </w:pPr>
      <w:r>
        <w:rPr>
          <w:sz w:val="26"/>
        </w:rPr>
        <w:t>Le, D. M., Dang, D.-H., &amp; Nguyen, V.-H. (2020). Generative software module development for domain-driven design with annotation-based domain specific language. Information and Software Technology, 120, 106239. https://doi.org/10.1016/j.infsof.2019.106239</w:t>
      </w:r>
    </w:p>
    <w:p>
      <w:pPr>
        <w:spacing w:after="160"/>
        <w:ind w:left="720"/>
      </w:pPr>
      <w:r>
        <w:rPr>
          <w:b/>
          <w:i/>
          <w:color w:val="5A7278"/>
          <w:sz w:val="22"/>
        </w:rPr>
        <w:t xml:space="preserve">Liên quan: </w:t>
      </w:r>
      <w:r>
        <w:rPr>
          <w:i/>
          <w:color w:val="5A7278"/>
          <w:sz w:val="22"/>
        </w:rPr>
        <w:t>Mở rộng mạch DCSL sang sinh mô-đun phần mềm bằng aDSL (MCCL). Cung cấp mô hình tham chiếu về phương pháp sinh mã từ đặc tả annotation mà luận văn áp dụng cho bước sinh mã theo mẫu.</w:t>
      </w:r>
    </w:p>
    <w:p>
      <w:pPr>
        <w:spacing w:after="40"/>
        <w:ind w:left="720" w:hanging="720"/>
        <w:jc w:val="both"/>
      </w:pPr>
      <w:r>
        <w:rPr>
          <w:sz w:val="26"/>
        </w:rPr>
        <w:t>Dang, D.-H., Le, D. M., &amp; Le, V.-V. (2023). AGL: Incorporating behavioral aspects into domain-driven design. Information and Software Technology, 163, 107284. https://doi.org/10.1016/j.infsof.2023.107284</w:t>
      </w:r>
    </w:p>
    <w:p>
      <w:pPr>
        <w:spacing w:after="160"/>
        <w:ind w:left="720"/>
      </w:pPr>
      <w:r>
        <w:rPr>
          <w:b/>
          <w:i/>
          <w:color w:val="5A7278"/>
          <w:sz w:val="22"/>
        </w:rPr>
        <w:t xml:space="preserve">Liên quan: </w:t>
      </w:r>
      <w:r>
        <w:rPr>
          <w:i/>
          <w:color w:val="5A7278"/>
          <w:sz w:val="22"/>
        </w:rPr>
        <w:t>Đề xuất AGL — aDSL biểu diễn hành vi (activity graph, ANode, MAct) và hợp nhất hành vi vào mô hình miền. Luận văn tái sử dụng AGL cho khía cạnh hành vi khi đọc sơ đồ hoạt động và sinh use case.</w:t>
      </w:r>
    </w:p>
    <w:p>
      <w:pPr>
        <w:spacing w:after="40"/>
        <w:ind w:left="720" w:hanging="720"/>
        <w:jc w:val="both"/>
      </w:pPr>
      <w:r>
        <w:rPr>
          <w:sz w:val="26"/>
        </w:rPr>
        <w:t>Le, V.-V., Dang, D.-H., &amp; Le, D. M. (2023). A pattern-based approach to incorporating behavioral aspects into domain models. In Proceedings of the 15th International Conference on Knowledge and Systems Engineering (KSE 2023). IEEE.</w:t>
      </w:r>
    </w:p>
    <w:p>
      <w:pPr>
        <w:spacing w:after="160"/>
        <w:ind w:left="720"/>
      </w:pPr>
      <w:r>
        <w:rPr>
          <w:b/>
          <w:i/>
          <w:color w:val="5A7278"/>
          <w:sz w:val="22"/>
        </w:rPr>
        <w:t xml:space="preserve">Liên quan: </w:t>
      </w:r>
      <w:r>
        <w:rPr>
          <w:i/>
          <w:color w:val="5A7278"/>
          <w:sz w:val="22"/>
        </w:rPr>
        <w:t>Trình bày mẫu biến đổi từ sơ đồ hoạt động UML kết hợp sơ đồ lớp và OCL thành đặc tả rồi thành mã. Luận văn kế thừa nguyên tắc tách đầu vào thành phần trực quan (sơ đồ) và phần hình thức (OCL).</w:t>
      </w:r>
    </w:p>
    <w:p>
      <w:pPr>
        <w:spacing w:before="240" w:after="80"/>
      </w:pPr>
      <w:r>
        <w:rPr>
          <w:b/>
          <w:color w:val="028090"/>
          <w:sz w:val="26"/>
        </w:rPr>
        <w:t>Nhóm 3 — Hợp nhất khía cạnh quan tâm và kiến trúc đích</w:t>
      </w:r>
    </w:p>
    <w:p>
      <w:pPr>
        <w:spacing w:after="40"/>
        <w:ind w:left="720" w:hanging="720"/>
        <w:jc w:val="both"/>
      </w:pPr>
      <w:r>
        <w:rPr>
          <w:sz w:val="26"/>
        </w:rPr>
        <w:t>Li, Y., Du, Z., Fu, Y., &amp; Liu, L. (2022). Role-based access control model for inter-system cross-domain in multi-domain environment. Applied Sciences, 12(24), 13036. https://doi.org/10.3390/app122413036</w:t>
      </w:r>
    </w:p>
    <w:p>
      <w:pPr>
        <w:spacing w:after="160"/>
        <w:ind w:left="720"/>
      </w:pPr>
      <w:r>
        <w:rPr>
          <w:b/>
          <w:i/>
          <w:color w:val="5A7278"/>
          <w:sz w:val="22"/>
        </w:rPr>
        <w:t xml:space="preserve">Liên quan: </w:t>
      </w:r>
      <w:r>
        <w:rPr>
          <w:i/>
          <w:color w:val="5A7278"/>
          <w:sz w:val="22"/>
        </w:rPr>
        <w:t>Mô hình RBAC liên hệ thống, đa miền (RBAC-IC) với vai trò trừu tượng/cụ thể, cô lập giữa các miền và chia sẻ liên miền mịn. Là cơ sở lý thuyết cho hướng phát triển RBAC cross-domain giữa các bounded context của luận văn.</w:t>
      </w:r>
    </w:p>
    <w:p>
      <w:pPr>
        <w:spacing w:after="40"/>
        <w:ind w:left="720" w:hanging="720"/>
        <w:jc w:val="both"/>
      </w:pPr>
      <w:r>
        <w:rPr>
          <w:sz w:val="26"/>
        </w:rPr>
        <w:t>Le, D. M., Dang, D.-H., &amp; Vo, H. D. (2025). Layered microservices architecture: A multitree-based domain-driven approach. Information and Software Technology, 183, 107720. https://doi.org/10.1016/j.infsof.2025.107720</w:t>
      </w:r>
    </w:p>
    <w:p>
      <w:pPr>
        <w:spacing w:after="160"/>
        <w:ind w:left="720"/>
      </w:pPr>
      <w:r>
        <w:rPr>
          <w:b/>
          <w:i/>
          <w:color w:val="5A7278"/>
          <w:sz w:val="22"/>
        </w:rPr>
        <w:t xml:space="preserve">Liên quan: </w:t>
      </w:r>
      <w:r>
        <w:rPr>
          <w:i/>
          <w:color w:val="5A7278"/>
          <w:sz w:val="22"/>
        </w:rPr>
        <w:t>Đề xuất kiến trúc TMSA tổ chức dịch vụ theo đa cây, metamodel đặc tả bằng UML/OCL, kèm các mẫu chịu lỗi. Định hướng cấu trúc đầu ra phân tầng theo bounded context mà bộ sinh mã của luận văn nhắm tới.</w:t>
      </w:r>
    </w:p>
    <w:p>
      <w:pPr>
        <w:spacing w:after="40"/>
        <w:ind w:left="720" w:hanging="720"/>
        <w:jc w:val="both"/>
      </w:pPr>
      <w:r>
        <w:rPr>
          <w:sz w:val="26"/>
        </w:rPr>
        <w:t>Le, D. M., Dang, D.-H., &amp; cộng sự. (2025). A method for composing concerns into a unified domain model in domain-driven design. In Proceedings of the International Conference on Knowledge and Systems Engineering (KSE 2025). IEEE.</w:t>
      </w:r>
    </w:p>
    <w:p>
      <w:pPr>
        <w:spacing w:after="160"/>
        <w:ind w:left="720"/>
      </w:pPr>
      <w:r>
        <w:rPr>
          <w:b/>
          <w:i/>
          <w:color w:val="5A7278"/>
          <w:sz w:val="22"/>
        </w:rPr>
        <w:t xml:space="preserve">Liên quan: </w:t>
      </w:r>
      <w:r>
        <w:rPr>
          <w:i/>
          <w:color w:val="5A7278"/>
          <w:sz w:val="22"/>
        </w:rPr>
        <w:t>Đề xuất UDML — cơ chế Annotable/Annotation để hợp nhất nhiều khía cạnh quan tâm vào một mô hình miền thống nhất, bảo đảm tính trực giao và truy vết. Là khung lý thuyết trực tiếp cho việc bổ sung RBAC như một concern trong luận văn; đồng thời là công trình mà luận văn lấp khoảng trống (UDML nêu RBAC là concern khả thi nhưng chưa đặc tả thành aDSL).</w:t>
      </w:r>
    </w:p>
    <w:p>
      <w:pPr>
        <w:spacing w:before="280"/>
      </w:pPr>
      <w:r>
        <w:rPr>
          <w:b/>
          <w:i/>
          <w:color w:val="5A7278"/>
          <w:sz w:val="22"/>
        </w:rPr>
        <w:t xml:space="preserve">Ghi chú: </w:t>
      </w:r>
      <w:r>
        <w:rPr>
          <w:i/>
          <w:color w:val="5A7278"/>
          <w:sz w:val="22"/>
        </w:rPr>
        <w:t>Thông tin xuất bản của các công trình từ 1996 đến 2025 trong nhóm 1, nhóm 2 (trừ KSE 2023) và hai mục đầu nhóm 3 đã được đối chiếu với cơ sở dữ liệu của nhà xuất bản. Hai kỷ yếu hội nghị KSE (2023, 2025) được dẫn theo tài liệu đầu vào của đề tài; học viên cần bổ sung số trang, tên tác giả đầy đủ và DOI theo bản kỷ yếu chính thức trước khi đưa vào danh mục tài liệu tham khảo của luận văn.</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7292D"/>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