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3438"/>
          <w:sz w:val="32"/>
        </w:rPr>
        <w:t>TÀI LIỆU THAM KHẢO</w:t>
      </w:r>
    </w:p>
    <w:p>
      <w:pPr>
        <w:jc w:val="center"/>
      </w:pPr>
      <w:r>
        <w:rPr>
          <w:i/>
          <w:color w:val="5A7278"/>
          <w:sz w:val="22"/>
        </w:rPr>
        <w:t>Sắp xếp theo thời gian xuất bản trong từng nhóm — định dạng trích dẫn APA (7th edition)</w:t>
      </w:r>
    </w:p>
    <w:p>
      <w:pPr>
        <w:spacing w:before="260" w:after="80"/>
      </w:pPr>
      <w:r>
        <w:rPr>
          <w:b/>
          <w:color w:val="028090"/>
          <w:sz w:val="26"/>
        </w:rPr>
        <w:t>Nhóm 1 — Nền tảng lý thuyết kiểm soát truy cập dựa trên vai trò</w:t>
      </w:r>
    </w:p>
    <w:p>
      <w:pPr>
        <w:spacing w:after="40"/>
        <w:ind w:left="720" w:hanging="720"/>
        <w:jc w:val="both"/>
      </w:pPr>
      <w:r>
        <w:rPr>
          <w:sz w:val="26"/>
        </w:rPr>
        <w:t>Sandhu, R. S., Coyne, E. J., Feinstein, H. L., &amp; Youman, C. E. (1996). Role-based access control models. Computer, 29(2), 38–47. https://doi.org/10.1109/2.485845</w:t>
      </w:r>
    </w:p>
    <w:p>
      <w:pPr>
        <w:spacing w:after="160"/>
        <w:ind w:left="720"/>
        <w:jc w:val="both"/>
      </w:pPr>
      <w:r>
        <w:rPr>
          <w:b/>
          <w:i/>
          <w:color w:val="5A7278"/>
          <w:sz w:val="22"/>
        </w:rPr>
        <w:t xml:space="preserve">Liên quan: </w:t>
      </w:r>
      <w:r>
        <w:rPr>
          <w:i/>
          <w:color w:val="5A7278"/>
          <w:sz w:val="22"/>
        </w:rPr>
        <w:t>Định nghĩa họ mô hình tham chiếu RBAC₀–RBAC₃ (vai trò, quyền, phiên, phân cấp vai trò, ràng buộc SSD/DSD). Luận văn kế thừa trực tiếp ngữ nghĩa RBAC₀/RBAC₁ cho metamodel và thuật toán lan truyền quyền, RBAC₂ cho các ràng buộc tách nhiệm.</w:t>
      </w:r>
    </w:p>
    <w:p>
      <w:pPr>
        <w:spacing w:after="40"/>
        <w:ind w:left="720" w:hanging="720"/>
        <w:jc w:val="both"/>
      </w:pPr>
      <w:r>
        <w:rPr>
          <w:sz w:val="26"/>
        </w:rPr>
        <w:t>Lodderstedt, T., Basin, D., &amp; Doser, J. (2002). SecureUML: A UML-based modeling language for model-driven security. In J.-M. Jézéquel, H. Hussmann, &amp; S. Cook (Eds.), UML 2002 — The Unified Modeling Language (Lecture Notes in Computer Science, Vol. 2460, pp. 426–441). Springer. https://doi.org/10.1007/3-540-45800-X_33</w:t>
      </w:r>
    </w:p>
    <w:p>
      <w:pPr>
        <w:spacing w:after="160"/>
        <w:ind w:left="720"/>
        <w:jc w:val="both"/>
      </w:pPr>
      <w:r>
        <w:rPr>
          <w:b/>
          <w:i/>
          <w:color w:val="5A7278"/>
          <w:sz w:val="22"/>
        </w:rPr>
        <w:t xml:space="preserve">Liên quan: </w:t>
      </w:r>
      <w:r>
        <w:rPr>
          <w:i/>
          <w:color w:val="5A7278"/>
          <w:sz w:val="22"/>
        </w:rPr>
        <w:t>Công trình mở đường cho model-driven security: mô hình hóa chính sách phân quyền bằng UML profile rồi sinh hạ tầng kiểm soát truy cập. Cùng tinh thần với luận văn, nhưng không đặt trong khung hợp nhất đa concern của DDD và hướng tới nền tảng sinh mã thế hệ cũ.</w:t>
      </w:r>
    </w:p>
    <w:p>
      <w:pPr>
        <w:spacing w:after="40"/>
        <w:ind w:left="720" w:hanging="720"/>
        <w:jc w:val="both"/>
      </w:pPr>
      <w:r>
        <w:rPr>
          <w:sz w:val="26"/>
        </w:rPr>
        <w:t>Ray, I., Li, N., France, R., &amp; Kim, D.-K. (2004). Using UML to visualize role-based access control constraints. In Proceedings of the Ninth ACM Symposium on Access Control Models and Technologies (SACMAT '04) (pp. 115–124). ACM. https://doi.org/10.1145/990036.990054</w:t>
      </w:r>
    </w:p>
    <w:p>
      <w:pPr>
        <w:spacing w:after="160"/>
        <w:ind w:left="720"/>
        <w:jc w:val="both"/>
      </w:pPr>
      <w:r>
        <w:rPr>
          <w:b/>
          <w:i/>
          <w:color w:val="5A7278"/>
          <w:sz w:val="22"/>
        </w:rPr>
        <w:t xml:space="preserve">Liên quan: </w:t>
      </w:r>
      <w:r>
        <w:rPr>
          <w:i/>
          <w:color w:val="5A7278"/>
          <w:sz w:val="22"/>
        </w:rPr>
        <w:t>Biểu diễn ràng buộc RBAC bằng UML kèm OCL và trực quan hóa vi phạm bằng mẫu sơ đồ đối tượng. Luận văn kế thừa cách phát biểu bất biến SSD/DSD/cardinality bằng OCL và ý tưởng chẩn đoán theo mẫu vi phạm ở bước kiểm chứng.</w:t>
      </w:r>
    </w:p>
    <w:p>
      <w:pPr>
        <w:spacing w:after="40"/>
        <w:ind w:left="720" w:hanging="720"/>
        <w:jc w:val="both"/>
      </w:pPr>
      <w:r>
        <w:rPr>
          <w:sz w:val="26"/>
        </w:rPr>
        <w:t>Basin, D., Doser, J., &amp; Lodderstedt, T. (2006). Model driven security: From UML models to access control infrastructures. ACM Transactions on Software Engineering and Methodology, 15(1), 39–91. https://doi.org/10.1145/1125808.1125810</w:t>
      </w:r>
    </w:p>
    <w:p>
      <w:pPr>
        <w:spacing w:after="160"/>
        <w:ind w:left="720"/>
        <w:jc w:val="both"/>
      </w:pPr>
      <w:r>
        <w:rPr>
          <w:b/>
          <w:i/>
          <w:color w:val="5A7278"/>
          <w:sz w:val="22"/>
        </w:rPr>
        <w:t xml:space="preserve">Liên quan: </w:t>
      </w:r>
      <w:r>
        <w:rPr>
          <w:i/>
          <w:color w:val="5A7278"/>
          <w:sz w:val="22"/>
        </w:rPr>
        <w:t>Bản mở rộng đầy đủ của SecureUML, trình bày quy trình chuyển mô hình an ninh thành hạ tầng kiểm soát truy cập. Là mốc so sánh chính khi định vị đóng góp của luận văn về mặt sinh mã phân quyền tự động.</w:t>
      </w:r>
    </w:p>
    <w:p>
      <w:pPr>
        <w:spacing w:before="260" w:after="80"/>
      </w:pPr>
      <w:r>
        <w:rPr>
          <w:b/>
          <w:color w:val="028090"/>
          <w:sz w:val="26"/>
        </w:rPr>
        <w:t>Nhóm 2 — Ngôn ngữ chuyên biệt miền dựa trên annotation cho Thiết kế hướng miền</w:t>
      </w:r>
    </w:p>
    <w:p>
      <w:pPr>
        <w:spacing w:after="40"/>
        <w:ind w:left="720" w:hanging="720"/>
        <w:jc w:val="both"/>
      </w:pPr>
      <w:r>
        <w:rPr>
          <w:sz w:val="26"/>
        </w:rPr>
        <w:t>Le, D. M., Dang, D.-H., &amp; Nguyen, V.-H. (2018). On domain driven design using annotation-based domain specific language. Computer Languages, Systems &amp; Structures, 54, 199–235. https://doi.org/10.1016/j.cl.2018.05.001</w:t>
      </w:r>
    </w:p>
    <w:p>
      <w:pPr>
        <w:spacing w:after="160"/>
        <w:ind w:left="720"/>
        <w:jc w:val="both"/>
      </w:pPr>
      <w:r>
        <w:rPr>
          <w:b/>
          <w:i/>
          <w:color w:val="5A7278"/>
          <w:sz w:val="22"/>
        </w:rPr>
        <w:t xml:space="preserve">Liên quan: </w:t>
      </w:r>
      <w:r>
        <w:rPr>
          <w:i/>
          <w:color w:val="5A7278"/>
          <w:sz w:val="22"/>
        </w:rPr>
        <w:t>Đề xuất DCSL — aDSL đặc tả cấu trúc lớp miền (DClass, DAttr, DAssoc) bằng annotation. Là nền tảng cho khía cạnh cấu trúc trong metamodel hợp nhất và là khuôn mẫu để thiết kế DSL đặc tả RBAC của luận văn.</w:t>
      </w:r>
    </w:p>
    <w:p>
      <w:pPr>
        <w:spacing w:after="40"/>
        <w:ind w:left="720" w:hanging="720"/>
        <w:jc w:val="both"/>
      </w:pPr>
      <w:r>
        <w:rPr>
          <w:sz w:val="26"/>
        </w:rPr>
        <w:t>Le, D. M., Dang, D.-H., &amp; Nguyen, V.-H. (2020). Generative software module development for domain-driven design with annotation-based domain specific language. Information and Software Technology, 120, 106239. https://doi.org/10.1016/j.infsof.2019.106239</w:t>
      </w:r>
    </w:p>
    <w:p>
      <w:pPr>
        <w:spacing w:after="160"/>
        <w:ind w:left="720"/>
        <w:jc w:val="both"/>
      </w:pPr>
      <w:r>
        <w:rPr>
          <w:b/>
          <w:i/>
          <w:color w:val="5A7278"/>
          <w:sz w:val="22"/>
        </w:rPr>
        <w:t xml:space="preserve">Liên quan: </w:t>
      </w:r>
      <w:r>
        <w:rPr>
          <w:i/>
          <w:color w:val="5A7278"/>
          <w:sz w:val="22"/>
        </w:rPr>
        <w:t>Mở rộng mạch DCSL sang sinh mô-đun phần mềm bằng aDSL. Cung cấp mô hình tham chiếu về phương pháp sinh mã từ đặc tả annotation mà luận văn áp dụng cho bước sinh mã theo mẫu.</w:t>
      </w:r>
    </w:p>
    <w:p>
      <w:pPr>
        <w:spacing w:after="40"/>
        <w:ind w:left="720" w:hanging="720"/>
        <w:jc w:val="both"/>
      </w:pPr>
      <w:r>
        <w:rPr>
          <w:sz w:val="26"/>
        </w:rPr>
        <w:t>Dang, D.-H., Le, D. M., &amp; Le, V.-V. (2023). AGL: Incorporating behavioral aspects into domain-driven design. Information and Software Technology, 163, 107284. https://doi.org/10.1016/j.infsof.2023.107284</w:t>
      </w:r>
    </w:p>
    <w:p>
      <w:pPr>
        <w:spacing w:after="160"/>
        <w:ind w:left="720"/>
        <w:jc w:val="both"/>
      </w:pPr>
      <w:r>
        <w:rPr>
          <w:b/>
          <w:i/>
          <w:color w:val="5A7278"/>
          <w:sz w:val="22"/>
        </w:rPr>
        <w:t xml:space="preserve">Liên quan: </w:t>
      </w:r>
      <w:r>
        <w:rPr>
          <w:i/>
          <w:color w:val="5A7278"/>
          <w:sz w:val="22"/>
        </w:rPr>
        <w:t>Đề xuất AGL — aDSL biểu diễn hành vi (activity graph, ANode, MAct) và hợp nhất hành vi vào mô hình miền. Luận văn tái sử dụng AGL cho khía cạnh hành vi khi đọc sơ đồ hoạt động và sinh use case.</w:t>
      </w:r>
    </w:p>
    <w:p>
      <w:pPr>
        <w:spacing w:after="40"/>
        <w:ind w:left="720" w:hanging="720"/>
        <w:jc w:val="both"/>
      </w:pPr>
      <w:r>
        <w:rPr>
          <w:sz w:val="26"/>
        </w:rPr>
        <w:t>Le, V.-V., Dang, D.-H., &amp; Le, D. M. (2023). A pattern-based approach to incorporating behavioral aspects into domain models. In Proceedings of the 15th International Conference on Knowledge and Systems Engineering (KSE 2023). IEEE.</w:t>
      </w:r>
    </w:p>
    <w:p>
      <w:pPr>
        <w:spacing w:after="160"/>
        <w:ind w:left="720"/>
        <w:jc w:val="both"/>
      </w:pPr>
      <w:r>
        <w:rPr>
          <w:b/>
          <w:i/>
          <w:color w:val="5A7278"/>
          <w:sz w:val="22"/>
        </w:rPr>
        <w:t xml:space="preserve">Liên quan: </w:t>
      </w:r>
      <w:r>
        <w:rPr>
          <w:i/>
          <w:color w:val="5A7278"/>
          <w:sz w:val="22"/>
        </w:rPr>
        <w:t>Trình bày mẫu biến đổi từ sơ đồ hoạt động UML kết hợp sơ đồ lớp và OCL thành đặc tả rồi thành mã. Luận văn kế thừa nguyên tắc tách đầu vào thành phần trực quan (sơ đồ) và phần hình thức (OCL).</w:t>
      </w:r>
    </w:p>
    <w:p>
      <w:pPr>
        <w:spacing w:before="260" w:after="80"/>
      </w:pPr>
      <w:r>
        <w:rPr>
          <w:b/>
          <w:color w:val="028090"/>
          <w:sz w:val="26"/>
        </w:rPr>
        <w:t>Nhóm 3 — Hợp nhất khía cạnh quan tâm và kiến trúc microservice hướng miền</w:t>
      </w:r>
    </w:p>
    <w:p>
      <w:pPr>
        <w:spacing w:after="40"/>
        <w:ind w:left="720" w:hanging="720"/>
        <w:jc w:val="both"/>
      </w:pPr>
      <w:r>
        <w:rPr>
          <w:sz w:val="26"/>
        </w:rPr>
        <w:t>Li, Y., Du, Z., Fu, Y., &amp; Liu, L. (2022). Role-based access control model for inter-system cross-domain in multi-domain environment. Applied Sciences, 12(24), 13036. https://doi.org/10.3390/app122413036</w:t>
      </w:r>
    </w:p>
    <w:p>
      <w:pPr>
        <w:spacing w:after="160"/>
        <w:ind w:left="720"/>
        <w:jc w:val="both"/>
      </w:pPr>
      <w:r>
        <w:rPr>
          <w:b/>
          <w:i/>
          <w:color w:val="5A7278"/>
          <w:sz w:val="22"/>
        </w:rPr>
        <w:t xml:space="preserve">Liên quan: </w:t>
      </w:r>
      <w:r>
        <w:rPr>
          <w:i/>
          <w:color w:val="5A7278"/>
          <w:sz w:val="22"/>
        </w:rPr>
        <w:t>Mô hình RBAC liên hệ thống, đa miền với vai trò trừu tượng/cụ thể và chia sẻ liên miền mịn. Là cơ sở lý thuyết cho hướng phát triển RBAC cross-domain giữa các bounded context của luận văn.</w:t>
      </w:r>
    </w:p>
    <w:p>
      <w:pPr>
        <w:spacing w:after="40"/>
        <w:ind w:left="720" w:hanging="720"/>
        <w:jc w:val="both"/>
      </w:pPr>
      <w:r>
        <w:rPr>
          <w:sz w:val="26"/>
        </w:rPr>
        <w:t>Le, D. M., Dang, D.-H., &amp; Vo, H. D. (2025). Layered microservices architecture: A multitree-based domain-driven approach. Information and Software Technology, 183, 107720. https://doi.org/10.1016/j.infsof.2025.107720</w:t>
      </w:r>
    </w:p>
    <w:p>
      <w:pPr>
        <w:spacing w:after="160"/>
        <w:ind w:left="720"/>
        <w:jc w:val="both"/>
      </w:pPr>
      <w:r>
        <w:rPr>
          <w:b/>
          <w:i/>
          <w:color w:val="5A7278"/>
          <w:sz w:val="22"/>
        </w:rPr>
        <w:t xml:space="preserve">Liên quan: </w:t>
      </w:r>
      <w:r>
        <w:rPr>
          <w:i/>
          <w:color w:val="5A7278"/>
          <w:sz w:val="22"/>
        </w:rPr>
        <w:t>Đề xuất kiến trúc TMSA tổ chức dịch vụ theo đa cây, metamodel đặc tả bằng UML/OCL, kèm các mẫu chịu lỗi. Định hướng cấu trúc đầu ra phân tầng theo bounded context mà bộ sinh mã của luận văn nhắm tới.</w:t>
      </w:r>
    </w:p>
    <w:p>
      <w:pPr>
        <w:spacing w:after="40"/>
        <w:ind w:left="720" w:hanging="720"/>
        <w:jc w:val="both"/>
      </w:pPr>
      <w:r>
        <w:rPr>
          <w:sz w:val="26"/>
        </w:rPr>
        <w:t>Le, D. M., Dang, D.-H., &amp; cộng sự. (2025). A method for composing concerns into a unified domain model in domain-driven design. In Proceedings of the International Conference on Knowledge and Systems Engineering (KSE 2025). IEEE.</w:t>
      </w:r>
    </w:p>
    <w:p>
      <w:pPr>
        <w:spacing w:after="160"/>
        <w:ind w:left="720"/>
        <w:jc w:val="both"/>
      </w:pPr>
      <w:r>
        <w:rPr>
          <w:b/>
          <w:i/>
          <w:color w:val="5A7278"/>
          <w:sz w:val="22"/>
        </w:rPr>
        <w:t xml:space="preserve">Liên quan: </w:t>
      </w:r>
      <w:r>
        <w:rPr>
          <w:i/>
          <w:color w:val="5A7278"/>
          <w:sz w:val="22"/>
        </w:rPr>
        <w:t>Đề xuất UDML — cơ chế Annotable/Annotation hợp nhất nhiều khía cạnh quan tâm vào một mô hình miền thống nhất, bảo đảm trực giao và truy vết. Là khung lý thuyết trực tiếp cho việc bổ sung RBAC như một concern, đồng thời là công trình mà luận văn lấp khoảng trống.</w:t>
      </w:r>
    </w:p>
    <w:p>
      <w:pPr>
        <w:spacing w:before="260" w:after="80"/>
      </w:pPr>
      <w:r>
        <w:rPr>
          <w:b/>
          <w:color w:val="028090"/>
          <w:sz w:val="26"/>
        </w:rPr>
        <w:t>Nhóm 4 — Sách chuyên khảo về Thiết kế hướng miền và ngôn ngữ chuyên biệt miền</w:t>
      </w:r>
    </w:p>
    <w:p>
      <w:pPr>
        <w:spacing w:after="40"/>
        <w:ind w:left="720" w:hanging="720"/>
        <w:jc w:val="both"/>
      </w:pPr>
      <w:r>
        <w:rPr>
          <w:sz w:val="26"/>
        </w:rPr>
        <w:t>Evans, E. (2003). Domain-driven design: Tackling complexity in the heart of software. Addison-Wesley.</w:t>
      </w:r>
    </w:p>
    <w:p>
      <w:pPr>
        <w:spacing w:after="160"/>
        <w:ind w:left="720"/>
        <w:jc w:val="both"/>
      </w:pPr>
      <w:r>
        <w:rPr>
          <w:b/>
          <w:i/>
          <w:color w:val="5A7278"/>
          <w:sz w:val="22"/>
        </w:rPr>
        <w:t xml:space="preserve">Liên quan: </w:t>
      </w:r>
      <w:r>
        <w:rPr>
          <w:i/>
          <w:color w:val="5A7278"/>
          <w:sz w:val="22"/>
        </w:rPr>
        <w:t>Tác phẩm kinh điển định nghĩa Thiết kế hướng miền: ngôn ngữ chung (ubiquitous language), bounded context, các khuôn mẫu chiến thuật gồm entity, value object, aggregate, repository, domain service, domain event. Là cơ sở khái niệm cho toàn bộ tám stereotype trong DSL của luận văn.</w:t>
      </w:r>
    </w:p>
    <w:p>
      <w:pPr>
        <w:spacing w:after="40"/>
        <w:ind w:left="720" w:hanging="720"/>
        <w:jc w:val="both"/>
      </w:pPr>
      <w:r>
        <w:rPr>
          <w:sz w:val="26"/>
        </w:rPr>
        <w:t>Fowler, M. (2010). Domain-specific languages. Addison-Wesley. ISBN 978-0-321-71294-3.</w:t>
      </w:r>
    </w:p>
    <w:p>
      <w:pPr>
        <w:spacing w:after="160"/>
        <w:ind w:left="720"/>
        <w:jc w:val="both"/>
      </w:pPr>
      <w:r>
        <w:rPr>
          <w:b/>
          <w:i/>
          <w:color w:val="5A7278"/>
          <w:sz w:val="22"/>
        </w:rPr>
        <w:t xml:space="preserve">Liên quan: </w:t>
      </w:r>
      <w:r>
        <w:rPr>
          <w:i/>
          <w:color w:val="5A7278"/>
          <w:sz w:val="22"/>
        </w:rPr>
        <w:t>Trình bày hệ thống về DSL: phân biệt DSL nội sinh/ngoại sinh, semantic model, các kỹ thuật cài đặt parser và sinh mã. Luận văn vận dụng khái niệm semantic model (tương ứng metamodel) và mẫu biến đổi cú pháp cụ thể → cú pháp trừu tượng → sản phẩm.</w:t>
      </w:r>
    </w:p>
    <w:p>
      <w:pPr>
        <w:spacing w:after="40"/>
        <w:ind w:left="720" w:hanging="720"/>
        <w:jc w:val="both"/>
      </w:pPr>
      <w:r>
        <w:rPr>
          <w:sz w:val="26"/>
        </w:rPr>
        <w:t>Voelter, M., Benz, S., Dietrich, C., Engelmann, B., Helander, M., Kats, L. C. L., Visser, E., &amp; Wachsmuth, G. (2013). DSL engineering: Designing, implementing and using domain-specific languages. CreateSpace Independent Publishing Platform. ISBN 978-1-4812-1858-0. http://dslbook.org</w:t>
      </w:r>
    </w:p>
    <w:p>
      <w:pPr>
        <w:spacing w:after="160"/>
        <w:ind w:left="720"/>
        <w:jc w:val="both"/>
      </w:pPr>
      <w:r>
        <w:rPr>
          <w:b/>
          <w:i/>
          <w:color w:val="5A7278"/>
          <w:sz w:val="22"/>
        </w:rPr>
        <w:t xml:space="preserve">Liên quan: </w:t>
      </w:r>
      <w:r>
        <w:rPr>
          <w:i/>
          <w:color w:val="5A7278"/>
          <w:sz w:val="22"/>
        </w:rPr>
        <w:t>Chuyên khảo về quy trình xây dựng DSL: thiết kế cú pháp trừu tượng, cú pháp cụ thể, ngữ nghĩa tĩnh (ràng buộc) và sinh mã. Là khung phương pháp luận cho cách luận văn định nghĩa và trình bày DSL đặc tả chính sách RBAC.</w:t>
      </w:r>
    </w:p>
    <w:p>
      <w:pPr>
        <w:spacing w:after="40"/>
        <w:ind w:left="720" w:hanging="720"/>
        <w:jc w:val="both"/>
      </w:pPr>
      <w:r>
        <w:rPr>
          <w:sz w:val="26"/>
        </w:rPr>
        <w:t>Vernon, V. (2013). Implementing domain-driven design. Addison-Wesley. ISBN 978-0-321-83457-7.</w:t>
      </w:r>
    </w:p>
    <w:p>
      <w:pPr>
        <w:spacing w:after="160"/>
        <w:ind w:left="720"/>
        <w:jc w:val="both"/>
      </w:pPr>
      <w:r>
        <w:rPr>
          <w:b/>
          <w:i/>
          <w:color w:val="5A7278"/>
          <w:sz w:val="22"/>
        </w:rPr>
        <w:t xml:space="preserve">Liên quan: </w:t>
      </w:r>
      <w:r>
        <w:rPr>
          <w:i/>
          <w:color w:val="5A7278"/>
          <w:sz w:val="22"/>
        </w:rPr>
        <w:t>Hướng dẫn hiện thực DDD trong dự án thực tế: phân tầng ứng dụng, aggregate design, domain event, tích hợp giữa các bounded context. Là căn cứ cho cấu trúc bốn tầng (domain / application / infrastructure / presentation) mà bộ sinh mã của luận văn tạo ra.</w:t>
      </w:r>
    </w:p>
    <w:p>
      <w:pPr>
        <w:spacing w:before="260" w:after="80"/>
      </w:pPr>
      <w:r>
        <w:rPr>
          <w:b/>
          <w:color w:val="028090"/>
          <w:sz w:val="26"/>
        </w:rPr>
        <w:t>Nhóm 5 — Kiến trúc microservice và nền tảng cài đặt</w:t>
      </w:r>
    </w:p>
    <w:p>
      <w:pPr>
        <w:spacing w:after="40"/>
        <w:ind w:left="720" w:hanging="720"/>
        <w:jc w:val="both"/>
      </w:pPr>
      <w:r>
        <w:rPr>
          <w:sz w:val="26"/>
        </w:rPr>
        <w:t>Richardson, C. (2018). Microservices patterns: With examples in Java. Manning Publications. ISBN 978-1-61729-454-9.</w:t>
      </w:r>
    </w:p>
    <w:p>
      <w:pPr>
        <w:spacing w:after="160"/>
        <w:ind w:left="720"/>
        <w:jc w:val="both"/>
      </w:pPr>
      <w:r>
        <w:rPr>
          <w:b/>
          <w:i/>
          <w:color w:val="5A7278"/>
          <w:sz w:val="22"/>
        </w:rPr>
        <w:t xml:space="preserve">Liên quan: </w:t>
      </w:r>
      <w:r>
        <w:rPr>
          <w:i/>
          <w:color w:val="5A7278"/>
          <w:sz w:val="22"/>
        </w:rPr>
        <w:t>Tập hợp các mẫu kiến trúc microservice: phân rã theo bounded context, database-per-service, API gateway, saga, CQRS. Cơ sở cho quyết định tổ chức đầu ra theo module tương ứng từng bounded context và cho mẫu CQRS trong mã sinh ra.</w:t>
      </w:r>
    </w:p>
    <w:p>
      <w:pPr>
        <w:spacing w:after="40"/>
        <w:ind w:left="720" w:hanging="720"/>
        <w:jc w:val="both"/>
      </w:pPr>
      <w:r>
        <w:rPr>
          <w:sz w:val="26"/>
        </w:rPr>
        <w:t>Newman, S. (2021). Building microservices: Designing fine-grained systems (2nd ed.). O'Reilly Media. ISBN 978-1-4920-3402-5.</w:t>
      </w:r>
    </w:p>
    <w:p>
      <w:pPr>
        <w:spacing w:after="160"/>
        <w:ind w:left="720"/>
        <w:jc w:val="both"/>
      </w:pPr>
      <w:r>
        <w:rPr>
          <w:b/>
          <w:i/>
          <w:color w:val="5A7278"/>
          <w:sz w:val="22"/>
        </w:rPr>
        <w:t xml:space="preserve">Liên quan: </w:t>
      </w:r>
      <w:r>
        <w:rPr>
          <w:i/>
          <w:color w:val="5A7278"/>
          <w:sz w:val="22"/>
        </w:rPr>
        <w:t>Trình bày nguyên tắc thiết kế microservice mịn: ranh giới dịch vụ, giao tiếp, triển khai và bảo mật hệ phân tán. Cung cấp lập luận thực tiễn cho việc gắn kiểm soát truy cập vào từng dịch vụ thay vì tập trung hoàn toàn ở gateway.</w:t>
      </w:r>
    </w:p>
    <w:p>
      <w:pPr>
        <w:spacing w:after="40"/>
        <w:ind w:left="720" w:hanging="720"/>
        <w:jc w:val="both"/>
      </w:pPr>
      <w:r>
        <w:rPr>
          <w:sz w:val="26"/>
        </w:rPr>
        <w:t>NestJS. (2025). NestJS documentation: Guards, custom decorators, authorization, CQRS. https://docs.nestjs.com</w:t>
      </w:r>
    </w:p>
    <w:p>
      <w:pPr>
        <w:spacing w:after="160"/>
        <w:ind w:left="720"/>
        <w:jc w:val="both"/>
      </w:pPr>
      <w:r>
        <w:rPr>
          <w:b/>
          <w:i/>
          <w:color w:val="5A7278"/>
          <w:sz w:val="22"/>
        </w:rPr>
        <w:t xml:space="preserve">Liên quan: </w:t>
      </w:r>
      <w:r>
        <w:rPr>
          <w:i/>
          <w:color w:val="5A7278"/>
          <w:sz w:val="22"/>
        </w:rPr>
        <w:t>Tài liệu chính thức của nền tảng đích: cơ chế guard, custom decorator, metadata reflection và mô-đun CQRS — là các cấu trúc mà bộ sinh mã của luận văn tạo ra để thực thi RBAC lúc vận hành.</w:t>
      </w:r>
    </w:p>
    <w:p>
      <w:pPr>
        <w:spacing w:before="260" w:after="80"/>
      </w:pPr>
      <w:r>
        <w:rPr>
          <w:b/>
          <w:color w:val="028090"/>
          <w:sz w:val="26"/>
        </w:rPr>
        <w:t>Nhóm 6 — Chuẩn mô hình hóa và công cụ</w:t>
      </w:r>
    </w:p>
    <w:p>
      <w:pPr>
        <w:spacing w:after="40"/>
        <w:ind w:left="720" w:hanging="720"/>
        <w:jc w:val="both"/>
      </w:pPr>
      <w:r>
        <w:rPr>
          <w:sz w:val="26"/>
        </w:rPr>
        <w:t>Object Management Group. (2014). Object Constraint Language (OCL), version 2.4 (Document formal/2014-02-03). https://www.omg.org/spec/OCL/2.4</w:t>
      </w:r>
    </w:p>
    <w:p>
      <w:pPr>
        <w:spacing w:after="160"/>
        <w:ind w:left="720"/>
        <w:jc w:val="both"/>
      </w:pPr>
      <w:r>
        <w:rPr>
          <w:b/>
          <w:i/>
          <w:color w:val="5A7278"/>
          <w:sz w:val="22"/>
        </w:rPr>
        <w:t xml:space="preserve">Liên quan: </w:t>
      </w:r>
      <w:r>
        <w:rPr>
          <w:i/>
          <w:color w:val="5A7278"/>
          <w:sz w:val="22"/>
        </w:rPr>
        <w:t>Đặc tả chuẩn của OCL — cơ sở cho cú pháp và ngữ nghĩa của tập con OCL mà luận văn cài đặt để biểu diễn bất biến phân quyền.</w:t>
      </w:r>
    </w:p>
    <w:p>
      <w:pPr>
        <w:spacing w:after="40"/>
        <w:ind w:left="720" w:hanging="720"/>
        <w:jc w:val="both"/>
      </w:pPr>
      <w:r>
        <w:rPr>
          <w:sz w:val="26"/>
        </w:rPr>
        <w:t>Object Management Group. (2017). OMG Unified Modeling Language (OMG UML), version 2.5.1 (Document formal/2017-12-05). https://www.omg.org/spec/UML/2.5.1</w:t>
      </w:r>
    </w:p>
    <w:p>
      <w:pPr>
        <w:spacing w:after="160"/>
        <w:ind w:left="720"/>
        <w:jc w:val="both"/>
      </w:pPr>
      <w:r>
        <w:rPr>
          <w:b/>
          <w:i/>
          <w:color w:val="5A7278"/>
          <w:sz w:val="22"/>
        </w:rPr>
        <w:t xml:space="preserve">Liên quan: </w:t>
      </w:r>
      <w:r>
        <w:rPr>
          <w:i/>
          <w:color w:val="5A7278"/>
          <w:sz w:val="22"/>
        </w:rPr>
        <w:t>Đặc tả chuẩn UML, trong đó có cơ chế profile và stereotype — nền tảng chuẩn hóa cho profile đặc tả RBAC mà luận văn định nghĩa trên sơ đồ lớp.</w:t>
      </w:r>
    </w:p>
    <w:p>
      <w:pPr>
        <w:spacing w:after="40"/>
        <w:ind w:left="720" w:hanging="720"/>
        <w:jc w:val="both"/>
      </w:pPr>
      <w:r>
        <w:rPr>
          <w:sz w:val="26"/>
        </w:rPr>
        <w:t>Gogolla, M., Büttner, F., &amp; Richters, M. (2007). USE: A UML-based specification environment for validating UML and OCL. Science of Computer Programming, 69(1–3), 27–34. https://doi.org/10.1016/j.scico.2007.01.013</w:t>
      </w:r>
    </w:p>
    <w:p>
      <w:pPr>
        <w:spacing w:after="160"/>
        <w:ind w:left="720"/>
        <w:jc w:val="both"/>
      </w:pPr>
      <w:r>
        <w:rPr>
          <w:b/>
          <w:i/>
          <w:color w:val="5A7278"/>
          <w:sz w:val="22"/>
        </w:rPr>
        <w:t xml:space="preserve">Liên quan: </w:t>
      </w:r>
      <w:r>
        <w:rPr>
          <w:i/>
          <w:color w:val="5A7278"/>
          <w:sz w:val="22"/>
        </w:rPr>
        <w:t>Công cụ USE dùng để kiểm chứng mô hình UML/OCL bằng snapshot và object diagram. Là công cụ dự kiến cho bước kiểm chứng bất biến ở mức thiết kế trong hướng phát triển của luận văn.</w:t>
      </w:r>
    </w:p>
    <w:p>
      <w:pPr>
        <w:spacing w:after="40"/>
        <w:ind w:left="720" w:hanging="720"/>
        <w:jc w:val="both"/>
      </w:pPr>
      <w:r>
        <w:rPr>
          <w:sz w:val="26"/>
        </w:rPr>
        <w:t>PlantUML. (2025). PlantUML language reference guide. https://plantuml.com/guide</w:t>
      </w:r>
    </w:p>
    <w:p>
      <w:pPr>
        <w:spacing w:after="160"/>
        <w:ind w:left="720"/>
        <w:jc w:val="both"/>
      </w:pPr>
      <w:r>
        <w:rPr>
          <w:b/>
          <w:i/>
          <w:color w:val="5A7278"/>
          <w:sz w:val="22"/>
        </w:rPr>
        <w:t xml:space="preserve">Liên quan: </w:t>
      </w:r>
      <w:r>
        <w:rPr>
          <w:i/>
          <w:color w:val="5A7278"/>
          <w:sz w:val="22"/>
        </w:rPr>
        <w:t>Tài liệu tham chiếu cú pháp PlantUML — cơ sở cho cú pháp cụ thể của DSL (stereotype, package, quan hệ) và cho phạm vi cú pháp mà bộ phân tích của công cụ hỗ trợ.</w:t>
      </w:r>
    </w:p>
    <w:p>
      <w:pPr>
        <w:spacing w:before="280"/>
        <w:jc w:val="both"/>
      </w:pPr>
      <w:r>
        <w:rPr>
          <w:b/>
          <w:i/>
          <w:color w:val="5A7278"/>
          <w:sz w:val="22"/>
        </w:rPr>
        <w:t xml:space="preserve">Ghi chú: </w:t>
      </w:r>
      <w:r>
        <w:rPr>
          <w:i/>
          <w:color w:val="5A7278"/>
          <w:sz w:val="22"/>
        </w:rPr>
        <w:t>Thông tin xuất bản của các bài báo tạp chí, sách và đặc tả chuẩn trong danh mục đã được đối chiếu với cơ sở dữ liệu của nhà xuất bản (DOI/ISBN/số hiệu tài liệu OMG). Riêng hai kỷ yếu hội nghị KSE (2023, 2025) được dẫn theo tài liệu đầu vào của đề tài; học viên cần bổ sung tên tác giả đầy đủ, số trang và DOI theo bản kỷ yếu chính thức. Với các nguồn trực tuyến (NestJS, PlantUML), khi đưa vào luận văn nên ghi kèm ngày truy cập theo quy định của cơ sở đào tạo.</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7292D"/>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