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3271713C" wp14:textId="77777777">
      <w:pPr>
        <w:pStyle w:val="Heading3"/>
        <w:spacing w:before="240" w:after="60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 xml:space="preserve">Машина Тьюринга (МТ) </w:t>
      </w:r>
    </w:p>
    <w:p xmlns:wp14="http://schemas.microsoft.com/office/word/2010/wordml" w14:paraId="672A6659" wp14:textId="77777777">
      <w:pPr>
        <w:pStyle w:val="Normal"/>
      </w:pPr>
      <w:r>
        <w:drawing>
          <wp:inline xmlns:wp14="http://schemas.microsoft.com/office/word/2010/wordprocessingDrawing" wp14:editId="1AEE7196" wp14:anchorId="06865337">
            <wp:extent cx="4981574" cy="4610098"/>
            <wp:effectExtent l="0" t="0" r="0" b="0"/>
            <wp:docPr id="1" name="Image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"/>
                    <pic:cNvPicPr/>
                  </pic:nvPicPr>
                  <pic:blipFill>
                    <a:blip r:embed="Rcf72b212696841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-7" t="-7" r="-7" b="-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81574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37501D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</w:r>
    </w:p>
    <w:p xmlns:wp14="http://schemas.microsoft.com/office/word/2010/wordml" w14:paraId="793EC437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 xml:space="preserve">Конфигурация МТ и отношение выводимости на множестве конфигураций </w:t>
      </w:r>
    </w:p>
    <w:p xmlns:wp14="http://schemas.microsoft.com/office/word/2010/wordml" w14:paraId="29D6B04F" wp14:textId="77777777">
      <w:pPr>
        <w:pStyle w:val="Normal"/>
      </w:pPr>
      <w:r>
        <w:drawing>
          <wp:inline xmlns:wp14="http://schemas.microsoft.com/office/word/2010/wordprocessingDrawing" wp14:editId="34302194" wp14:anchorId="612A240D">
            <wp:extent cx="4691380" cy="2611120"/>
            <wp:effectExtent l="0" t="0" r="0" b="0"/>
            <wp:docPr id="2" name="Image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"/>
                    <pic:cNvPicPr/>
                  </pic:nvPicPr>
                  <pic:blipFill>
                    <a:blip r:embed="Rd8e9279dabbe4d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-7" t="-12" r="-7" b="-1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9138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DBC44E">
        <w:rPr/>
        <w:t xml:space="preserve"> </w:t>
      </w:r>
      <w:r>
        <w:drawing>
          <wp:inline xmlns:wp14="http://schemas.microsoft.com/office/word/2010/wordprocessingDrawing" wp14:editId="1D2B5314" wp14:anchorId="60E6299E">
            <wp:extent cx="4688206" cy="435610"/>
            <wp:effectExtent l="0" t="0" r="0" b="0"/>
            <wp:docPr id="3" name="Image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"/>
                    <pic:cNvPicPr/>
                  </pic:nvPicPr>
                  <pic:blipFill>
                    <a:blip r:embed="Rdf5e4789868c47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-7" t="-78" r="-7" b="-7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88206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3F1091D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 xml:space="preserve">Вычислимость по Тьюрингу </w:t>
      </w:r>
    </w:p>
    <w:p xmlns:wp14="http://schemas.microsoft.com/office/word/2010/wordml" w14:paraId="5DAB6C7B" wp14:textId="77777777">
      <w:pPr>
        <w:pStyle w:val="Normal"/>
      </w:pPr>
      <w:r>
        <w:drawing>
          <wp:inline xmlns:wp14="http://schemas.microsoft.com/office/word/2010/wordprocessingDrawing" wp14:editId="31106AAE" wp14:anchorId="30794C65">
            <wp:extent cx="4991102" cy="2438400"/>
            <wp:effectExtent l="0" t="0" r="0" b="0"/>
            <wp:docPr id="4" name="Image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"/>
                    <pic:cNvPicPr/>
                  </pic:nvPicPr>
                  <pic:blipFill>
                    <a:blip r:embed="R178ccf15fa104d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-7" t="-14" r="-7" b="-14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91102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Normal"/>
      </w:pPr>
      <w:r>
        <w:drawing>
          <wp:inline xmlns:wp14="http://schemas.microsoft.com/office/word/2010/wordprocessingDrawing" wp14:editId="55A2FB2F" wp14:anchorId="46B92930">
            <wp:extent cx="4914900" cy="1600200"/>
            <wp:effectExtent l="0" t="0" r="0" b="0"/>
            <wp:docPr id="5" name="Image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5"/>
                    <pic:cNvPicPr/>
                  </pic:nvPicPr>
                  <pic:blipFill>
                    <a:blip r:embed="R717c0c8c46ca45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-7" t="-22" r="-7" b="-2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14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3D86C29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 xml:space="preserve">Нормальный алгорифм Маркова (НА) </w:t>
      </w:r>
    </w:p>
    <w:p xmlns:wp14="http://schemas.microsoft.com/office/word/2010/wordml" w14:paraId="6A05A809" wp14:textId="77777777">
      <w:pPr>
        <w:pStyle w:val="Normal"/>
        <w:rPr>
          <w:rFonts w:ascii="Roboto Light" w:hAnsi="Roboto Light" w:cs="Roboto Light"/>
          <w:b/>
          <w:b/>
          <w:sz w:val="32"/>
          <w:szCs w:val="32"/>
        </w:rPr>
      </w:pPr>
      <w:r>
        <w:rPr>
          <w:rFonts w:ascii="Roboto Light" w:hAnsi="Roboto Light" w:cs="Roboto Light"/>
          <w:b/>
          <w:sz w:val="32"/>
          <w:szCs w:val="32"/>
        </w:rPr>
      </w:r>
    </w:p>
    <w:p xmlns:wp14="http://schemas.microsoft.com/office/word/2010/wordml" w14:paraId="0FE173C8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>Процесс работы НА со словом  3</w:t>
      </w:r>
    </w:p>
    <w:p xmlns:wp14="http://schemas.microsoft.com/office/word/2010/wordml" w14:paraId="63DD2412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>Вычислимость по Маркову 3</w:t>
      </w:r>
    </w:p>
    <w:p xmlns:wp14="http://schemas.microsoft.com/office/word/2010/wordml" w14:paraId="273FDBEC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>Теорема композиции НА. Формулировка и доказательство. 4</w:t>
      </w:r>
    </w:p>
    <w:p xmlns:wp14="http://schemas.microsoft.com/office/word/2010/wordml" w14:paraId="1A75DCF4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>Эквивалентность НА. Замыкание НА, естественное и формальное распространение НА на более широкий алфавит. Доказать эквивалентность НА и его замыкания.  4</w:t>
      </w:r>
    </w:p>
    <w:p xmlns:wp14="http://schemas.microsoft.com/office/word/2010/wordml" w14:paraId="5EF31A53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>Понятие перевода в двухбуквенный алфавит. Формулировка теоремы о переводе.  4</w:t>
      </w:r>
    </w:p>
    <w:p xmlns:wp14="http://schemas.microsoft.com/office/word/2010/wordml" w14:paraId="2ED8FA58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>Определения изображения и записи НА. Примеры. Формулировка теоремы об универсальном НА. 5</w:t>
      </w:r>
    </w:p>
    <w:p xmlns:wp14="http://schemas.microsoft.com/office/word/2010/wordml" w14:paraId="6FBBB408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>Теоремы объединения, разветвления и повторения НА (формулировки). Построение НА, распознающего равенство слов. 5</w:t>
      </w:r>
    </w:p>
    <w:p xmlns:wp14="http://schemas.microsoft.com/office/word/2010/wordml" w14:paraId="7D41102E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>Определения разрешимого и перечислимого языка. Связь разрешимости и перечислимости. Примеры. Доказать невозможность разрешающего НА для языка, для которого невозможен полуразрешающий НА.  6</w:t>
      </w:r>
    </w:p>
    <w:p xmlns:wp14="http://schemas.microsoft.com/office/word/2010/wordml" w14:paraId="1BFABCD9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>Проблемы применимости и самоприменимости для НА Доказательство неразрешимости проблемы самоприменимости. 7</w:t>
      </w:r>
    </w:p>
    <w:p xmlns:wp14="http://schemas.microsoft.com/office/word/2010/wordml" w14:paraId="46EFE407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>Доказать алгоритмическую неразрешимость проблемы применимости для НА. 7</w:t>
      </w:r>
    </w:p>
    <w:p xmlns:wp14="http://schemas.microsoft.com/office/word/2010/wordml" w14:paraId="04511406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>Понятие рекурсивной функции.  8</w:t>
      </w:r>
    </w:p>
    <w:p xmlns:wp14="http://schemas.microsoft.com/office/word/2010/wordml" w14:paraId="53700E09" wp14:textId="77777777">
      <w:pPr>
        <w:pStyle w:val="Heading3"/>
        <w:spacing w:before="240" w:after="60"/>
        <w:rPr/>
      </w:pPr>
      <w:r>
        <w:rPr>
          <w:rFonts w:ascii="Roboto Light" w:hAnsi="Roboto Light" w:cs="Roboto Light"/>
          <w:b w:val="false"/>
          <w:sz w:val="32"/>
          <w:szCs w:val="32"/>
        </w:rPr>
        <w:t>(S, m, n) – теорема (формулировка).  9</w:t>
      </w:r>
    </w:p>
    <w:sectPr>
      <w:type w:val="nextPage"/>
      <w:pgSz w:w="11906" w:h="16838" w:orient="portrait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Roboto Light">
    <w:charset w:val="cc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08"/>
  <w14:docId w14:val="3473A5EF"/>
  <w15:docId w15:val="{cbd4916c-b976-41d1-914b-1dc5751795ed}"/>
  <w:rsids>
    <w:rsidRoot w:val="48DBC44E"/>
    <w:rsid w:val="48DBC44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Style13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7" /><Relationship Type="http://schemas.openxmlformats.org/officeDocument/2006/relationships/fontTable" Target="fontTable.xml" Id="rId8" /><Relationship Type="http://schemas.openxmlformats.org/officeDocument/2006/relationships/settings" Target="settings.xml" Id="rId9" /><Relationship Type="http://schemas.openxmlformats.org/officeDocument/2006/relationships/image" Target="/media/image6.png" Id="Rcf72b2126968417c" /><Relationship Type="http://schemas.openxmlformats.org/officeDocument/2006/relationships/image" Target="/media/image7.png" Id="Rd8e9279dabbe4de3" /><Relationship Type="http://schemas.openxmlformats.org/officeDocument/2006/relationships/image" Target="/media/image8.png" Id="Rdf5e4789868c476b" /><Relationship Type="http://schemas.openxmlformats.org/officeDocument/2006/relationships/image" Target="/media/image9.png" Id="R178ccf15fa104d35" /><Relationship Type="http://schemas.openxmlformats.org/officeDocument/2006/relationships/image" Target="/media/imagea.png" Id="R717c0c8c46ca45db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2017-04-03T14:35:00.0000000Z</dcterms:created>
  <dc:creator>Vladimir aka punsh</dc:creator>
  <dc:description/>
  <keywords/>
  <dc:language>en-US</dc:language>
  <lastModifiedBy>ir1nak0z</lastModifiedBy>
  <dcterms:modified xsi:type="dcterms:W3CDTF">2021-03-13T07:06:11.5098336Z</dcterms:modified>
  <revision>3</revision>
  <dc:subject/>
  <dc:title>Машина Тьюринга (МТ)  &amp; Конфигурация МТ и отношение выводимости на множестве конфигураций </dc:title>
</coreProperties>
</file>