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1. Создайте файл hello.asm с текстом .</w:t>
        <w:br/>
        <w:t xml:space="preserve">MODEL TINY </w:t>
        <w:br/>
        <w:t xml:space="preserve">.DOSSEG </w:t>
        <w:br/>
        <w:t xml:space="preserve">.DATA </w:t>
        <w:br/>
        <w:t xml:space="preserve">     MSG DB "Hello, World!", 0Dh, 0Ah, '$' </w:t>
        <w:br/>
        <w:t xml:space="preserve">.CODE </w:t>
        <w:br/>
        <w:t xml:space="preserve">.STARTUP </w:t>
        <w:br/>
        <w:t xml:space="preserve">     MOV BX, 1 </w:t>
        <w:br/>
        <w:t xml:space="preserve">     MOV AH, 09h</w:t>
        <w:br/>
        <w:t xml:space="preserve">     MOV DX, OFFSET MSG </w:t>
        <w:br/>
        <w:t xml:space="preserve">     ADD BX, 10</w:t>
        <w:br/>
        <w:t xml:space="preserve">     INT 21h </w:t>
        <w:br/>
        <w:t xml:space="preserve">     MOV AH, 4Ch </w:t>
        <w:br/>
        <w:t xml:space="preserve">     INT 21h</w:t>
        <w:br/>
        <w:t xml:space="preserve">END </w:t>
      </w:r>
    </w:p>
    <w:p>
      <w:pPr>
        <w:pStyle w:val="LOnormal"/>
        <w:rPr/>
      </w:pPr>
      <w:r>
        <w:rPr/>
        <w:t xml:space="preserve">2. Запустите ML.EXE /AT hello.asm. </w:t>
      </w:r>
    </w:p>
    <w:p>
      <w:pPr>
        <w:pStyle w:val="LOnormal"/>
        <w:rPr/>
      </w:pPr>
      <w:r>
        <w:rPr/>
        <w:drawing>
          <wp:inline distT="0" distB="0" distL="0" distR="0">
            <wp:extent cx="5848985" cy="22288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848985" cy="2228850"/>
                    </a:xfrm>
                    <a:prstGeom prst="rect">
                      <a:avLst/>
                    </a:prstGeom>
                  </pic:spPr>
                </pic:pic>
              </a:graphicData>
            </a:graphic>
          </wp:inline>
        </w:drawing>
      </w:r>
    </w:p>
    <w:p>
      <w:pPr>
        <w:pStyle w:val="LOnormal"/>
        <w:rPr/>
      </w:pPr>
      <w:r>
        <w:rPr/>
        <w:t xml:space="preserve">3. Посмотрите, какие файлы были созданы компилятором. Определите их размер. Просмотрите файл в любом hex-viewer’е, проанализируйте содержимое файла и изучите возможности просмотровщика. </w:t>
      </w:r>
    </w:p>
    <w:p>
      <w:pPr>
        <w:pStyle w:val="LOnormal"/>
        <w:rPr/>
      </w:pPr>
      <w:r>
        <w:rPr/>
        <w:drawing>
          <wp:inline distT="0" distB="0" distL="0" distR="0">
            <wp:extent cx="3820160" cy="1609725"/>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3820160" cy="1609725"/>
                    </a:xfrm>
                    <a:prstGeom prst="rect">
                      <a:avLst/>
                    </a:prstGeom>
                  </pic:spPr>
                </pic:pic>
              </a:graphicData>
            </a:graphic>
          </wp:inline>
        </w:drawing>
      </w:r>
    </w:p>
    <w:p>
      <w:pPr>
        <w:pStyle w:val="LOnormal"/>
        <w:rPr/>
      </w:pPr>
      <w:r>
        <w:rPr/>
      </w:r>
    </w:p>
    <w:p>
      <w:pPr>
        <w:pStyle w:val="LOnormal"/>
        <w:rPr/>
      </w:pPr>
      <w:r>
        <w:rPr/>
        <w:drawing>
          <wp:inline distT="0" distB="0" distL="0" distR="0">
            <wp:extent cx="5940425" cy="34036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40425" cy="3403600"/>
                    </a:xfrm>
                    <a:prstGeom prst="rect">
                      <a:avLst/>
                    </a:prstGeom>
                  </pic:spPr>
                </pic:pic>
              </a:graphicData>
            </a:graphic>
          </wp:inline>
        </w:drawing>
      </w:r>
    </w:p>
    <w:p>
      <w:pPr>
        <w:pStyle w:val="LOnormal"/>
        <w:rPr/>
      </w:pPr>
      <w:r>
        <w:rPr/>
        <w:drawing>
          <wp:inline distT="0" distB="0" distL="0" distR="0">
            <wp:extent cx="5940425" cy="33312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5940425" cy="3331210"/>
                    </a:xfrm>
                    <a:prstGeom prst="rect">
                      <a:avLst/>
                    </a:prstGeom>
                  </pic:spPr>
                </pic:pic>
              </a:graphicData>
            </a:graphic>
          </wp:inline>
        </w:drawing>
      </w:r>
    </w:p>
    <w:p>
      <w:pPr>
        <w:pStyle w:val="LOnormal"/>
        <w:rPr/>
      </w:pPr>
      <w:r>
        <w:rPr/>
        <w:t xml:space="preserve">4. Запустите скомпилированную программу. </w:t>
      </w:r>
    </w:p>
    <w:p>
      <w:pPr>
        <w:pStyle w:val="LOnormal"/>
        <w:rPr/>
      </w:pPr>
      <w:r>
        <w:rPr/>
        <w:drawing>
          <wp:inline distT="0" distB="0" distL="0" distR="0">
            <wp:extent cx="2686050" cy="84772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2686050" cy="847725"/>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t xml:space="preserve">5. Запустите AFDPRO.EXE HELLO.COM. </w:t>
      </w:r>
    </w:p>
    <w:p>
      <w:pPr>
        <w:pStyle w:val="LOnormal"/>
        <w:rPr/>
      </w:pPr>
      <w:r>
        <w:rPr/>
        <w:t>Верхний ряд:</w:t>
      </w:r>
    </w:p>
    <w:p>
      <w:pPr>
        <w:pStyle w:val="LOnormal"/>
        <w:ind w:left="708" w:firstLine="47"/>
        <w:rPr/>
      </w:pPr>
      <w:r>
        <w:rPr/>
        <w:t xml:space="preserve">левое - регистры процессора, </w:t>
        <w:br/>
        <w:t xml:space="preserve">среднее - стек, </w:t>
        <w:br/>
        <w:t>правое - флаги.</w:t>
      </w:r>
    </w:p>
    <w:p>
      <w:pPr>
        <w:pStyle w:val="LOnormal"/>
        <w:rPr/>
      </w:pPr>
      <w:r>
        <w:rPr/>
        <w:t xml:space="preserve"> </w:t>
      </w:r>
      <w:r>
        <w:rPr/>
        <w:t>Средний ряд:</w:t>
      </w:r>
    </w:p>
    <w:p>
      <w:pPr>
        <w:pStyle w:val="LOnormal"/>
        <w:ind w:left="708" w:hanging="0"/>
        <w:rPr/>
      </w:pPr>
      <w:r>
        <w:rPr/>
        <w:t xml:space="preserve"> </w:t>
      </w:r>
      <w:r>
        <w:rPr/>
        <w:t xml:space="preserve">левое верхнее - окно команд отладчика, </w:t>
        <w:br/>
        <w:t xml:space="preserve">левое нижнее - окно кода программы, </w:t>
        <w:br/>
        <w:t xml:space="preserve">правое - окно данных. </w:t>
      </w:r>
    </w:p>
    <w:p>
      <w:pPr>
        <w:pStyle w:val="LOnormal"/>
        <w:rPr/>
      </w:pPr>
      <w:r>
        <w:rPr/>
        <w:t>Нижний ряд: окно данных, которое отображает выбранную область памяти в двух форматах: шестнадцатеричном и символьном</w:t>
      </w:r>
    </w:p>
    <w:p>
      <w:pPr>
        <w:pStyle w:val="LOnormal"/>
        <w:rPr/>
      </w:pPr>
      <w:r>
        <w:rPr/>
        <w:drawing>
          <wp:inline distT="0" distB="0" distL="0" distR="0">
            <wp:extent cx="4390390" cy="296989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4390390" cy="2969895"/>
                    </a:xfrm>
                    <a:prstGeom prst="rect">
                      <a:avLst/>
                    </a:prstGeom>
                  </pic:spPr>
                </pic:pic>
              </a:graphicData>
            </a:graphic>
          </wp:inline>
        </w:drawing>
      </w:r>
    </w:p>
    <w:p>
      <w:pPr>
        <w:pStyle w:val="LOnormal"/>
        <w:rPr/>
      </w:pPr>
      <w:r>
        <w:rPr/>
        <w:drawing>
          <wp:inline distT="0" distB="0" distL="0" distR="0">
            <wp:extent cx="5940425" cy="434276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5940425" cy="4342765"/>
                    </a:xfrm>
                    <a:prstGeom prst="rect">
                      <a:avLst/>
                    </a:prstGeom>
                  </pic:spPr>
                </pic:pic>
              </a:graphicData>
            </a:graphic>
          </wp:inline>
        </w:drawing>
      </w:r>
    </w:p>
    <w:p>
      <w:pPr>
        <w:pStyle w:val="LOnormal"/>
        <w:rPr/>
      </w:pPr>
      <w:r>
        <w:rPr/>
        <w:drawing>
          <wp:inline distT="0" distB="0" distL="0" distR="0">
            <wp:extent cx="5940425" cy="415607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5940425" cy="4156075"/>
                    </a:xfrm>
                    <a:prstGeom prst="rect">
                      <a:avLst/>
                    </a:prstGeom>
                  </pic:spPr>
                </pic:pic>
              </a:graphicData>
            </a:graphic>
          </wp:inline>
        </w:drawing>
      </w:r>
    </w:p>
    <w:p>
      <w:pPr>
        <w:pStyle w:val="LOnormal"/>
        <w:rPr/>
      </w:pPr>
      <w:r>
        <w:rPr/>
        <w:t>$ это конец строки, как и \0 в си</w:t>
        <w:br/>
      </w:r>
    </w:p>
    <w:p>
      <w:pPr>
        <w:pStyle w:val="LOnormal"/>
        <w:rPr/>
      </w:pPr>
      <w:r>
        <w:rPr/>
      </w:r>
    </w:p>
    <w:p>
      <w:pPr>
        <w:pStyle w:val="LOnormal"/>
        <w:rPr/>
      </w:pPr>
      <w:bookmarkStart w:id="0" w:name="_gjdgxs"/>
      <w:bookmarkEnd w:id="0"/>
      <w:r>
        <w:rPr/>
        <w:t>6. Изучите возможности отладчика: шаг с заходом, шаг с обходом, перезапуск программы, создание точек останова, наблюдение за регистрами. Справочная информация по отладчику есть в файле ASM1_AFD.pdf (выполнять задание из него не нужно).</w:t>
      </w:r>
    </w:p>
    <w:p>
      <w:pPr>
        <w:pStyle w:val="LOnormal"/>
        <w:rPr/>
      </w:pPr>
      <w:r>
        <w:rPr/>
      </w:r>
      <w:bookmarkStart w:id="1" w:name="_wxt8cdov47i2"/>
      <w:bookmarkStart w:id="2" w:name="_wxt8cdov47i2"/>
      <w:bookmarkEnd w:id="2"/>
    </w:p>
    <w:p>
      <w:pPr>
        <w:pStyle w:val="LOnormal"/>
        <w:rPr/>
      </w:pPr>
      <w:r>
        <w:rPr/>
      </w:r>
      <w:bookmarkStart w:id="3" w:name="_6l1gmdfsn4fv"/>
      <w:bookmarkStart w:id="4" w:name="_6l1gmdfsn4fv"/>
      <w:bookmarkEnd w:id="4"/>
    </w:p>
    <w:p>
      <w:pPr>
        <w:pStyle w:val="LOnormal"/>
        <w:shd w:val="clear" w:fill="FFFFFF"/>
        <w:spacing w:lineRule="auto" w:line="372" w:before="0" w:after="240"/>
        <w:rPr>
          <w:rFonts w:ascii="Arial" w:hAnsi="Arial" w:eastAsia="Arial" w:cs="Arial"/>
          <w:sz w:val="21"/>
          <w:szCs w:val="21"/>
        </w:rPr>
      </w:pPr>
      <w:bookmarkStart w:id="5" w:name="_dgjk2bkx0n2"/>
      <w:bookmarkEnd w:id="5"/>
      <w:r>
        <w:rPr>
          <w:rFonts w:eastAsia="Arial" w:cs="Arial" w:ascii="Arial" w:hAnsi="Arial"/>
          <w:b/>
          <w:sz w:val="21"/>
          <w:szCs w:val="21"/>
        </w:rPr>
        <w:t>Флаг переполнения (Overflow</w:t>
      </w:r>
      <w:r>
        <w:rPr>
          <w:rFonts w:eastAsia="Arial" w:cs="Arial" w:ascii="Arial" w:hAnsi="Arial"/>
          <w:sz w:val="21"/>
          <w:szCs w:val="21"/>
        </w:rPr>
        <w:t xml:space="preserve"> </w:t>
      </w:r>
      <w:r>
        <w:rPr>
          <w:rFonts w:eastAsia="Arial" w:cs="Arial" w:ascii="Arial" w:hAnsi="Arial"/>
          <w:b/>
          <w:sz w:val="21"/>
          <w:szCs w:val="21"/>
        </w:rPr>
        <w:t>Flag или OF)</w:t>
      </w:r>
      <w:r>
        <w:rPr>
          <w:rFonts w:eastAsia="Arial" w:cs="Arial" w:ascii="Arial" w:hAnsi="Arial"/>
          <w:sz w:val="21"/>
          <w:szCs w:val="21"/>
        </w:rPr>
        <w:t xml:space="preserve"> — указывает на переполнение старшего бита данных (крайнего левого бита) после </w:t>
      </w:r>
      <w:r>
        <w:fldChar w:fldCharType="begin"/>
      </w:r>
      <w:r>
        <w:rPr>
          <w:sz w:val="21"/>
          <w:b/>
          <w:szCs w:val="21"/>
          <w:rFonts w:eastAsia="Arial" w:cs="Arial" w:ascii="Arial" w:hAnsi="Arial"/>
          <w:color w:val="00B5B5"/>
        </w:rPr>
        <w:instrText> HYPERLINK "https://ravesli.com/urok-31-tselochislennyj-tip-dannyh-integer/" \l "toc-2"</w:instrText>
      </w:r>
      <w:r>
        <w:rPr>
          <w:sz w:val="21"/>
          <w:b/>
          <w:szCs w:val="21"/>
          <w:rFonts w:eastAsia="Arial" w:cs="Arial" w:ascii="Arial" w:hAnsi="Arial"/>
          <w:color w:val="00B5B5"/>
        </w:rPr>
        <w:fldChar w:fldCharType="separate"/>
      </w:r>
      <w:r>
        <w:rPr>
          <w:rFonts w:eastAsia="Arial" w:cs="Arial" w:ascii="Arial" w:hAnsi="Arial"/>
          <w:b/>
          <w:color w:val="00B5B5"/>
          <w:sz w:val="21"/>
          <w:szCs w:val="21"/>
        </w:rPr>
        <w:t>signed</w:t>
      </w:r>
      <w:r>
        <w:rPr>
          <w:sz w:val="21"/>
          <w:b/>
          <w:szCs w:val="21"/>
          <w:rFonts w:eastAsia="Arial" w:cs="Arial" w:ascii="Arial" w:hAnsi="Arial"/>
          <w:color w:val="00B5B5"/>
        </w:rPr>
        <w:fldChar w:fldCharType="end"/>
      </w:r>
      <w:r>
        <w:rPr>
          <w:rFonts w:eastAsia="Arial" w:cs="Arial" w:ascii="Arial" w:hAnsi="Arial"/>
          <w:sz w:val="21"/>
          <w:szCs w:val="21"/>
        </w:rPr>
        <w:t xml:space="preserve"> арифметической операции.</w:t>
      </w:r>
    </w:p>
    <w:p>
      <w:pPr>
        <w:pStyle w:val="LOnormal"/>
        <w:shd w:val="clear" w:fill="FFFFFF"/>
        <w:spacing w:lineRule="auto" w:line="372" w:before="0" w:after="240"/>
        <w:rPr>
          <w:rFonts w:ascii="Arial" w:hAnsi="Arial" w:eastAsia="Arial" w:cs="Arial"/>
          <w:sz w:val="21"/>
          <w:szCs w:val="21"/>
        </w:rPr>
      </w:pPr>
      <w:bookmarkStart w:id="6" w:name="_dgjk2bkx0n21"/>
      <w:bookmarkEnd w:id="6"/>
      <w:r>
        <w:rPr>
          <w:rFonts w:eastAsia="Arial" w:cs="Arial" w:ascii="Arial" w:hAnsi="Arial"/>
          <w:sz w:val="21"/>
          <w:szCs w:val="21"/>
        </w:rPr>
        <w:t xml:space="preserve">   </w:t>
      </w:r>
      <w:r>
        <w:rPr>
          <w:rFonts w:eastAsia="Arial" w:cs="Arial" w:ascii="Arial" w:hAnsi="Arial"/>
          <w:b/>
          <w:sz w:val="21"/>
          <w:szCs w:val="21"/>
        </w:rPr>
        <w:t>Флаг направления (Direction</w:t>
      </w:r>
      <w:r>
        <w:rPr>
          <w:rFonts w:eastAsia="Arial" w:cs="Arial" w:ascii="Arial" w:hAnsi="Arial"/>
          <w:sz w:val="21"/>
          <w:szCs w:val="21"/>
        </w:rPr>
        <w:t xml:space="preserve"> </w:t>
      </w:r>
      <w:r>
        <w:rPr>
          <w:rFonts w:eastAsia="Arial" w:cs="Arial" w:ascii="Arial" w:hAnsi="Arial"/>
          <w:b/>
          <w:sz w:val="21"/>
          <w:szCs w:val="21"/>
        </w:rPr>
        <w:t>Flag или DF)</w:t>
      </w:r>
      <w:r>
        <w:rPr>
          <w:rFonts w:eastAsia="Arial" w:cs="Arial" w:ascii="Arial" w:hAnsi="Arial"/>
          <w:sz w:val="21"/>
          <w:szCs w:val="21"/>
        </w:rPr>
        <w:t xml:space="preserve"> — определяет направление влево или вправо для перемещения или сравнения строковых данных. Если </w:t>
      </w:r>
      <w:r>
        <w:rPr>
          <w:rFonts w:eastAsia="Arial" w:cs="Arial" w:ascii="Arial" w:hAnsi="Arial"/>
          <w:sz w:val="25"/>
          <w:szCs w:val="25"/>
          <w:shd w:fill="F5F2F0" w:val="clear"/>
        </w:rPr>
        <w:t>DF = 0</w:t>
      </w:r>
      <w:r>
        <w:rPr>
          <w:rFonts w:eastAsia="Arial" w:cs="Arial" w:ascii="Arial" w:hAnsi="Arial"/>
          <w:sz w:val="21"/>
          <w:szCs w:val="21"/>
        </w:rPr>
        <w:t xml:space="preserve">, то строковая операция принимает направление слева направо, а когда </w:t>
      </w:r>
      <w:r>
        <w:rPr>
          <w:rFonts w:eastAsia="Arial" w:cs="Arial" w:ascii="Arial" w:hAnsi="Arial"/>
          <w:sz w:val="25"/>
          <w:szCs w:val="25"/>
          <w:shd w:fill="F5F2F0" w:val="clear"/>
        </w:rPr>
        <w:t>DF = 1</w:t>
      </w:r>
      <w:r>
        <w:rPr>
          <w:rFonts w:eastAsia="Arial" w:cs="Arial" w:ascii="Arial" w:hAnsi="Arial"/>
          <w:sz w:val="21"/>
          <w:szCs w:val="21"/>
        </w:rPr>
        <w:t xml:space="preserve"> — строковая операция принимает направление справа налево.</w:t>
      </w:r>
    </w:p>
    <w:p>
      <w:pPr>
        <w:pStyle w:val="LOnormal"/>
        <w:shd w:val="clear" w:fill="FFFFFF"/>
        <w:spacing w:lineRule="auto" w:line="372" w:before="0" w:after="240"/>
        <w:rPr>
          <w:rFonts w:ascii="Arial" w:hAnsi="Arial" w:eastAsia="Arial" w:cs="Arial"/>
          <w:sz w:val="21"/>
          <w:szCs w:val="21"/>
        </w:rPr>
      </w:pPr>
      <w:bookmarkStart w:id="7" w:name="_dgjk2bkx0n22"/>
      <w:bookmarkEnd w:id="7"/>
      <w:r>
        <w:rPr>
          <w:rFonts w:eastAsia="Arial" w:cs="Arial" w:ascii="Arial" w:hAnsi="Arial"/>
          <w:sz w:val="21"/>
          <w:szCs w:val="21"/>
        </w:rPr>
        <w:t xml:space="preserve">   </w:t>
      </w:r>
      <w:r>
        <w:rPr>
          <w:rFonts w:eastAsia="Arial" w:cs="Arial" w:ascii="Arial" w:hAnsi="Arial"/>
          <w:b/>
          <w:sz w:val="21"/>
          <w:szCs w:val="21"/>
        </w:rPr>
        <w:t>Флаг прерывания (Interrupt</w:t>
      </w:r>
      <w:r>
        <w:rPr>
          <w:rFonts w:eastAsia="Arial" w:cs="Arial" w:ascii="Arial" w:hAnsi="Arial"/>
          <w:sz w:val="21"/>
          <w:szCs w:val="21"/>
        </w:rPr>
        <w:t xml:space="preserve"> </w:t>
      </w:r>
      <w:r>
        <w:rPr>
          <w:rFonts w:eastAsia="Arial" w:cs="Arial" w:ascii="Arial" w:hAnsi="Arial"/>
          <w:b/>
          <w:sz w:val="21"/>
          <w:szCs w:val="21"/>
        </w:rPr>
        <w:t>Flag или IF)</w:t>
      </w:r>
      <w:r>
        <w:rPr>
          <w:rFonts w:eastAsia="Arial" w:cs="Arial" w:ascii="Arial" w:hAnsi="Arial"/>
          <w:sz w:val="21"/>
          <w:szCs w:val="21"/>
        </w:rPr>
        <w:t xml:space="preserve"> — определяет, будут ли игнорироваться или обрабатываться внешние прерывания (например, ввод с клавиатуры и т.д.). Он отключает внешнее прерывание, когда значение равно </w:t>
      </w:r>
      <w:r>
        <w:rPr>
          <w:rFonts w:eastAsia="Arial" w:cs="Arial" w:ascii="Arial" w:hAnsi="Arial"/>
          <w:sz w:val="25"/>
          <w:szCs w:val="25"/>
          <w:shd w:fill="F5F2F0" w:val="clear"/>
        </w:rPr>
        <w:t>0</w:t>
      </w:r>
      <w:r>
        <w:rPr>
          <w:rFonts w:eastAsia="Arial" w:cs="Arial" w:ascii="Arial" w:hAnsi="Arial"/>
          <w:sz w:val="21"/>
          <w:szCs w:val="21"/>
        </w:rPr>
        <w:t xml:space="preserve">, и разрешает прерывание, когда установлено значение </w:t>
      </w:r>
      <w:r>
        <w:rPr>
          <w:rFonts w:eastAsia="Arial" w:cs="Arial" w:ascii="Arial" w:hAnsi="Arial"/>
          <w:sz w:val="25"/>
          <w:szCs w:val="25"/>
          <w:shd w:fill="F5F2F0" w:val="clear"/>
        </w:rPr>
        <w:t>1</w:t>
      </w:r>
      <w:r>
        <w:rPr>
          <w:rFonts w:eastAsia="Arial" w:cs="Arial" w:ascii="Arial" w:hAnsi="Arial"/>
          <w:sz w:val="21"/>
          <w:szCs w:val="21"/>
        </w:rPr>
        <w:t>.</w:t>
      </w:r>
    </w:p>
    <w:p>
      <w:pPr>
        <w:pStyle w:val="LOnormal"/>
        <w:shd w:val="clear" w:fill="FFFFFF"/>
        <w:spacing w:lineRule="auto" w:line="372" w:before="0" w:after="240"/>
        <w:rPr>
          <w:rFonts w:ascii="Arial" w:hAnsi="Arial" w:eastAsia="Arial" w:cs="Arial"/>
          <w:sz w:val="21"/>
          <w:szCs w:val="21"/>
        </w:rPr>
      </w:pPr>
      <w:bookmarkStart w:id="8" w:name="_dgjk2bkx0n23"/>
      <w:bookmarkEnd w:id="8"/>
      <w:r>
        <w:rPr>
          <w:rFonts w:eastAsia="Arial" w:cs="Arial" w:ascii="Arial" w:hAnsi="Arial"/>
          <w:sz w:val="21"/>
          <w:szCs w:val="21"/>
        </w:rPr>
        <w:t xml:space="preserve">   </w:t>
      </w:r>
      <w:r>
        <w:rPr>
          <w:rFonts w:eastAsia="Arial" w:cs="Arial" w:ascii="Arial" w:hAnsi="Arial"/>
          <w:b/>
          <w:sz w:val="21"/>
          <w:szCs w:val="21"/>
        </w:rPr>
        <w:t>Флаг ловушка (Trap Flag или TF)</w:t>
      </w:r>
      <w:r>
        <w:rPr>
          <w:rFonts w:eastAsia="Arial" w:cs="Arial" w:ascii="Arial" w:hAnsi="Arial"/>
          <w:sz w:val="21"/>
          <w:szCs w:val="21"/>
        </w:rPr>
        <w:t xml:space="preserve"> — позволяет настроить работу процессора в одношаговом режиме.</w:t>
      </w:r>
    </w:p>
    <w:p>
      <w:pPr>
        <w:pStyle w:val="LOnormal"/>
        <w:shd w:val="clear" w:fill="FFFFFF"/>
        <w:spacing w:lineRule="auto" w:line="372" w:before="0" w:after="240"/>
        <w:rPr>
          <w:rFonts w:ascii="Arial" w:hAnsi="Arial" w:eastAsia="Arial" w:cs="Arial"/>
          <w:sz w:val="21"/>
          <w:szCs w:val="21"/>
        </w:rPr>
      </w:pPr>
      <w:bookmarkStart w:id="9" w:name="_dgjk2bkx0n24"/>
      <w:bookmarkEnd w:id="9"/>
      <w:r>
        <w:rPr>
          <w:rFonts w:eastAsia="Arial" w:cs="Arial" w:ascii="Arial" w:hAnsi="Arial"/>
          <w:sz w:val="21"/>
          <w:szCs w:val="21"/>
        </w:rPr>
        <w:t xml:space="preserve">   </w:t>
      </w:r>
      <w:r>
        <w:rPr>
          <w:rFonts w:eastAsia="Arial" w:cs="Arial" w:ascii="Arial" w:hAnsi="Arial"/>
          <w:b/>
          <w:sz w:val="21"/>
          <w:szCs w:val="21"/>
        </w:rPr>
        <w:t>Флаг знака (Sign</w:t>
      </w:r>
      <w:r>
        <w:rPr>
          <w:rFonts w:eastAsia="Arial" w:cs="Arial" w:ascii="Arial" w:hAnsi="Arial"/>
          <w:sz w:val="21"/>
          <w:szCs w:val="21"/>
        </w:rPr>
        <w:t xml:space="preserve"> </w:t>
      </w:r>
      <w:r>
        <w:rPr>
          <w:rFonts w:eastAsia="Arial" w:cs="Arial" w:ascii="Arial" w:hAnsi="Arial"/>
          <w:b/>
          <w:sz w:val="21"/>
          <w:szCs w:val="21"/>
        </w:rPr>
        <w:t>Flag или SF)</w:t>
      </w:r>
      <w:r>
        <w:rPr>
          <w:rFonts w:eastAsia="Arial" w:cs="Arial" w:ascii="Arial" w:hAnsi="Arial"/>
          <w:sz w:val="21"/>
          <w:szCs w:val="21"/>
        </w:rPr>
        <w:t xml:space="preserve"> — показывает знак результата арифметической операции. Этот флаг устанавливается в соответствии со знаком элемента данных после выполнения арифметической операции. Знак определяется по старшему левому биту. Положительный результат сбрасывает значение SF до </w:t>
      </w:r>
      <w:r>
        <w:rPr>
          <w:rFonts w:eastAsia="Arial" w:cs="Arial" w:ascii="Arial" w:hAnsi="Arial"/>
          <w:sz w:val="25"/>
          <w:szCs w:val="25"/>
          <w:shd w:fill="F5F2F0" w:val="clear"/>
        </w:rPr>
        <w:t>0</w:t>
      </w:r>
      <w:r>
        <w:rPr>
          <w:rFonts w:eastAsia="Arial" w:cs="Arial" w:ascii="Arial" w:hAnsi="Arial"/>
          <w:sz w:val="21"/>
          <w:szCs w:val="21"/>
        </w:rPr>
        <w:t xml:space="preserve">, а отрицательный результат устанавливает его равным </w:t>
      </w:r>
      <w:r>
        <w:rPr>
          <w:rFonts w:eastAsia="Arial" w:cs="Arial" w:ascii="Arial" w:hAnsi="Arial"/>
          <w:sz w:val="25"/>
          <w:szCs w:val="25"/>
          <w:shd w:fill="F5F2F0" w:val="clear"/>
        </w:rPr>
        <w:t>1</w:t>
      </w:r>
      <w:r>
        <w:rPr>
          <w:rFonts w:eastAsia="Arial" w:cs="Arial" w:ascii="Arial" w:hAnsi="Arial"/>
          <w:sz w:val="21"/>
          <w:szCs w:val="21"/>
        </w:rPr>
        <w:t>.</w:t>
      </w:r>
    </w:p>
    <w:p>
      <w:pPr>
        <w:pStyle w:val="LOnormal"/>
        <w:shd w:val="clear" w:fill="FFFFFF"/>
        <w:spacing w:lineRule="auto" w:line="372" w:before="0" w:after="240"/>
        <w:rPr>
          <w:rFonts w:ascii="Arial" w:hAnsi="Arial" w:eastAsia="Arial" w:cs="Arial"/>
          <w:sz w:val="21"/>
          <w:szCs w:val="21"/>
        </w:rPr>
      </w:pPr>
      <w:bookmarkStart w:id="10" w:name="_dgjk2bkx0n25"/>
      <w:bookmarkEnd w:id="10"/>
      <w:r>
        <w:rPr>
          <w:rFonts w:eastAsia="Arial" w:cs="Arial" w:ascii="Arial" w:hAnsi="Arial"/>
          <w:sz w:val="21"/>
          <w:szCs w:val="21"/>
        </w:rPr>
        <w:t xml:space="preserve">   </w:t>
      </w:r>
      <w:r>
        <w:rPr>
          <w:rFonts w:eastAsia="Arial" w:cs="Arial" w:ascii="Arial" w:hAnsi="Arial"/>
          <w:b/>
          <w:sz w:val="21"/>
          <w:szCs w:val="21"/>
        </w:rPr>
        <w:t>Нулевой флаг (Zero</w:t>
      </w:r>
      <w:r>
        <w:rPr>
          <w:rFonts w:eastAsia="Arial" w:cs="Arial" w:ascii="Arial" w:hAnsi="Arial"/>
          <w:sz w:val="21"/>
          <w:szCs w:val="21"/>
        </w:rPr>
        <w:t xml:space="preserve"> </w:t>
      </w:r>
      <w:r>
        <w:rPr>
          <w:rFonts w:eastAsia="Arial" w:cs="Arial" w:ascii="Arial" w:hAnsi="Arial"/>
          <w:b/>
          <w:sz w:val="21"/>
          <w:szCs w:val="21"/>
        </w:rPr>
        <w:t>Flag или ZF)</w:t>
      </w:r>
      <w:r>
        <w:rPr>
          <w:rFonts w:eastAsia="Arial" w:cs="Arial" w:ascii="Arial" w:hAnsi="Arial"/>
          <w:sz w:val="21"/>
          <w:szCs w:val="21"/>
        </w:rPr>
        <w:t xml:space="preserve"> — указывает результат арифметической операции или операции сравнения. Ненулевой результат сбрасывает нулевой флаг до </w:t>
      </w:r>
      <w:r>
        <w:rPr>
          <w:rFonts w:eastAsia="Arial" w:cs="Arial" w:ascii="Arial" w:hAnsi="Arial"/>
          <w:sz w:val="25"/>
          <w:szCs w:val="25"/>
          <w:shd w:fill="F5F2F0" w:val="clear"/>
        </w:rPr>
        <w:t>0</w:t>
      </w:r>
      <w:r>
        <w:rPr>
          <w:rFonts w:eastAsia="Arial" w:cs="Arial" w:ascii="Arial" w:hAnsi="Arial"/>
          <w:sz w:val="21"/>
          <w:szCs w:val="21"/>
        </w:rPr>
        <w:t xml:space="preserve">, а нулевой результат устанавливает его равным </w:t>
      </w:r>
      <w:r>
        <w:rPr>
          <w:rFonts w:eastAsia="Arial" w:cs="Arial" w:ascii="Arial" w:hAnsi="Arial"/>
          <w:sz w:val="25"/>
          <w:szCs w:val="25"/>
          <w:shd w:fill="F5F2F0" w:val="clear"/>
        </w:rPr>
        <w:t>1</w:t>
      </w:r>
      <w:r>
        <w:rPr>
          <w:rFonts w:eastAsia="Arial" w:cs="Arial" w:ascii="Arial" w:hAnsi="Arial"/>
          <w:sz w:val="21"/>
          <w:szCs w:val="21"/>
        </w:rPr>
        <w:t>.</w:t>
      </w:r>
    </w:p>
    <w:p>
      <w:pPr>
        <w:pStyle w:val="LOnormal"/>
        <w:shd w:val="clear" w:fill="FFFFFF"/>
        <w:spacing w:lineRule="auto" w:line="372" w:before="0" w:after="240"/>
        <w:rPr>
          <w:rFonts w:ascii="Arial" w:hAnsi="Arial" w:eastAsia="Arial" w:cs="Arial"/>
          <w:sz w:val="21"/>
          <w:szCs w:val="21"/>
        </w:rPr>
      </w:pPr>
      <w:bookmarkStart w:id="11" w:name="_dgjk2bkx0n26"/>
      <w:bookmarkEnd w:id="11"/>
      <w:r>
        <w:rPr>
          <w:rFonts w:eastAsia="Arial" w:cs="Arial" w:ascii="Arial" w:hAnsi="Arial"/>
          <w:sz w:val="21"/>
          <w:szCs w:val="21"/>
        </w:rPr>
        <w:t xml:space="preserve">   </w:t>
      </w:r>
      <w:r>
        <w:rPr>
          <w:rFonts w:eastAsia="Arial" w:cs="Arial" w:ascii="Arial" w:hAnsi="Arial"/>
          <w:b/>
          <w:sz w:val="21"/>
          <w:szCs w:val="21"/>
        </w:rPr>
        <w:t>Вспомогательный флаг переноса (Auxiliary Carry Flag или AF)</w:t>
      </w:r>
      <w:r>
        <w:rPr>
          <w:rFonts w:eastAsia="Arial" w:cs="Arial" w:ascii="Arial" w:hAnsi="Arial"/>
          <w:sz w:val="21"/>
          <w:szCs w:val="21"/>
        </w:rPr>
        <w:t xml:space="preserve"> — после выполнения арифметической операции содержит перенос с бита 3 на бит 4. Используется для специализированной арифметики. AF устанавливается, когда 1-байтовая арифметическая операция вызывает перенос из бита 3 в бит 4.</w:t>
      </w:r>
    </w:p>
    <w:p>
      <w:pPr>
        <w:pStyle w:val="LOnormal"/>
        <w:shd w:val="clear" w:fill="FFFFFF"/>
        <w:spacing w:lineRule="auto" w:line="372" w:before="0" w:after="240"/>
        <w:rPr>
          <w:rFonts w:ascii="Arial" w:hAnsi="Arial" w:eastAsia="Arial" w:cs="Arial"/>
          <w:sz w:val="21"/>
          <w:szCs w:val="21"/>
        </w:rPr>
      </w:pPr>
      <w:bookmarkStart w:id="12" w:name="_dgjk2bkx0n27"/>
      <w:bookmarkEnd w:id="12"/>
      <w:r>
        <w:rPr>
          <w:rFonts w:eastAsia="Arial" w:cs="Arial" w:ascii="Arial" w:hAnsi="Arial"/>
          <w:sz w:val="21"/>
          <w:szCs w:val="21"/>
        </w:rPr>
        <w:t xml:space="preserve">   </w:t>
      </w:r>
      <w:r>
        <w:rPr>
          <w:rFonts w:eastAsia="Arial" w:cs="Arial" w:ascii="Arial" w:hAnsi="Arial"/>
          <w:b/>
          <w:sz w:val="21"/>
          <w:szCs w:val="21"/>
        </w:rPr>
        <w:t>Флаг равенства (Parity</w:t>
      </w:r>
      <w:r>
        <w:rPr>
          <w:rFonts w:eastAsia="Arial" w:cs="Arial" w:ascii="Arial" w:hAnsi="Arial"/>
          <w:sz w:val="21"/>
          <w:szCs w:val="21"/>
        </w:rPr>
        <w:t xml:space="preserve"> </w:t>
      </w:r>
      <w:r>
        <w:rPr>
          <w:rFonts w:eastAsia="Arial" w:cs="Arial" w:ascii="Arial" w:hAnsi="Arial"/>
          <w:b/>
          <w:sz w:val="21"/>
          <w:szCs w:val="21"/>
        </w:rPr>
        <w:t>Flag или PF)</w:t>
      </w:r>
      <w:r>
        <w:rPr>
          <w:rFonts w:eastAsia="Arial" w:cs="Arial" w:ascii="Arial" w:hAnsi="Arial"/>
          <w:sz w:val="21"/>
          <w:szCs w:val="21"/>
        </w:rPr>
        <w:t xml:space="preserve"> — указывает общее количество 1-бит в результате, полученном после выполнения арифметической операции. Чётное число 1-бит сбрасывает PF до </w:t>
      </w:r>
      <w:r>
        <w:rPr>
          <w:rFonts w:eastAsia="Arial" w:cs="Arial" w:ascii="Arial" w:hAnsi="Arial"/>
          <w:sz w:val="25"/>
          <w:szCs w:val="25"/>
          <w:shd w:fill="F5F2F0" w:val="clear"/>
        </w:rPr>
        <w:t>0</w:t>
      </w:r>
      <w:r>
        <w:rPr>
          <w:rFonts w:eastAsia="Arial" w:cs="Arial" w:ascii="Arial" w:hAnsi="Arial"/>
          <w:sz w:val="21"/>
          <w:szCs w:val="21"/>
        </w:rPr>
        <w:t xml:space="preserve">, а нечётное число 1-бит устанавливает PF равным </w:t>
      </w:r>
      <w:r>
        <w:rPr>
          <w:rFonts w:eastAsia="Arial" w:cs="Arial" w:ascii="Arial" w:hAnsi="Arial"/>
          <w:sz w:val="25"/>
          <w:szCs w:val="25"/>
          <w:shd w:fill="F5F2F0" w:val="clear"/>
        </w:rPr>
        <w:t>1</w:t>
      </w:r>
      <w:r>
        <w:rPr>
          <w:rFonts w:eastAsia="Arial" w:cs="Arial" w:ascii="Arial" w:hAnsi="Arial"/>
          <w:sz w:val="21"/>
          <w:szCs w:val="21"/>
        </w:rPr>
        <w:t>.</w:t>
      </w:r>
    </w:p>
    <w:p>
      <w:pPr>
        <w:pStyle w:val="LOnormal"/>
        <w:shd w:val="clear" w:fill="FFFFFF"/>
        <w:spacing w:lineRule="auto" w:line="372" w:before="0" w:after="240"/>
        <w:rPr>
          <w:rFonts w:ascii="Arial" w:hAnsi="Arial" w:eastAsia="Arial" w:cs="Arial"/>
          <w:sz w:val="21"/>
          <w:szCs w:val="21"/>
        </w:rPr>
      </w:pPr>
      <w:bookmarkStart w:id="13" w:name="_dgjk2bkx0n28"/>
      <w:bookmarkEnd w:id="13"/>
      <w:r>
        <w:rPr>
          <w:rFonts w:eastAsia="Arial" w:cs="Arial" w:ascii="Arial" w:hAnsi="Arial"/>
          <w:sz w:val="21"/>
          <w:szCs w:val="21"/>
        </w:rPr>
        <w:t xml:space="preserve">   </w:t>
      </w:r>
      <w:r>
        <w:rPr>
          <w:rFonts w:eastAsia="Arial" w:cs="Arial" w:ascii="Arial" w:hAnsi="Arial"/>
          <w:b/>
          <w:sz w:val="21"/>
          <w:szCs w:val="21"/>
        </w:rPr>
        <w:t>Флаг переноса (Carry</w:t>
      </w:r>
      <w:r>
        <w:rPr>
          <w:rFonts w:eastAsia="Arial" w:cs="Arial" w:ascii="Arial" w:hAnsi="Arial"/>
          <w:sz w:val="21"/>
          <w:szCs w:val="21"/>
        </w:rPr>
        <w:t xml:space="preserve"> </w:t>
      </w:r>
      <w:r>
        <w:rPr>
          <w:rFonts w:eastAsia="Arial" w:cs="Arial" w:ascii="Arial" w:hAnsi="Arial"/>
          <w:b/>
          <w:sz w:val="21"/>
          <w:szCs w:val="21"/>
        </w:rPr>
        <w:t>Flag или CF)</w:t>
      </w:r>
      <w:r>
        <w:rPr>
          <w:rFonts w:eastAsia="Arial" w:cs="Arial" w:ascii="Arial" w:hAnsi="Arial"/>
          <w:sz w:val="21"/>
          <w:szCs w:val="21"/>
        </w:rPr>
        <w:t xml:space="preserve"> — после выполнения арифметической операции содержит перенос </w:t>
      </w:r>
      <w:r>
        <w:rPr>
          <w:rFonts w:eastAsia="Arial" w:cs="Arial" w:ascii="Arial" w:hAnsi="Arial"/>
          <w:sz w:val="25"/>
          <w:szCs w:val="25"/>
          <w:shd w:fill="F5F2F0" w:val="clear"/>
        </w:rPr>
        <w:t>0</w:t>
      </w:r>
      <w:r>
        <w:rPr>
          <w:rFonts w:eastAsia="Arial" w:cs="Arial" w:ascii="Arial" w:hAnsi="Arial"/>
          <w:sz w:val="21"/>
          <w:szCs w:val="21"/>
        </w:rPr>
        <w:t xml:space="preserve"> или </w:t>
      </w:r>
      <w:r>
        <w:rPr>
          <w:rFonts w:eastAsia="Arial" w:cs="Arial" w:ascii="Arial" w:hAnsi="Arial"/>
          <w:sz w:val="25"/>
          <w:szCs w:val="25"/>
          <w:shd w:fill="F5F2F0" w:val="clear"/>
        </w:rPr>
        <w:t>1</w:t>
      </w:r>
      <w:r>
        <w:rPr>
          <w:rFonts w:eastAsia="Arial" w:cs="Arial" w:ascii="Arial" w:hAnsi="Arial"/>
          <w:sz w:val="21"/>
          <w:szCs w:val="21"/>
        </w:rPr>
        <w:t xml:space="preserve"> из старшего бита (крайнего слева). Кроме того, хранит содержимое последнего бита операции сдвига или поворота.</w:t>
      </w:r>
    </w:p>
    <w:p>
      <w:pPr>
        <w:pStyle w:val="LOnormal"/>
        <w:rPr/>
      </w:pPr>
      <w:r>
        <w:rPr/>
      </w:r>
      <w:bookmarkStart w:id="14" w:name="_fka6pxz7eoso"/>
      <w:bookmarkStart w:id="15" w:name="_fka6pxz7eoso"/>
      <w:bookmarkEnd w:id="15"/>
    </w:p>
    <w:p>
      <w:pPr>
        <w:pStyle w:val="LOnormal"/>
        <w:rPr/>
      </w:pPr>
      <w:r>
        <w:rPr/>
      </w:r>
      <w:bookmarkStart w:id="16" w:name="_jpra4txh68br"/>
      <w:bookmarkStart w:id="17" w:name="_jpra4txh68br"/>
      <w:bookmarkEnd w:id="17"/>
    </w:p>
    <w:p>
      <w:pPr>
        <w:pStyle w:val="LOnormal"/>
        <w:shd w:val="clear" w:fill="FFFFFF"/>
        <w:spacing w:lineRule="auto" w:line="372" w:before="0" w:after="240"/>
        <w:rPr>
          <w:rFonts w:ascii="Arial" w:hAnsi="Arial" w:eastAsia="Arial" w:cs="Arial"/>
          <w:sz w:val="21"/>
          <w:szCs w:val="21"/>
        </w:rPr>
      </w:pPr>
      <w:bookmarkStart w:id="18" w:name="_u8l1oqnbpu67"/>
      <w:bookmarkEnd w:id="18"/>
      <w:r>
        <w:rPr>
          <w:rFonts w:eastAsia="Arial" w:cs="Arial" w:ascii="Arial" w:hAnsi="Arial"/>
          <w:sz w:val="21"/>
          <w:szCs w:val="21"/>
        </w:rPr>
        <w:t xml:space="preserve">  </w:t>
      </w:r>
      <w:r>
        <w:rPr>
          <w:rFonts w:eastAsia="Arial" w:cs="Arial" w:ascii="Arial" w:hAnsi="Arial"/>
          <w:b/>
          <w:sz w:val="21"/>
          <w:szCs w:val="21"/>
        </w:rPr>
        <w:t>Сегмент кода (Code</w:t>
      </w:r>
      <w:r>
        <w:rPr>
          <w:rFonts w:eastAsia="Arial" w:cs="Arial" w:ascii="Arial" w:hAnsi="Arial"/>
          <w:sz w:val="21"/>
          <w:szCs w:val="21"/>
        </w:rPr>
        <w:t xml:space="preserve"> </w:t>
      </w:r>
      <w:r>
        <w:rPr>
          <w:rFonts w:eastAsia="Arial" w:cs="Arial" w:ascii="Arial" w:hAnsi="Arial"/>
          <w:b/>
          <w:sz w:val="21"/>
          <w:szCs w:val="21"/>
        </w:rPr>
        <w:t>Segment или CS)</w:t>
      </w:r>
      <w:r>
        <w:rPr>
          <w:rFonts w:eastAsia="Arial" w:cs="Arial" w:ascii="Arial" w:hAnsi="Arial"/>
          <w:sz w:val="21"/>
          <w:szCs w:val="21"/>
        </w:rPr>
        <w:t xml:space="preserve"> — содержит все команды и инструкции, которые должны быть выполнены. 16-битный регистр сегмента кода или регистр CS хранит начальный адрес сегмента кода.</w:t>
      </w:r>
    </w:p>
    <w:p>
      <w:pPr>
        <w:pStyle w:val="LOnormal"/>
        <w:shd w:val="clear" w:fill="FFFFFF"/>
        <w:spacing w:lineRule="auto" w:line="372" w:before="0" w:after="240"/>
        <w:rPr>
          <w:rFonts w:ascii="Arial" w:hAnsi="Arial" w:eastAsia="Arial" w:cs="Arial"/>
          <w:sz w:val="21"/>
          <w:szCs w:val="21"/>
        </w:rPr>
      </w:pPr>
      <w:bookmarkStart w:id="19" w:name="_u8l1oqnbpu671"/>
      <w:bookmarkEnd w:id="19"/>
      <w:r>
        <w:rPr>
          <w:rFonts w:eastAsia="Arial" w:cs="Arial" w:ascii="Arial" w:hAnsi="Arial"/>
          <w:sz w:val="21"/>
          <w:szCs w:val="21"/>
        </w:rPr>
        <w:t xml:space="preserve">   </w:t>
      </w:r>
      <w:r>
        <w:rPr>
          <w:rFonts w:eastAsia="Arial" w:cs="Arial" w:ascii="Arial" w:hAnsi="Arial"/>
          <w:b/>
          <w:sz w:val="21"/>
          <w:szCs w:val="21"/>
        </w:rPr>
        <w:t>Сегмент данных (Data</w:t>
      </w:r>
      <w:r>
        <w:rPr>
          <w:rFonts w:eastAsia="Arial" w:cs="Arial" w:ascii="Arial" w:hAnsi="Arial"/>
          <w:sz w:val="21"/>
          <w:szCs w:val="21"/>
        </w:rPr>
        <w:t xml:space="preserve"> </w:t>
      </w:r>
      <w:r>
        <w:rPr>
          <w:rFonts w:eastAsia="Arial" w:cs="Arial" w:ascii="Arial" w:hAnsi="Arial"/>
          <w:b/>
          <w:sz w:val="21"/>
          <w:szCs w:val="21"/>
        </w:rPr>
        <w:t>Segment или DS)</w:t>
      </w:r>
      <w:r>
        <w:rPr>
          <w:rFonts w:eastAsia="Arial" w:cs="Arial" w:ascii="Arial" w:hAnsi="Arial"/>
          <w:sz w:val="21"/>
          <w:szCs w:val="21"/>
        </w:rPr>
        <w:t xml:space="preserve"> — содержит данные, константы и рабочие области. 16-битный регистр сегмента данных или регистр DS хранит начальный адрес сегмента данных.</w:t>
      </w:r>
    </w:p>
    <w:p>
      <w:pPr>
        <w:pStyle w:val="LOnormal"/>
        <w:shd w:val="clear" w:fill="FFFFFF"/>
        <w:spacing w:lineRule="auto" w:line="372" w:before="0" w:after="240"/>
        <w:rPr>
          <w:rFonts w:ascii="Arial" w:hAnsi="Arial" w:eastAsia="Arial" w:cs="Arial"/>
          <w:sz w:val="21"/>
          <w:szCs w:val="21"/>
        </w:rPr>
      </w:pPr>
      <w:bookmarkStart w:id="20" w:name="_u8l1oqnbpu672"/>
      <w:bookmarkEnd w:id="20"/>
      <w:r>
        <w:rPr>
          <w:rFonts w:eastAsia="Arial" w:cs="Arial" w:ascii="Arial" w:hAnsi="Arial"/>
          <w:sz w:val="21"/>
          <w:szCs w:val="21"/>
        </w:rPr>
        <w:t xml:space="preserve">   </w:t>
      </w:r>
      <w:r>
        <w:rPr>
          <w:rFonts w:eastAsia="Arial" w:cs="Arial" w:ascii="Arial" w:hAnsi="Arial"/>
          <w:b/>
          <w:sz w:val="21"/>
          <w:szCs w:val="21"/>
        </w:rPr>
        <w:t>Сегмент стека (Stack</w:t>
      </w:r>
      <w:r>
        <w:rPr>
          <w:rFonts w:eastAsia="Arial" w:cs="Arial" w:ascii="Arial" w:hAnsi="Arial"/>
          <w:sz w:val="21"/>
          <w:szCs w:val="21"/>
        </w:rPr>
        <w:t xml:space="preserve"> </w:t>
      </w:r>
      <w:r>
        <w:rPr>
          <w:rFonts w:eastAsia="Arial" w:cs="Arial" w:ascii="Arial" w:hAnsi="Arial"/>
          <w:b/>
          <w:sz w:val="21"/>
          <w:szCs w:val="21"/>
        </w:rPr>
        <w:t xml:space="preserve">Segment или SS) </w:t>
      </w:r>
      <w:r>
        <w:rPr>
          <w:rFonts w:eastAsia="Arial" w:cs="Arial" w:ascii="Arial" w:hAnsi="Arial"/>
          <w:sz w:val="21"/>
          <w:szCs w:val="21"/>
        </w:rPr>
        <w:t xml:space="preserve">— содержит данные и возвращаемые адреса процедур или подпрограмм. Он представлен в виде </w:t>
      </w:r>
      <w:hyperlink r:id="rId10">
        <w:r>
          <w:rPr>
            <w:rFonts w:eastAsia="Arial" w:cs="Arial" w:ascii="Arial" w:hAnsi="Arial"/>
            <w:b/>
            <w:color w:val="00B5B5"/>
            <w:sz w:val="21"/>
            <w:szCs w:val="21"/>
          </w:rPr>
          <w:t>структуры данных «Стек»</w:t>
        </w:r>
      </w:hyperlink>
      <w:r>
        <w:rPr>
          <w:rFonts w:eastAsia="Arial" w:cs="Arial" w:ascii="Arial" w:hAnsi="Arial"/>
          <w:sz w:val="21"/>
          <w:szCs w:val="21"/>
        </w:rPr>
        <w:t>. Регистр сегмента стека или регистр SS хранит начальный адрес стека</w:t>
      </w:r>
    </w:p>
    <w:tbl>
      <w:tblPr>
        <w:tblW w:w="9360" w:type="dxa"/>
        <w:jc w:val="center"/>
        <w:tblInd w:w="0" w:type="dxa"/>
        <w:shd w:fill="808080" w:val="clear"/>
        <w:tblCellMar>
          <w:top w:w="0" w:type="dxa"/>
          <w:left w:w="0" w:type="dxa"/>
          <w:bottom w:w="0" w:type="dxa"/>
          <w:right w:w="0" w:type="dxa"/>
        </w:tblCellMar>
      </w:tblPr>
      <w:tblGrid>
        <w:gridCol w:w="644"/>
        <w:gridCol w:w="1877"/>
        <w:gridCol w:w="1459"/>
        <w:gridCol w:w="5380"/>
      </w:tblGrid>
      <w:tr>
        <w:trPr/>
        <w:tc>
          <w:tcPr>
            <w:tcW w:w="644" w:type="dxa"/>
            <w:tcBorders/>
            <w:shd w:fill="C0C0C0" w:val="clear"/>
            <w:vAlign w:val="center"/>
          </w:tcPr>
          <w:p>
            <w:pPr>
              <w:pStyle w:val="TableContents"/>
              <w:spacing w:before="0" w:after="160"/>
              <w:rPr>
                <w:b/>
              </w:rPr>
            </w:pPr>
            <w:r>
              <w:rPr>
                <w:b/>
              </w:rPr>
              <w:t>Бит</w:t>
            </w:r>
          </w:p>
        </w:tc>
        <w:tc>
          <w:tcPr>
            <w:tcW w:w="1877" w:type="dxa"/>
            <w:tcBorders/>
            <w:shd w:fill="C0C0C0" w:val="clear"/>
            <w:vAlign w:val="center"/>
          </w:tcPr>
          <w:p>
            <w:pPr>
              <w:pStyle w:val="TableContents"/>
              <w:spacing w:before="0" w:after="160"/>
              <w:rPr>
                <w:b/>
              </w:rPr>
            </w:pPr>
            <w:r>
              <w:rPr>
                <w:b/>
              </w:rPr>
              <w:t>Обозначение</w:t>
            </w:r>
          </w:p>
        </w:tc>
        <w:tc>
          <w:tcPr>
            <w:tcW w:w="1459" w:type="dxa"/>
            <w:tcBorders/>
            <w:shd w:fill="C0C0C0" w:val="clear"/>
            <w:vAlign w:val="center"/>
          </w:tcPr>
          <w:p>
            <w:pPr>
              <w:pStyle w:val="TableContents"/>
              <w:spacing w:before="0" w:after="160"/>
              <w:rPr>
                <w:b/>
              </w:rPr>
            </w:pPr>
            <w:r>
              <w:rPr>
                <w:b/>
              </w:rPr>
              <w:t>Название</w:t>
            </w:r>
          </w:p>
        </w:tc>
        <w:tc>
          <w:tcPr>
            <w:tcW w:w="5380" w:type="dxa"/>
            <w:tcBorders/>
            <w:shd w:fill="C0C0C0" w:val="clear"/>
            <w:vAlign w:val="center"/>
          </w:tcPr>
          <w:p>
            <w:pPr>
              <w:pStyle w:val="TableContents"/>
              <w:spacing w:before="0" w:after="160"/>
              <w:rPr>
                <w:b/>
              </w:rPr>
            </w:pPr>
            <w:r>
              <w:rPr>
                <w:b/>
              </w:rPr>
              <w:t>Описание</w:t>
            </w:r>
          </w:p>
        </w:tc>
      </w:tr>
      <w:tr>
        <w:trPr/>
        <w:tc>
          <w:tcPr>
            <w:tcW w:w="644" w:type="dxa"/>
            <w:tcBorders/>
            <w:shd w:fill="FFFFFF" w:val="clear"/>
            <w:vAlign w:val="center"/>
          </w:tcPr>
          <w:p>
            <w:pPr>
              <w:pStyle w:val="TableContents"/>
              <w:spacing w:before="0" w:after="160"/>
              <w:jc w:val="center"/>
              <w:rPr/>
            </w:pPr>
            <w:r>
              <w:rPr/>
              <w:t>0</w:t>
            </w:r>
          </w:p>
        </w:tc>
        <w:tc>
          <w:tcPr>
            <w:tcW w:w="1877" w:type="dxa"/>
            <w:tcBorders/>
            <w:shd w:fill="FFFFFF" w:val="clear"/>
            <w:vAlign w:val="center"/>
          </w:tcPr>
          <w:p>
            <w:pPr>
              <w:pStyle w:val="TableContents"/>
              <w:spacing w:before="0" w:after="160"/>
              <w:jc w:val="center"/>
              <w:rPr/>
            </w:pPr>
            <w:r>
              <w:rPr/>
              <w:t>CF</w:t>
            </w:r>
          </w:p>
        </w:tc>
        <w:tc>
          <w:tcPr>
            <w:tcW w:w="1459" w:type="dxa"/>
            <w:tcBorders/>
            <w:shd w:fill="FFFFFF" w:val="clear"/>
            <w:vAlign w:val="center"/>
          </w:tcPr>
          <w:p>
            <w:pPr>
              <w:pStyle w:val="TableContents"/>
              <w:suppressLineNumbers/>
              <w:spacing w:before="0" w:after="160"/>
              <w:rPr/>
            </w:pPr>
            <w:r>
              <w:rPr/>
              <w:t>Carry Flag</w:t>
            </w:r>
          </w:p>
        </w:tc>
        <w:tc>
          <w:tcPr>
            <w:tcW w:w="5380" w:type="dxa"/>
            <w:tcBorders/>
            <w:shd w:fill="FFFFFF" w:val="clear"/>
            <w:vAlign w:val="center"/>
          </w:tcPr>
          <w:p>
            <w:pPr>
              <w:pStyle w:val="TableContents"/>
              <w:suppressLineNumbers/>
              <w:spacing w:before="0" w:after="160"/>
              <w:rPr/>
            </w:pPr>
            <w:r>
              <w:rPr>
                <w:b/>
              </w:rPr>
              <w:t>Флаг переноса</w:t>
            </w:r>
            <w:r>
              <w:rPr/>
              <w:t>. Устанавливается в 1, если результат предыдущей операции не уместился в приёмнике и произошёл перенос из старшего бита или если требуется заём (при вычитании). Иначе установлен в 0. Например, этот флаг будет установлен при переполнении, рассмотренном в </w:t>
            </w:r>
            <w:hyperlink r:id="rId11" w:tgtFrame="_blank">
              <w:r>
                <w:rPr>
                  <w:rStyle w:val="InternetLink"/>
                  <w:b/>
                  <w:color w:val="408080"/>
                </w:rPr>
                <w:t>предыдущем разделе</w:t>
              </w:r>
            </w:hyperlink>
            <w:r>
              <w:rPr/>
              <w:t>.</w:t>
            </w:r>
          </w:p>
        </w:tc>
      </w:tr>
      <w:tr>
        <w:trPr/>
        <w:tc>
          <w:tcPr>
            <w:tcW w:w="644" w:type="dxa"/>
            <w:tcBorders/>
            <w:shd w:fill="FFFFFF" w:val="clear"/>
            <w:vAlign w:val="center"/>
          </w:tcPr>
          <w:p>
            <w:pPr>
              <w:pStyle w:val="TableContents"/>
              <w:spacing w:before="0" w:after="160"/>
              <w:jc w:val="center"/>
              <w:rPr/>
            </w:pPr>
            <w:r>
              <w:rPr/>
              <w:t>2</w:t>
            </w:r>
          </w:p>
        </w:tc>
        <w:tc>
          <w:tcPr>
            <w:tcW w:w="1877" w:type="dxa"/>
            <w:tcBorders/>
            <w:shd w:fill="FFFFFF" w:val="clear"/>
            <w:vAlign w:val="center"/>
          </w:tcPr>
          <w:p>
            <w:pPr>
              <w:pStyle w:val="TableContents"/>
              <w:spacing w:before="0" w:after="160"/>
              <w:jc w:val="center"/>
              <w:rPr/>
            </w:pPr>
            <w:r>
              <w:rPr/>
              <w:t>PF</w:t>
            </w:r>
          </w:p>
        </w:tc>
        <w:tc>
          <w:tcPr>
            <w:tcW w:w="1459" w:type="dxa"/>
            <w:tcBorders/>
            <w:shd w:fill="FFFFFF" w:val="clear"/>
            <w:vAlign w:val="center"/>
          </w:tcPr>
          <w:p>
            <w:pPr>
              <w:pStyle w:val="TableContents"/>
              <w:suppressLineNumbers/>
              <w:spacing w:before="0" w:after="160"/>
              <w:rPr/>
            </w:pPr>
            <w:r>
              <w:rPr/>
              <w:t>Parity Flag</w:t>
            </w:r>
          </w:p>
        </w:tc>
        <w:tc>
          <w:tcPr>
            <w:tcW w:w="5380" w:type="dxa"/>
            <w:tcBorders/>
            <w:shd w:fill="FFFFFF" w:val="clear"/>
            <w:vAlign w:val="center"/>
          </w:tcPr>
          <w:p>
            <w:pPr>
              <w:pStyle w:val="TableContents"/>
              <w:suppressLineNumbers/>
              <w:spacing w:before="0" w:after="160"/>
              <w:rPr/>
            </w:pPr>
            <w:r>
              <w:rPr>
                <w:b/>
              </w:rPr>
              <w:t>Флаг чётности</w:t>
            </w:r>
            <w:r>
              <w:rPr/>
              <w:t>. Устанавливается в 1, если младший байт результата предыдущей команды содержит чётное количество битов, равных 1. Если количество единиц в младшем байте нечётное, то этот флаг равен 0.</w:t>
            </w:r>
          </w:p>
        </w:tc>
      </w:tr>
      <w:tr>
        <w:trPr/>
        <w:tc>
          <w:tcPr>
            <w:tcW w:w="644" w:type="dxa"/>
            <w:tcBorders/>
            <w:shd w:fill="FFFFFF" w:val="clear"/>
            <w:vAlign w:val="center"/>
          </w:tcPr>
          <w:p>
            <w:pPr>
              <w:pStyle w:val="TableContents"/>
              <w:spacing w:before="0" w:after="160"/>
              <w:jc w:val="center"/>
              <w:rPr/>
            </w:pPr>
            <w:r>
              <w:rPr/>
              <w:t>4</w:t>
            </w:r>
          </w:p>
        </w:tc>
        <w:tc>
          <w:tcPr>
            <w:tcW w:w="1877" w:type="dxa"/>
            <w:tcBorders/>
            <w:shd w:fill="FFFFFF" w:val="clear"/>
            <w:vAlign w:val="center"/>
          </w:tcPr>
          <w:p>
            <w:pPr>
              <w:pStyle w:val="TableContents"/>
              <w:spacing w:before="0" w:after="160"/>
              <w:jc w:val="center"/>
              <w:rPr/>
            </w:pPr>
            <w:r>
              <w:rPr/>
              <w:t>AF</w:t>
            </w:r>
          </w:p>
        </w:tc>
        <w:tc>
          <w:tcPr>
            <w:tcW w:w="1459" w:type="dxa"/>
            <w:tcBorders/>
            <w:shd w:fill="FFFFFF" w:val="clear"/>
            <w:vAlign w:val="center"/>
          </w:tcPr>
          <w:p>
            <w:pPr>
              <w:pStyle w:val="TableContents"/>
              <w:suppressLineNumbers/>
              <w:spacing w:before="0" w:after="160"/>
              <w:rPr/>
            </w:pPr>
            <w:r>
              <w:rPr/>
              <w:t>Auxiliary Carry Flag</w:t>
            </w:r>
          </w:p>
        </w:tc>
        <w:tc>
          <w:tcPr>
            <w:tcW w:w="5380" w:type="dxa"/>
            <w:tcBorders/>
            <w:shd w:fill="FFFFFF" w:val="clear"/>
            <w:vAlign w:val="center"/>
          </w:tcPr>
          <w:p>
            <w:pPr>
              <w:pStyle w:val="TableContents"/>
              <w:suppressLineNumbers/>
              <w:spacing w:before="0" w:after="160"/>
              <w:rPr/>
            </w:pPr>
            <w:r>
              <w:rPr>
                <w:b/>
              </w:rPr>
              <w:t>Вспомогательный флаг переноса</w:t>
            </w:r>
            <w:r>
              <w:rPr/>
              <w:t> (или </w:t>
            </w:r>
            <w:r>
              <w:rPr>
                <w:b/>
              </w:rPr>
              <w:t>флаг полупереноса</w:t>
            </w:r>
            <w:r>
              <w:rPr/>
              <w:t>).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w:t>
            </w:r>
          </w:p>
        </w:tc>
      </w:tr>
      <w:tr>
        <w:trPr/>
        <w:tc>
          <w:tcPr>
            <w:tcW w:w="644" w:type="dxa"/>
            <w:tcBorders/>
            <w:shd w:fill="FFFFFF" w:val="clear"/>
            <w:vAlign w:val="center"/>
          </w:tcPr>
          <w:p>
            <w:pPr>
              <w:pStyle w:val="TableContents"/>
              <w:spacing w:before="0" w:after="160"/>
              <w:jc w:val="center"/>
              <w:rPr/>
            </w:pPr>
            <w:r>
              <w:rPr/>
              <w:t>6</w:t>
            </w:r>
          </w:p>
        </w:tc>
        <w:tc>
          <w:tcPr>
            <w:tcW w:w="1877" w:type="dxa"/>
            <w:tcBorders/>
            <w:shd w:fill="FFFFFF" w:val="clear"/>
            <w:vAlign w:val="center"/>
          </w:tcPr>
          <w:p>
            <w:pPr>
              <w:pStyle w:val="TableContents"/>
              <w:spacing w:before="0" w:after="160"/>
              <w:jc w:val="center"/>
              <w:rPr/>
            </w:pPr>
            <w:r>
              <w:rPr/>
              <w:t>ZF</w:t>
            </w:r>
          </w:p>
        </w:tc>
        <w:tc>
          <w:tcPr>
            <w:tcW w:w="1459" w:type="dxa"/>
            <w:tcBorders/>
            <w:shd w:fill="FFFFFF" w:val="clear"/>
            <w:vAlign w:val="center"/>
          </w:tcPr>
          <w:p>
            <w:pPr>
              <w:pStyle w:val="TableContents"/>
              <w:suppressLineNumbers/>
              <w:spacing w:before="0" w:after="160"/>
              <w:rPr/>
            </w:pPr>
            <w:r>
              <w:rPr/>
              <w:t>Zero Flag</w:t>
            </w:r>
          </w:p>
        </w:tc>
        <w:tc>
          <w:tcPr>
            <w:tcW w:w="5380" w:type="dxa"/>
            <w:tcBorders/>
            <w:shd w:fill="FFFFFF" w:val="clear"/>
            <w:vAlign w:val="center"/>
          </w:tcPr>
          <w:p>
            <w:pPr>
              <w:pStyle w:val="TableContents"/>
              <w:suppressLineNumbers/>
              <w:spacing w:before="0" w:after="160"/>
              <w:rPr/>
            </w:pPr>
            <w:r>
              <w:rPr>
                <w:b/>
              </w:rPr>
              <w:t>Флаг нуля</w:t>
            </w:r>
            <w:r>
              <w:rPr/>
              <w:t>. Устанавливается 1, если результат предыдущей команды равен 0.</w:t>
            </w:r>
          </w:p>
        </w:tc>
      </w:tr>
      <w:tr>
        <w:trPr/>
        <w:tc>
          <w:tcPr>
            <w:tcW w:w="644" w:type="dxa"/>
            <w:tcBorders/>
            <w:shd w:fill="FFFFFF" w:val="clear"/>
            <w:vAlign w:val="center"/>
          </w:tcPr>
          <w:p>
            <w:pPr>
              <w:pStyle w:val="TableContents"/>
              <w:spacing w:before="0" w:after="160"/>
              <w:jc w:val="center"/>
              <w:rPr/>
            </w:pPr>
            <w:r>
              <w:rPr/>
              <w:t>7</w:t>
            </w:r>
          </w:p>
        </w:tc>
        <w:tc>
          <w:tcPr>
            <w:tcW w:w="1877" w:type="dxa"/>
            <w:tcBorders/>
            <w:shd w:fill="FFFFFF" w:val="clear"/>
            <w:vAlign w:val="center"/>
          </w:tcPr>
          <w:p>
            <w:pPr>
              <w:pStyle w:val="TableContents"/>
              <w:spacing w:before="0" w:after="160"/>
              <w:jc w:val="center"/>
              <w:rPr/>
            </w:pPr>
            <w:r>
              <w:rPr/>
              <w:t>SF</w:t>
            </w:r>
          </w:p>
        </w:tc>
        <w:tc>
          <w:tcPr>
            <w:tcW w:w="1459" w:type="dxa"/>
            <w:tcBorders/>
            <w:shd w:fill="FFFFFF" w:val="clear"/>
            <w:vAlign w:val="center"/>
          </w:tcPr>
          <w:p>
            <w:pPr>
              <w:pStyle w:val="TableContents"/>
              <w:suppressLineNumbers/>
              <w:spacing w:before="0" w:after="160"/>
              <w:rPr/>
            </w:pPr>
            <w:r>
              <w:rPr/>
              <w:t>Sign Flag</w:t>
            </w:r>
          </w:p>
        </w:tc>
        <w:tc>
          <w:tcPr>
            <w:tcW w:w="5380" w:type="dxa"/>
            <w:tcBorders/>
            <w:shd w:fill="FFFFFF" w:val="clear"/>
            <w:vAlign w:val="center"/>
          </w:tcPr>
          <w:p>
            <w:pPr>
              <w:pStyle w:val="TableContents"/>
              <w:suppressLineNumbers/>
              <w:spacing w:before="0" w:after="160"/>
              <w:rPr/>
            </w:pPr>
            <w:r>
              <w:rPr>
                <w:b/>
              </w:rPr>
              <w:t>Флаг знака</w:t>
            </w:r>
            <w:r>
              <w:rPr/>
              <w:t>. Этот флаг всегда равен старшему биту результата.</w:t>
            </w:r>
          </w:p>
        </w:tc>
      </w:tr>
      <w:tr>
        <w:trPr/>
        <w:tc>
          <w:tcPr>
            <w:tcW w:w="644" w:type="dxa"/>
            <w:tcBorders/>
            <w:shd w:fill="FFFFFF" w:val="clear"/>
            <w:vAlign w:val="center"/>
          </w:tcPr>
          <w:p>
            <w:pPr>
              <w:pStyle w:val="TableContents"/>
              <w:spacing w:before="0" w:after="160"/>
              <w:jc w:val="center"/>
              <w:rPr/>
            </w:pPr>
            <w:r>
              <w:rPr/>
              <w:t>8</w:t>
            </w:r>
          </w:p>
        </w:tc>
        <w:tc>
          <w:tcPr>
            <w:tcW w:w="1877" w:type="dxa"/>
            <w:tcBorders/>
            <w:shd w:fill="FFFFFF" w:val="clear"/>
            <w:vAlign w:val="center"/>
          </w:tcPr>
          <w:p>
            <w:pPr>
              <w:pStyle w:val="TableContents"/>
              <w:spacing w:before="0" w:after="160"/>
              <w:jc w:val="center"/>
              <w:rPr/>
            </w:pPr>
            <w:r>
              <w:rPr/>
              <w:t>TF</w:t>
            </w:r>
          </w:p>
        </w:tc>
        <w:tc>
          <w:tcPr>
            <w:tcW w:w="1459" w:type="dxa"/>
            <w:tcBorders/>
            <w:shd w:fill="FFFFFF" w:val="clear"/>
            <w:vAlign w:val="center"/>
          </w:tcPr>
          <w:p>
            <w:pPr>
              <w:pStyle w:val="TableContents"/>
              <w:suppressLineNumbers/>
              <w:spacing w:before="0" w:after="160"/>
              <w:rPr/>
            </w:pPr>
            <w:r>
              <w:rPr/>
              <w:t>Trap Flag</w:t>
            </w:r>
          </w:p>
        </w:tc>
        <w:tc>
          <w:tcPr>
            <w:tcW w:w="5380" w:type="dxa"/>
            <w:tcBorders/>
            <w:shd w:fill="FFFFFF" w:val="clear"/>
            <w:vAlign w:val="center"/>
          </w:tcPr>
          <w:p>
            <w:pPr>
              <w:pStyle w:val="TableContents"/>
              <w:suppressLineNumbers/>
              <w:spacing w:before="0" w:after="160"/>
              <w:rPr/>
            </w:pPr>
            <w:r>
              <w:rPr>
                <w:b/>
              </w:rPr>
              <w:t>Флаг трассировки</w:t>
            </w:r>
            <w:r>
              <w:rPr/>
              <w:t> (или </w:t>
            </w:r>
            <w:r>
              <w:rPr>
                <w:b/>
              </w:rPr>
              <w:t>флаг ловушки</w:t>
            </w:r>
            <w:r>
              <w:rPr/>
              <w:t>). Он был предусмотрен для работы отладчиков в пошаговом выполнении, которые не используют защищённый режим. Если этот флаг установить в 1, то после выполнения каждой программной команды управление временно передаётся отладчику (вызывается прерывание 1).</w:t>
            </w:r>
          </w:p>
        </w:tc>
      </w:tr>
      <w:tr>
        <w:trPr/>
        <w:tc>
          <w:tcPr>
            <w:tcW w:w="644" w:type="dxa"/>
            <w:tcBorders/>
            <w:shd w:fill="FFFFFF" w:val="clear"/>
            <w:vAlign w:val="center"/>
          </w:tcPr>
          <w:p>
            <w:pPr>
              <w:pStyle w:val="TableContents"/>
              <w:spacing w:before="0" w:after="160"/>
              <w:jc w:val="center"/>
              <w:rPr/>
            </w:pPr>
            <w:r>
              <w:rPr/>
              <w:t>9</w:t>
            </w:r>
          </w:p>
        </w:tc>
        <w:tc>
          <w:tcPr>
            <w:tcW w:w="1877" w:type="dxa"/>
            <w:tcBorders/>
            <w:shd w:fill="FFFFFF" w:val="clear"/>
            <w:vAlign w:val="center"/>
          </w:tcPr>
          <w:p>
            <w:pPr>
              <w:pStyle w:val="TableContents"/>
              <w:spacing w:before="0" w:after="160"/>
              <w:jc w:val="center"/>
              <w:rPr/>
            </w:pPr>
            <w:r>
              <w:rPr/>
              <w:t>IF</w:t>
            </w:r>
          </w:p>
        </w:tc>
        <w:tc>
          <w:tcPr>
            <w:tcW w:w="1459" w:type="dxa"/>
            <w:tcBorders/>
            <w:shd w:fill="FFFFFF" w:val="clear"/>
            <w:vAlign w:val="center"/>
          </w:tcPr>
          <w:p>
            <w:pPr>
              <w:pStyle w:val="TableContents"/>
              <w:suppressLineNumbers/>
              <w:spacing w:before="0" w:after="160"/>
              <w:rPr/>
            </w:pPr>
            <w:r>
              <w:rPr/>
              <w:t>Interrupt Enable Flag</w:t>
            </w:r>
          </w:p>
        </w:tc>
        <w:tc>
          <w:tcPr>
            <w:tcW w:w="5380" w:type="dxa"/>
            <w:tcBorders/>
            <w:shd w:fill="FFFFFF" w:val="clear"/>
            <w:vAlign w:val="center"/>
          </w:tcPr>
          <w:p>
            <w:pPr>
              <w:pStyle w:val="TableContents"/>
              <w:suppressLineNumbers/>
              <w:spacing w:before="0" w:after="160"/>
              <w:rPr/>
            </w:pPr>
            <w:r>
              <w:rPr>
                <w:b/>
              </w:rPr>
              <w:t>Флаг разрешения прерываний</w:t>
            </w:r>
            <w:r>
              <w:rPr/>
              <w:t>. Если сбросить этот флаг в 0, то процессор перестанет обрабатывать прерывания от внешних устройств. Обычно его сбрасывают на короткое время для выполнения критических участков программы.</w:t>
            </w:r>
          </w:p>
        </w:tc>
      </w:tr>
      <w:tr>
        <w:trPr/>
        <w:tc>
          <w:tcPr>
            <w:tcW w:w="644" w:type="dxa"/>
            <w:tcBorders/>
            <w:shd w:fill="FFFFFF" w:val="clear"/>
            <w:vAlign w:val="center"/>
          </w:tcPr>
          <w:p>
            <w:pPr>
              <w:pStyle w:val="TableContents"/>
              <w:spacing w:before="0" w:after="160"/>
              <w:jc w:val="center"/>
              <w:rPr/>
            </w:pPr>
            <w:r>
              <w:rPr/>
              <w:t>10</w:t>
            </w:r>
          </w:p>
        </w:tc>
        <w:tc>
          <w:tcPr>
            <w:tcW w:w="1877" w:type="dxa"/>
            <w:tcBorders/>
            <w:shd w:fill="FFFFFF" w:val="clear"/>
            <w:vAlign w:val="center"/>
          </w:tcPr>
          <w:p>
            <w:pPr>
              <w:pStyle w:val="TableContents"/>
              <w:spacing w:before="0" w:after="160"/>
              <w:jc w:val="center"/>
              <w:rPr/>
            </w:pPr>
            <w:r>
              <w:rPr/>
              <w:t>DF</w:t>
            </w:r>
          </w:p>
        </w:tc>
        <w:tc>
          <w:tcPr>
            <w:tcW w:w="1459" w:type="dxa"/>
            <w:tcBorders/>
            <w:shd w:fill="FFFFFF" w:val="clear"/>
            <w:vAlign w:val="center"/>
          </w:tcPr>
          <w:p>
            <w:pPr>
              <w:pStyle w:val="TableContents"/>
              <w:suppressLineNumbers/>
              <w:spacing w:before="0" w:after="160"/>
              <w:rPr/>
            </w:pPr>
            <w:r>
              <w:rPr/>
              <w:t>Direction Flag</w:t>
            </w:r>
          </w:p>
        </w:tc>
        <w:tc>
          <w:tcPr>
            <w:tcW w:w="5380" w:type="dxa"/>
            <w:tcBorders/>
            <w:shd w:fill="FFFFFF" w:val="clear"/>
            <w:vAlign w:val="center"/>
          </w:tcPr>
          <w:p>
            <w:pPr>
              <w:pStyle w:val="TableContents"/>
              <w:suppressLineNumbers/>
              <w:spacing w:before="0" w:after="160"/>
              <w:rPr/>
            </w:pPr>
            <w:r>
              <w:rPr>
                <w:b/>
              </w:rPr>
              <w:t>Флаг направления</w:t>
            </w:r>
            <w:r>
              <w:rPr/>
              <w:t>. Контролирует поведение команд обработки строк. Если установлен в 1, то строки обрабатываются в сторону уменьшения адресов, если сброшен в 0, то наоборот.</w:t>
            </w:r>
          </w:p>
        </w:tc>
      </w:tr>
      <w:tr>
        <w:trPr/>
        <w:tc>
          <w:tcPr>
            <w:tcW w:w="644" w:type="dxa"/>
            <w:tcBorders/>
            <w:shd w:fill="FFFFFF" w:val="clear"/>
            <w:vAlign w:val="center"/>
          </w:tcPr>
          <w:p>
            <w:pPr>
              <w:pStyle w:val="TableContents"/>
              <w:spacing w:before="0" w:after="160"/>
              <w:jc w:val="center"/>
              <w:rPr/>
            </w:pPr>
            <w:r>
              <w:rPr/>
              <w:t>11</w:t>
            </w:r>
          </w:p>
        </w:tc>
        <w:tc>
          <w:tcPr>
            <w:tcW w:w="1877" w:type="dxa"/>
            <w:tcBorders/>
            <w:shd w:fill="FFFFFF" w:val="clear"/>
            <w:vAlign w:val="center"/>
          </w:tcPr>
          <w:p>
            <w:pPr>
              <w:pStyle w:val="TableContents"/>
              <w:spacing w:before="0" w:after="160"/>
              <w:jc w:val="center"/>
              <w:rPr/>
            </w:pPr>
            <w:r>
              <w:rPr/>
              <w:t>OF</w:t>
            </w:r>
          </w:p>
        </w:tc>
        <w:tc>
          <w:tcPr>
            <w:tcW w:w="1459" w:type="dxa"/>
            <w:tcBorders/>
            <w:shd w:fill="FFFFFF" w:val="clear"/>
            <w:vAlign w:val="center"/>
          </w:tcPr>
          <w:p>
            <w:pPr>
              <w:pStyle w:val="TableContents"/>
              <w:suppressLineNumbers/>
              <w:spacing w:before="0" w:after="160"/>
              <w:rPr/>
            </w:pPr>
            <w:r>
              <w:rPr/>
              <w:t>Overflow Flag</w:t>
            </w:r>
          </w:p>
        </w:tc>
        <w:tc>
          <w:tcPr>
            <w:tcW w:w="5380" w:type="dxa"/>
            <w:tcBorders/>
            <w:shd w:fill="FFFFFF" w:val="clear"/>
            <w:vAlign w:val="center"/>
          </w:tcPr>
          <w:p>
            <w:pPr>
              <w:pStyle w:val="TableContents"/>
              <w:suppressLineNumbers/>
              <w:spacing w:before="0" w:after="160"/>
              <w:rPr/>
            </w:pPr>
            <w:r>
              <w:rPr>
                <w:b/>
              </w:rPr>
              <w:t>Флаг переполнения</w:t>
            </w:r>
            <w:r>
              <w:rPr/>
              <w:t>. Устанавливается в 1, если результат предыдущей арифметической операции над числами со знаком выходит за допустимые для них пределы. Например, если при сложении двух положительных чисел получается число со старшим битом, равным единице, то есть отрицательное. И наоборот.</w:t>
            </w:r>
          </w:p>
        </w:tc>
      </w:tr>
      <w:tr>
        <w:trPr/>
        <w:tc>
          <w:tcPr>
            <w:tcW w:w="644" w:type="dxa"/>
            <w:tcBorders/>
            <w:shd w:fill="FFFFFF" w:val="clear"/>
            <w:vAlign w:val="center"/>
          </w:tcPr>
          <w:p>
            <w:pPr>
              <w:pStyle w:val="TableContents"/>
              <w:spacing w:before="0" w:after="160"/>
              <w:jc w:val="center"/>
              <w:rPr/>
            </w:pPr>
            <w:r>
              <w:rPr/>
              <w:t>12</w:t>
              <w:br/>
              <w:t>13</w:t>
            </w:r>
          </w:p>
        </w:tc>
        <w:tc>
          <w:tcPr>
            <w:tcW w:w="1877" w:type="dxa"/>
            <w:tcBorders/>
            <w:shd w:fill="FFFFFF" w:val="clear"/>
            <w:vAlign w:val="center"/>
          </w:tcPr>
          <w:p>
            <w:pPr>
              <w:pStyle w:val="TableContents"/>
              <w:spacing w:before="0" w:after="160"/>
              <w:jc w:val="center"/>
              <w:rPr/>
            </w:pPr>
            <w:r>
              <w:rPr/>
              <w:t>IOPL</w:t>
            </w:r>
          </w:p>
        </w:tc>
        <w:tc>
          <w:tcPr>
            <w:tcW w:w="1459" w:type="dxa"/>
            <w:tcBorders/>
            <w:shd w:fill="FFFFFF" w:val="clear"/>
            <w:vAlign w:val="center"/>
          </w:tcPr>
          <w:p>
            <w:pPr>
              <w:pStyle w:val="TableContents"/>
              <w:suppressLineNumbers/>
              <w:spacing w:before="0" w:after="160"/>
              <w:rPr/>
            </w:pPr>
            <w:r>
              <w:rPr/>
              <w:t>I/O Privilege Level</w:t>
            </w:r>
          </w:p>
        </w:tc>
        <w:tc>
          <w:tcPr>
            <w:tcW w:w="5380" w:type="dxa"/>
            <w:tcBorders/>
            <w:shd w:fill="FFFFFF" w:val="clear"/>
            <w:vAlign w:val="center"/>
          </w:tcPr>
          <w:p>
            <w:pPr>
              <w:pStyle w:val="TableContents"/>
              <w:suppressLineNumbers/>
              <w:spacing w:before="0" w:after="160"/>
              <w:rPr/>
            </w:pPr>
            <w:r>
              <w:rPr/>
              <w:t>Уровень приоритета ввода/вывода.</w:t>
            </w:r>
          </w:p>
        </w:tc>
      </w:tr>
      <w:tr>
        <w:trPr/>
        <w:tc>
          <w:tcPr>
            <w:tcW w:w="644" w:type="dxa"/>
            <w:tcBorders/>
            <w:shd w:fill="FFFFFF" w:val="clear"/>
            <w:vAlign w:val="center"/>
          </w:tcPr>
          <w:p>
            <w:pPr>
              <w:pStyle w:val="TableContents"/>
              <w:spacing w:before="0" w:after="160"/>
              <w:jc w:val="center"/>
              <w:rPr/>
            </w:pPr>
            <w:r>
              <w:rPr/>
              <w:t>14</w:t>
            </w:r>
          </w:p>
        </w:tc>
        <w:tc>
          <w:tcPr>
            <w:tcW w:w="1877" w:type="dxa"/>
            <w:tcBorders/>
            <w:shd w:fill="FFFFFF" w:val="clear"/>
            <w:vAlign w:val="center"/>
          </w:tcPr>
          <w:p>
            <w:pPr>
              <w:pStyle w:val="TableContents"/>
              <w:spacing w:before="0" w:after="160"/>
              <w:jc w:val="center"/>
              <w:rPr/>
            </w:pPr>
            <w:r>
              <w:rPr/>
              <w:t>NT</w:t>
            </w:r>
          </w:p>
        </w:tc>
        <w:tc>
          <w:tcPr>
            <w:tcW w:w="1459" w:type="dxa"/>
            <w:tcBorders/>
            <w:shd w:fill="FFFFFF" w:val="clear"/>
            <w:vAlign w:val="center"/>
          </w:tcPr>
          <w:p>
            <w:pPr>
              <w:pStyle w:val="TableContents"/>
              <w:suppressLineNumbers/>
              <w:spacing w:before="0" w:after="160"/>
              <w:rPr/>
            </w:pPr>
            <w:r>
              <w:rPr/>
              <w:t>Nested Task</w:t>
            </w:r>
          </w:p>
        </w:tc>
        <w:tc>
          <w:tcPr>
            <w:tcW w:w="5380" w:type="dxa"/>
            <w:tcBorders/>
            <w:shd w:fill="FFFFFF" w:val="clear"/>
            <w:vAlign w:val="center"/>
          </w:tcPr>
          <w:p>
            <w:pPr>
              <w:pStyle w:val="TableContents"/>
              <w:suppressLineNumbers/>
              <w:spacing w:before="0" w:after="160"/>
              <w:rPr/>
            </w:pPr>
            <w:r>
              <w:rPr/>
              <w:t>Флаг вложенности задач.</w:t>
            </w:r>
          </w:p>
        </w:tc>
      </w:tr>
    </w:tbl>
    <w:p>
      <w:pPr>
        <w:pStyle w:val="LOnormal"/>
        <w:widowControl/>
        <w:bidi w:val="0"/>
        <w:spacing w:lineRule="auto" w:line="259" w:before="0" w:after="160"/>
        <w:jc w:val="left"/>
        <w:rPr/>
      </w:pPr>
      <w:r>
        <w:rPr/>
      </w:r>
    </w:p>
    <w:sectPr>
      <w:type w:val="nextPage"/>
      <w:pgSz w:w="11906" w:h="16838"/>
      <w:pgMar w:left="1701" w:right="850" w:header="0"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ravesli.com/urok-105-stek-i-kucha/" TargetMode="External"/><Relationship Id="rId11" Type="http://schemas.openxmlformats.org/officeDocument/2006/relationships/hyperlink" Target="http://av-assembler.ru/asm/afd/asm-overflow.htm"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47</TotalTime>
  <Application>LibreOffice/6.4.7.2$Linux_X86_64 LibreOffice_project/40$Build-2</Application>
  <Pages>7</Pages>
  <Words>826</Words>
  <Characters>5009</Characters>
  <CharactersWithSpaces>5871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2022-03-01T02:14:54Z</dcterms:modified>
  <cp:revision>4</cp:revision>
  <dc:subject/>
  <dc:title/>
</cp:coreProperties>
</file>