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BE88" w14:textId="6D361923" w:rsidR="00C8420F" w:rsidRPr="00C8420F" w:rsidRDefault="00C8420F" w:rsidP="00CC38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8420F">
        <w:rPr>
          <w:rFonts w:ascii="Times New Roman" w:hAnsi="Times New Roman" w:cs="Times New Roman"/>
          <w:sz w:val="24"/>
          <w:szCs w:val="24"/>
        </w:rPr>
        <w:t xml:space="preserve">МГТУ им. </w:t>
      </w:r>
      <w:proofErr w:type="gramStart"/>
      <w:r w:rsidRPr="00C8420F">
        <w:rPr>
          <w:rFonts w:ascii="Times New Roman" w:hAnsi="Times New Roman" w:cs="Times New Roman"/>
          <w:sz w:val="24"/>
          <w:szCs w:val="24"/>
        </w:rPr>
        <w:t>Н.Э.</w:t>
      </w:r>
      <w:proofErr w:type="gramEnd"/>
      <w:r w:rsidRPr="00C8420F">
        <w:rPr>
          <w:rFonts w:ascii="Times New Roman" w:hAnsi="Times New Roman" w:cs="Times New Roman"/>
          <w:sz w:val="24"/>
          <w:szCs w:val="24"/>
        </w:rPr>
        <w:t xml:space="preserve"> Баумана</w:t>
      </w:r>
    </w:p>
    <w:p w14:paraId="38AC061C" w14:textId="29611336" w:rsidR="00C8420F" w:rsidRDefault="00C8420F" w:rsidP="00C8420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8420F">
        <w:rPr>
          <w:rFonts w:ascii="Times New Roman" w:hAnsi="Times New Roman" w:cs="Times New Roman"/>
          <w:sz w:val="24"/>
          <w:szCs w:val="24"/>
        </w:rPr>
        <w:t>кафедра «Экология и промышленная безопасность»</w:t>
      </w:r>
    </w:p>
    <w:p w14:paraId="562DC295" w14:textId="13E69EE8" w:rsidR="00C8420F" w:rsidRDefault="00C8420F" w:rsidP="00C8420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17193" wp14:editId="18B5B7EC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59182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71F6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pt" to="46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D88DCDF" w14:textId="7EA9F76D" w:rsidR="00CC3808" w:rsidRPr="00CC3808" w:rsidRDefault="00C8420F" w:rsidP="00CC380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808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77DDEDE6" w14:textId="7CB119D1" w:rsidR="00CC3808" w:rsidRPr="00CC3808" w:rsidRDefault="00C8420F" w:rsidP="00CC380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808">
        <w:rPr>
          <w:rFonts w:ascii="Times New Roman" w:hAnsi="Times New Roman" w:cs="Times New Roman"/>
          <w:b/>
          <w:bCs/>
          <w:sz w:val="24"/>
          <w:szCs w:val="24"/>
        </w:rPr>
        <w:t>о дистанционной лабораторной работе</w:t>
      </w:r>
    </w:p>
    <w:p w14:paraId="4E69FE4F" w14:textId="02B912C5" w:rsidR="00CC3808" w:rsidRPr="00CC3808" w:rsidRDefault="00C8420F" w:rsidP="00CC380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808">
        <w:rPr>
          <w:rFonts w:ascii="Times New Roman" w:hAnsi="Times New Roman" w:cs="Times New Roman"/>
          <w:b/>
          <w:bCs/>
          <w:sz w:val="24"/>
          <w:szCs w:val="24"/>
        </w:rPr>
        <w:t>«Исследование эффективности звукоизоляции и звукопоглощения»</w:t>
      </w:r>
    </w:p>
    <w:p w14:paraId="741F9976" w14:textId="116AF1B1" w:rsidR="00CC3808" w:rsidRDefault="00CC3808" w:rsidP="00CC3808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F7DEB" wp14:editId="1BB19714">
                <wp:simplePos x="0" y="0"/>
                <wp:positionH relativeFrom="margin">
                  <wp:posOffset>-635</wp:posOffset>
                </wp:positionH>
                <wp:positionV relativeFrom="paragraph">
                  <wp:posOffset>63500</wp:posOffset>
                </wp:positionV>
                <wp:extent cx="591820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514D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pt" to="465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02D7B7B" w14:textId="41EECA65" w:rsidR="00CC3808" w:rsidRDefault="00C8420F" w:rsidP="00CC3808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8420F">
        <w:rPr>
          <w:rFonts w:ascii="Times New Roman" w:hAnsi="Times New Roman" w:cs="Times New Roman"/>
          <w:sz w:val="24"/>
          <w:szCs w:val="24"/>
        </w:rPr>
        <w:t>Работу выполнил студент</w:t>
      </w:r>
      <w:r w:rsidR="00AD51F4">
        <w:rPr>
          <w:rFonts w:ascii="Times New Roman" w:hAnsi="Times New Roman" w:cs="Times New Roman"/>
          <w:sz w:val="24"/>
          <w:szCs w:val="24"/>
        </w:rPr>
        <w:t xml:space="preserve"> </w:t>
      </w:r>
      <w:r w:rsidR="00AD51F4" w:rsidRPr="00AD51F4">
        <w:rPr>
          <w:rFonts w:ascii="Times New Roman" w:hAnsi="Times New Roman" w:cs="Times New Roman"/>
          <w:sz w:val="24"/>
          <w:szCs w:val="24"/>
          <w:u w:val="single"/>
        </w:rPr>
        <w:t>Овчинникова Анастасия Павловна</w:t>
      </w:r>
    </w:p>
    <w:p w14:paraId="29D0E56D" w14:textId="1BF91B43" w:rsidR="00CC3808" w:rsidRDefault="00C8420F" w:rsidP="00CC3808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8420F">
        <w:rPr>
          <w:rFonts w:ascii="Times New Roman" w:hAnsi="Times New Roman" w:cs="Times New Roman"/>
          <w:sz w:val="24"/>
          <w:szCs w:val="24"/>
        </w:rPr>
        <w:t>группы</w:t>
      </w:r>
      <w:r w:rsidR="00AD51F4">
        <w:rPr>
          <w:rFonts w:ascii="Times New Roman" w:hAnsi="Times New Roman" w:cs="Times New Roman"/>
          <w:sz w:val="24"/>
          <w:szCs w:val="24"/>
        </w:rPr>
        <w:t xml:space="preserve"> </w:t>
      </w:r>
      <w:r w:rsidR="00AD51F4" w:rsidRPr="00AD51F4">
        <w:rPr>
          <w:rFonts w:ascii="Times New Roman" w:hAnsi="Times New Roman" w:cs="Times New Roman"/>
          <w:sz w:val="24"/>
          <w:szCs w:val="24"/>
          <w:u w:val="single"/>
        </w:rPr>
        <w:t>ИУ7-75Б</w:t>
      </w:r>
    </w:p>
    <w:p w14:paraId="10219888" w14:textId="7A3B7084" w:rsidR="00CC3808" w:rsidRDefault="00C8420F" w:rsidP="00CC3808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8420F">
        <w:rPr>
          <w:rFonts w:ascii="Times New Roman" w:hAnsi="Times New Roman" w:cs="Times New Roman"/>
          <w:sz w:val="24"/>
          <w:szCs w:val="24"/>
        </w:rPr>
        <w:t>вариант</w:t>
      </w:r>
      <w:r w:rsidR="00CC3808" w:rsidRPr="00CC3808">
        <w:rPr>
          <w:rFonts w:ascii="Times New Roman" w:hAnsi="Times New Roman" w:cs="Times New Roman"/>
          <w:sz w:val="24"/>
          <w:szCs w:val="24"/>
        </w:rPr>
        <w:t xml:space="preserve"> </w:t>
      </w:r>
      <w:r w:rsidR="00CC3808">
        <w:rPr>
          <w:rFonts w:ascii="Times New Roman" w:hAnsi="Times New Roman" w:cs="Times New Roman"/>
          <w:sz w:val="24"/>
          <w:szCs w:val="24"/>
        </w:rPr>
        <w:t>№</w:t>
      </w:r>
      <w:r w:rsidR="00AD51F4">
        <w:rPr>
          <w:rFonts w:ascii="Times New Roman" w:hAnsi="Times New Roman" w:cs="Times New Roman"/>
          <w:sz w:val="24"/>
          <w:szCs w:val="24"/>
        </w:rPr>
        <w:t xml:space="preserve"> </w:t>
      </w:r>
      <w:r w:rsidR="00AD51F4" w:rsidRPr="00AD51F4">
        <w:rPr>
          <w:rFonts w:ascii="Times New Roman" w:hAnsi="Times New Roman" w:cs="Times New Roman"/>
          <w:sz w:val="24"/>
          <w:szCs w:val="24"/>
          <w:u w:val="single"/>
        </w:rPr>
        <w:t>728</w:t>
      </w:r>
    </w:p>
    <w:p w14:paraId="41D7A5C3" w14:textId="77777777" w:rsidR="00CC3808" w:rsidRDefault="00C8420F" w:rsidP="00CC3808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8420F">
        <w:rPr>
          <w:rFonts w:ascii="Times New Roman" w:hAnsi="Times New Roman" w:cs="Times New Roman"/>
          <w:sz w:val="24"/>
          <w:szCs w:val="24"/>
        </w:rPr>
        <w:t>Таблица 1</w:t>
      </w:r>
    </w:p>
    <w:p w14:paraId="413D2A96" w14:textId="762AF107" w:rsidR="00C8420F" w:rsidRDefault="00C8420F" w:rsidP="00CC3808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8420F">
        <w:rPr>
          <w:rFonts w:ascii="Times New Roman" w:hAnsi="Times New Roman" w:cs="Times New Roman"/>
          <w:sz w:val="24"/>
          <w:szCs w:val="24"/>
        </w:rPr>
        <w:t>Предельно допустимые УЗД до и после применения средств защиты от шума, их эффективность и требуемое снижение шума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993"/>
        <w:gridCol w:w="992"/>
        <w:gridCol w:w="992"/>
        <w:gridCol w:w="992"/>
        <w:gridCol w:w="993"/>
        <w:gridCol w:w="986"/>
      </w:tblGrid>
      <w:tr w:rsidR="00443DE3" w14:paraId="70F74E1C" w14:textId="77777777" w:rsidTr="00A44541">
        <w:tc>
          <w:tcPr>
            <w:tcW w:w="2263" w:type="dxa"/>
            <w:vMerge w:val="restart"/>
          </w:tcPr>
          <w:p w14:paraId="00FFA2B7" w14:textId="77777777" w:rsidR="00623EC3" w:rsidRDefault="00623EC3" w:rsidP="00CC380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C2C6462" w14:textId="7674FC4A" w:rsidR="00443DE3" w:rsidRPr="00984291" w:rsidRDefault="00443DE3" w:rsidP="00CC380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291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7082" w:type="dxa"/>
            <w:gridSpan w:val="7"/>
          </w:tcPr>
          <w:p w14:paraId="25A8BAE8" w14:textId="77777777" w:rsidR="00BE2D70" w:rsidRDefault="00443DE3" w:rsidP="0045481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DE3">
              <w:rPr>
                <w:rFonts w:ascii="Times New Roman" w:hAnsi="Times New Roman" w:cs="Times New Roman"/>
                <w:b/>
                <w:bCs/>
              </w:rPr>
              <w:t xml:space="preserve">УЗД, дБ в октавных полосах частот со </w:t>
            </w:r>
          </w:p>
          <w:p w14:paraId="7AF7013C" w14:textId="3F93D6EB" w:rsidR="00443DE3" w:rsidRPr="00443DE3" w:rsidRDefault="00443DE3" w:rsidP="0045481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DE3">
              <w:rPr>
                <w:rFonts w:ascii="Times New Roman" w:hAnsi="Times New Roman" w:cs="Times New Roman"/>
                <w:b/>
                <w:bCs/>
              </w:rPr>
              <w:t>среднегеометрическими частотами, Гц</w:t>
            </w:r>
          </w:p>
        </w:tc>
      </w:tr>
      <w:tr w:rsidR="00443DE3" w14:paraId="28955321" w14:textId="77777777" w:rsidTr="001457FF">
        <w:tc>
          <w:tcPr>
            <w:tcW w:w="2263" w:type="dxa"/>
            <w:vMerge/>
          </w:tcPr>
          <w:p w14:paraId="2E04D4A4" w14:textId="6B786302" w:rsidR="00443DE3" w:rsidRPr="00984291" w:rsidRDefault="00443DE3" w:rsidP="00CC3808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14:paraId="0A5E65A8" w14:textId="5AB22204" w:rsidR="00443DE3" w:rsidRPr="00984291" w:rsidRDefault="001457FF" w:rsidP="00CC380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993" w:type="dxa"/>
          </w:tcPr>
          <w:p w14:paraId="626E9BD8" w14:textId="5FE1A1A9" w:rsidR="00443DE3" w:rsidRPr="00984291" w:rsidRDefault="001457FF" w:rsidP="00CC380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992" w:type="dxa"/>
          </w:tcPr>
          <w:p w14:paraId="485DA80D" w14:textId="0FCB41FE" w:rsidR="00443DE3" w:rsidRPr="00984291" w:rsidRDefault="001457FF" w:rsidP="00CC380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992" w:type="dxa"/>
          </w:tcPr>
          <w:p w14:paraId="4C04DADB" w14:textId="6396AA19" w:rsidR="00443DE3" w:rsidRPr="00984291" w:rsidRDefault="001457FF" w:rsidP="00CC380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92" w:type="dxa"/>
          </w:tcPr>
          <w:p w14:paraId="714CDF1E" w14:textId="302242AC" w:rsidR="00443DE3" w:rsidRPr="00984291" w:rsidRDefault="001457FF" w:rsidP="00CC380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993" w:type="dxa"/>
          </w:tcPr>
          <w:p w14:paraId="2D1880C1" w14:textId="6250E763" w:rsidR="00443DE3" w:rsidRPr="00984291" w:rsidRDefault="001457FF" w:rsidP="00CC380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986" w:type="dxa"/>
          </w:tcPr>
          <w:p w14:paraId="20103386" w14:textId="0AB3664A" w:rsidR="00443DE3" w:rsidRPr="00984291" w:rsidRDefault="001457FF" w:rsidP="00CC380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</w:tr>
      <w:tr w:rsidR="001457FF" w14:paraId="42912059" w14:textId="77777777" w:rsidTr="001457FF">
        <w:tc>
          <w:tcPr>
            <w:tcW w:w="2263" w:type="dxa"/>
          </w:tcPr>
          <w:p w14:paraId="388F2D89" w14:textId="77777777" w:rsidR="00CC3808" w:rsidRPr="00984291" w:rsidRDefault="004264CC" w:rsidP="004264CC">
            <w:pPr>
              <w:contextualSpacing/>
              <w:rPr>
                <w:rFonts w:ascii="Times New Roman" w:hAnsi="Times New Roman" w:cs="Times New Roman"/>
              </w:rPr>
            </w:pPr>
            <w:r w:rsidRPr="00984291">
              <w:rPr>
                <w:rFonts w:ascii="Times New Roman" w:hAnsi="Times New Roman" w:cs="Times New Roman"/>
              </w:rPr>
              <w:t xml:space="preserve">Измеренный УЗД без </w:t>
            </w:r>
            <w:proofErr w:type="spellStart"/>
            <w:r w:rsidRPr="00984291">
              <w:rPr>
                <w:rFonts w:ascii="Times New Roman" w:hAnsi="Times New Roman" w:cs="Times New Roman"/>
              </w:rPr>
              <w:t>шумозащиты</w:t>
            </w:r>
            <w:proofErr w:type="spellEnd"/>
            <w:r w:rsidRPr="00984291">
              <w:rPr>
                <w:rFonts w:ascii="Times New Roman" w:hAnsi="Times New Roman" w:cs="Times New Roman"/>
              </w:rPr>
              <w:t>,</w:t>
            </w:r>
          </w:p>
          <w:p w14:paraId="03A2DC5A" w14:textId="4F9CDCFC" w:rsidR="004264CC" w:rsidRPr="00984291" w:rsidRDefault="004264CC" w:rsidP="004264CC">
            <w:pPr>
              <w:contextualSpacing/>
              <w:rPr>
                <w:rFonts w:ascii="Times New Roman" w:hAnsi="Times New Roman" w:cs="Times New Roman"/>
              </w:rPr>
            </w:pPr>
            <w:r w:rsidRPr="00984291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1134" w:type="dxa"/>
          </w:tcPr>
          <w:p w14:paraId="0D64FE1B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19EC277D" w14:textId="4E028570" w:rsidR="00623EC3" w:rsidRPr="00623EC3" w:rsidRDefault="00623EC3" w:rsidP="003270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993" w:type="dxa"/>
          </w:tcPr>
          <w:p w14:paraId="3092856F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13B3A222" w14:textId="5DBA8975" w:rsidR="00623EC3" w:rsidRPr="00623EC3" w:rsidRDefault="00623EC3" w:rsidP="003270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992" w:type="dxa"/>
          </w:tcPr>
          <w:p w14:paraId="7E7DCC70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6D5F9CE9" w14:textId="427F8E44" w:rsidR="00623EC3" w:rsidRPr="00623EC3" w:rsidRDefault="00623EC3" w:rsidP="003270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</w:t>
            </w:r>
          </w:p>
        </w:tc>
        <w:tc>
          <w:tcPr>
            <w:tcW w:w="992" w:type="dxa"/>
          </w:tcPr>
          <w:p w14:paraId="28C400E6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08137715" w14:textId="793D9C25" w:rsidR="00F61C3E" w:rsidRPr="00F61C3E" w:rsidRDefault="00F61C3E" w:rsidP="003270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92" w:type="dxa"/>
          </w:tcPr>
          <w:p w14:paraId="3FA5AE01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6DCC0B69" w14:textId="78596612" w:rsidR="00F61C3E" w:rsidRPr="00F61C3E" w:rsidRDefault="00F61C3E" w:rsidP="003270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993" w:type="dxa"/>
          </w:tcPr>
          <w:p w14:paraId="5A300891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47DEB07B" w14:textId="13D2E5F6" w:rsidR="00F61C3E" w:rsidRPr="00573AA2" w:rsidRDefault="00573AA2" w:rsidP="0032709D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986" w:type="dxa"/>
          </w:tcPr>
          <w:p w14:paraId="77210288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452549E8" w14:textId="51177585" w:rsidR="00573AA2" w:rsidRPr="0032709D" w:rsidRDefault="00573AA2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1457FF" w14:paraId="7AE903F5" w14:textId="77777777" w:rsidTr="001457FF">
        <w:tc>
          <w:tcPr>
            <w:tcW w:w="2263" w:type="dxa"/>
          </w:tcPr>
          <w:p w14:paraId="421205C5" w14:textId="77777777" w:rsidR="00CC3808" w:rsidRPr="00984291" w:rsidRDefault="004264CC" w:rsidP="004264CC">
            <w:pPr>
              <w:contextualSpacing/>
              <w:rPr>
                <w:rFonts w:ascii="Times New Roman" w:hAnsi="Times New Roman" w:cs="Times New Roman"/>
              </w:rPr>
            </w:pPr>
            <w:r w:rsidRPr="00984291">
              <w:rPr>
                <w:rFonts w:ascii="Times New Roman" w:hAnsi="Times New Roman" w:cs="Times New Roman"/>
              </w:rPr>
              <w:t>Предельно допустимые уровни</w:t>
            </w:r>
            <w:r w:rsidRPr="00984291">
              <w:rPr>
                <w:rFonts w:ascii="Times New Roman" w:hAnsi="Times New Roman" w:cs="Times New Roman"/>
              </w:rPr>
              <w:t>,</w:t>
            </w:r>
          </w:p>
          <w:p w14:paraId="5492D2B8" w14:textId="227DEEBD" w:rsidR="004264CC" w:rsidRPr="00984291" w:rsidRDefault="004264CC" w:rsidP="004264CC">
            <w:pPr>
              <w:contextualSpacing/>
              <w:rPr>
                <w:rFonts w:ascii="Times New Roman" w:hAnsi="Times New Roman" w:cs="Times New Roman"/>
                <w:vertAlign w:val="subscript"/>
              </w:rPr>
            </w:pPr>
            <w:r w:rsidRPr="00984291">
              <w:rPr>
                <w:rFonts w:ascii="Times New Roman" w:hAnsi="Times New Roman" w:cs="Times New Roman"/>
                <w:lang w:val="en-US"/>
              </w:rPr>
              <w:t>L</w:t>
            </w:r>
            <w:proofErr w:type="spellStart"/>
            <w:r w:rsidRPr="00984291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1134" w:type="dxa"/>
          </w:tcPr>
          <w:p w14:paraId="7D7FBD53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1FAAB543" w14:textId="13D834E0" w:rsidR="0032709D" w:rsidRPr="00984291" w:rsidRDefault="0032709D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993" w:type="dxa"/>
          </w:tcPr>
          <w:p w14:paraId="5AFF04EC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72F88BB3" w14:textId="5A9CB9F1" w:rsidR="0032709D" w:rsidRPr="00984291" w:rsidRDefault="0032709D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92" w:type="dxa"/>
          </w:tcPr>
          <w:p w14:paraId="20F56CB8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4414535B" w14:textId="19F3A54C" w:rsidR="0032709D" w:rsidRPr="00984291" w:rsidRDefault="0032709D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92" w:type="dxa"/>
          </w:tcPr>
          <w:p w14:paraId="6591178C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5ACE9150" w14:textId="071C7AA9" w:rsidR="0032709D" w:rsidRPr="00984291" w:rsidRDefault="0032709D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92" w:type="dxa"/>
          </w:tcPr>
          <w:p w14:paraId="3FF3E1CD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41A9A04D" w14:textId="15F1ED90" w:rsidR="0032709D" w:rsidRPr="00984291" w:rsidRDefault="0032709D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3" w:type="dxa"/>
          </w:tcPr>
          <w:p w14:paraId="386827CC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23777594" w14:textId="20FE2E33" w:rsidR="0032709D" w:rsidRPr="00984291" w:rsidRDefault="0032709D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86" w:type="dxa"/>
          </w:tcPr>
          <w:p w14:paraId="5C13DF7A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38E66CCF" w14:textId="6E7D129D" w:rsidR="0032709D" w:rsidRPr="00984291" w:rsidRDefault="0032709D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1457FF" w14:paraId="3699CFFB" w14:textId="77777777" w:rsidTr="001457FF">
        <w:tc>
          <w:tcPr>
            <w:tcW w:w="2263" w:type="dxa"/>
          </w:tcPr>
          <w:p w14:paraId="309A6D90" w14:textId="77777777" w:rsidR="008619BD" w:rsidRDefault="00984291" w:rsidP="004264CC">
            <w:pPr>
              <w:contextualSpacing/>
              <w:rPr>
                <w:rFonts w:ascii="Times New Roman" w:hAnsi="Times New Roman" w:cs="Times New Roman"/>
              </w:rPr>
            </w:pPr>
            <w:r w:rsidRPr="00984291">
              <w:rPr>
                <w:rFonts w:ascii="Times New Roman" w:hAnsi="Times New Roman" w:cs="Times New Roman"/>
              </w:rPr>
              <w:t xml:space="preserve">Требуемое снижение </w:t>
            </w:r>
            <w:proofErr w:type="spellStart"/>
            <w:r w:rsidRPr="00984291">
              <w:rPr>
                <w:rFonts w:ascii="Times New Roman" w:hAnsi="Times New Roman" w:cs="Times New Roman"/>
              </w:rPr>
              <w:t>шума</w:t>
            </w:r>
            <w:r w:rsidR="00670878">
              <w:rPr>
                <w:rFonts w:ascii="Times New Roman" w:hAnsi="Times New Roman" w:cs="Times New Roman"/>
              </w:rPr>
              <w:t>,</w:t>
            </w:r>
            <w:proofErr w:type="spellEnd"/>
          </w:p>
          <w:p w14:paraId="5849C823" w14:textId="6A85F87B" w:rsidR="00CC3808" w:rsidRPr="00D4122A" w:rsidRDefault="00670878" w:rsidP="004264CC">
            <w:pPr>
              <w:contextualSpacing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proofErr w:type="spellStart"/>
            <w:r w:rsidR="00D4122A">
              <w:rPr>
                <w:rFonts w:ascii="Times New Roman" w:hAnsi="Times New Roman" w:cs="Times New Roman"/>
                <w:vertAlign w:val="subscript"/>
              </w:rPr>
              <w:t>тр</w:t>
            </w:r>
            <w:proofErr w:type="spellEnd"/>
          </w:p>
        </w:tc>
        <w:tc>
          <w:tcPr>
            <w:tcW w:w="1134" w:type="dxa"/>
          </w:tcPr>
          <w:p w14:paraId="0B7DB482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218FC38E" w14:textId="5F988EA7" w:rsidR="00CC0A9B" w:rsidRPr="00984291" w:rsidRDefault="00CC0A9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93" w:type="dxa"/>
          </w:tcPr>
          <w:p w14:paraId="5647A4CD" w14:textId="77777777" w:rsidR="00CC0A9B" w:rsidRDefault="00CC0A9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234DD416" w14:textId="3354C649" w:rsidR="00CC3808" w:rsidRPr="00984291" w:rsidRDefault="00CC0A9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92" w:type="dxa"/>
          </w:tcPr>
          <w:p w14:paraId="721A43A4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7BCE1DFD" w14:textId="03934294" w:rsidR="00CC0A9B" w:rsidRPr="00984291" w:rsidRDefault="00CC0A9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2" w:type="dxa"/>
          </w:tcPr>
          <w:p w14:paraId="688C2AAD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2D61767C" w14:textId="23E634A0" w:rsidR="00CC0A9B" w:rsidRPr="00984291" w:rsidRDefault="00CC0A9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2" w:type="dxa"/>
          </w:tcPr>
          <w:p w14:paraId="5ACE8107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0F0B4B64" w14:textId="3F38D1EB" w:rsidR="00CC0A9B" w:rsidRPr="00984291" w:rsidRDefault="00CC0A9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3" w:type="dxa"/>
          </w:tcPr>
          <w:p w14:paraId="231F8D9C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3F57F4B9" w14:textId="676B8C4B" w:rsidR="00CC0A9B" w:rsidRPr="00984291" w:rsidRDefault="00CC0A9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86" w:type="dxa"/>
          </w:tcPr>
          <w:p w14:paraId="15325738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2C543C4B" w14:textId="49F2C01E" w:rsidR="00CC0A9B" w:rsidRPr="00984291" w:rsidRDefault="00CC0A9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457FF" w14:paraId="3509959F" w14:textId="77777777" w:rsidTr="001457FF">
        <w:tc>
          <w:tcPr>
            <w:tcW w:w="2263" w:type="dxa"/>
          </w:tcPr>
          <w:p w14:paraId="45CC95A4" w14:textId="22BE1605" w:rsidR="00CC3808" w:rsidRPr="00D4122A" w:rsidRDefault="00D4122A" w:rsidP="004264CC">
            <w:pPr>
              <w:contextualSpacing/>
              <w:rPr>
                <w:rFonts w:ascii="Times New Roman" w:hAnsi="Times New Roman" w:cs="Times New Roman"/>
                <w:vertAlign w:val="subscript"/>
              </w:rPr>
            </w:pPr>
            <w:r w:rsidRPr="00D4122A">
              <w:rPr>
                <w:rFonts w:ascii="Times New Roman" w:hAnsi="Times New Roman" w:cs="Times New Roman"/>
              </w:rPr>
              <w:t>Эффективность звукоизолирующего кожуха</w:t>
            </w:r>
            <w:r>
              <w:rPr>
                <w:rFonts w:ascii="Times New Roman" w:hAnsi="Times New Roman" w:cs="Times New Roman"/>
              </w:rPr>
              <w:t>, 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кож</w:t>
            </w:r>
          </w:p>
        </w:tc>
        <w:tc>
          <w:tcPr>
            <w:tcW w:w="1134" w:type="dxa"/>
          </w:tcPr>
          <w:p w14:paraId="3C8CA614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54959D07" w14:textId="50F99058" w:rsidR="00D1062B" w:rsidRPr="00984291" w:rsidRDefault="00D1062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9,51</w:t>
            </w:r>
          </w:p>
        </w:tc>
        <w:tc>
          <w:tcPr>
            <w:tcW w:w="993" w:type="dxa"/>
          </w:tcPr>
          <w:p w14:paraId="7BCBA46B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0AB5F754" w14:textId="394867FC" w:rsidR="00D1062B" w:rsidRPr="00984291" w:rsidRDefault="00D1062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15,77</w:t>
            </w:r>
          </w:p>
        </w:tc>
        <w:tc>
          <w:tcPr>
            <w:tcW w:w="992" w:type="dxa"/>
          </w:tcPr>
          <w:p w14:paraId="46A51027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01DE0692" w14:textId="24B7B597" w:rsidR="00D1062B" w:rsidRPr="00984291" w:rsidRDefault="00D1062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20,27</w:t>
            </w:r>
          </w:p>
        </w:tc>
        <w:tc>
          <w:tcPr>
            <w:tcW w:w="992" w:type="dxa"/>
          </w:tcPr>
          <w:p w14:paraId="387B4A90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3DAEB33B" w14:textId="249CAD81" w:rsidR="00D1062B" w:rsidRPr="00984291" w:rsidRDefault="00D1062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26,02</w:t>
            </w:r>
          </w:p>
        </w:tc>
        <w:tc>
          <w:tcPr>
            <w:tcW w:w="992" w:type="dxa"/>
          </w:tcPr>
          <w:p w14:paraId="39E68BF3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721EAE02" w14:textId="3CAABFEF" w:rsidR="00D1062B" w:rsidRPr="00984291" w:rsidRDefault="00D1062B" w:rsidP="00D106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28,99</w:t>
            </w:r>
          </w:p>
        </w:tc>
        <w:tc>
          <w:tcPr>
            <w:tcW w:w="993" w:type="dxa"/>
          </w:tcPr>
          <w:p w14:paraId="662EAF6C" w14:textId="77777777" w:rsidR="00CC3808" w:rsidRDefault="00CC3808" w:rsidP="00D1062B">
            <w:pPr>
              <w:contextualSpacing/>
              <w:rPr>
                <w:rFonts w:ascii="Times New Roman" w:hAnsi="Times New Roman" w:cs="Times New Roman"/>
              </w:rPr>
            </w:pPr>
          </w:p>
          <w:p w14:paraId="1E066FD3" w14:textId="543F8816" w:rsidR="00D1062B" w:rsidRPr="00984291" w:rsidRDefault="00D1062B" w:rsidP="00D1062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26,49</w:t>
            </w:r>
          </w:p>
        </w:tc>
        <w:tc>
          <w:tcPr>
            <w:tcW w:w="986" w:type="dxa"/>
          </w:tcPr>
          <w:p w14:paraId="5CC33FAD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77FCB71C" w14:textId="2FB805E7" w:rsidR="00D1062B" w:rsidRPr="00984291" w:rsidRDefault="00D1062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33,99</w:t>
            </w:r>
          </w:p>
        </w:tc>
      </w:tr>
      <w:tr w:rsidR="001457FF" w14:paraId="7AC8A562" w14:textId="77777777" w:rsidTr="001457FF">
        <w:tc>
          <w:tcPr>
            <w:tcW w:w="2263" w:type="dxa"/>
          </w:tcPr>
          <w:p w14:paraId="4BBDD6B1" w14:textId="44769A84" w:rsidR="00CC3808" w:rsidRPr="00984291" w:rsidRDefault="00492C98" w:rsidP="004264CC">
            <w:pPr>
              <w:contextualSpacing/>
              <w:rPr>
                <w:rFonts w:ascii="Times New Roman" w:hAnsi="Times New Roman" w:cs="Times New Roman"/>
              </w:rPr>
            </w:pPr>
            <w:r w:rsidRPr="00492C98">
              <w:rPr>
                <w:rFonts w:ascii="Times New Roman" w:hAnsi="Times New Roman" w:cs="Times New Roman"/>
              </w:rPr>
              <w:t>Эффективность перегородки из ГКЛ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ГКЛ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013E2635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4CE22DA6" w14:textId="4EF67C24" w:rsidR="00915984" w:rsidRPr="00984291" w:rsidRDefault="0091598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12,62</w:t>
            </w:r>
          </w:p>
        </w:tc>
        <w:tc>
          <w:tcPr>
            <w:tcW w:w="993" w:type="dxa"/>
          </w:tcPr>
          <w:p w14:paraId="248ABA5D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1BFE21FB" w14:textId="248B7B5E" w:rsidR="00915984" w:rsidRPr="00984291" w:rsidRDefault="0091598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12,5</w:t>
            </w:r>
          </w:p>
        </w:tc>
        <w:tc>
          <w:tcPr>
            <w:tcW w:w="992" w:type="dxa"/>
          </w:tcPr>
          <w:p w14:paraId="60304AF7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7F6A6A81" w14:textId="23999615" w:rsidR="00915984" w:rsidRPr="00984291" w:rsidRDefault="00915984" w:rsidP="0091598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13,99</w:t>
            </w:r>
          </w:p>
        </w:tc>
        <w:tc>
          <w:tcPr>
            <w:tcW w:w="992" w:type="dxa"/>
          </w:tcPr>
          <w:p w14:paraId="0F442D89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3084CC47" w14:textId="3AC56B51" w:rsidR="00915984" w:rsidRPr="00984291" w:rsidRDefault="0091598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17,52</w:t>
            </w:r>
          </w:p>
        </w:tc>
        <w:tc>
          <w:tcPr>
            <w:tcW w:w="992" w:type="dxa"/>
          </w:tcPr>
          <w:p w14:paraId="63992449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719D8B8B" w14:textId="2F2BB76D" w:rsidR="00915984" w:rsidRPr="00984291" w:rsidRDefault="00915984" w:rsidP="0091598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24,45</w:t>
            </w:r>
          </w:p>
        </w:tc>
        <w:tc>
          <w:tcPr>
            <w:tcW w:w="993" w:type="dxa"/>
          </w:tcPr>
          <w:p w14:paraId="1EF4C0D5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43FF45D6" w14:textId="70796E32" w:rsidR="00915984" w:rsidRPr="00984291" w:rsidRDefault="0091598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19,54</w:t>
            </w:r>
          </w:p>
        </w:tc>
        <w:tc>
          <w:tcPr>
            <w:tcW w:w="986" w:type="dxa"/>
          </w:tcPr>
          <w:p w14:paraId="7FEE5896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332703C7" w14:textId="5AE2A770" w:rsidR="00915984" w:rsidRPr="00984291" w:rsidRDefault="0091598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27,91</w:t>
            </w:r>
          </w:p>
        </w:tc>
      </w:tr>
      <w:tr w:rsidR="001457FF" w14:paraId="5192308F" w14:textId="77777777" w:rsidTr="001457FF">
        <w:tc>
          <w:tcPr>
            <w:tcW w:w="2263" w:type="dxa"/>
          </w:tcPr>
          <w:p w14:paraId="7E7D945D" w14:textId="7D489943" w:rsidR="00CC3808" w:rsidRPr="00492C98" w:rsidRDefault="00492C98" w:rsidP="004264CC">
            <w:pPr>
              <w:contextualSpacing/>
              <w:rPr>
                <w:rFonts w:ascii="Times New Roman" w:hAnsi="Times New Roman" w:cs="Times New Roman"/>
                <w:vertAlign w:val="subscript"/>
              </w:rPr>
            </w:pPr>
            <w:r w:rsidRPr="00492C98">
              <w:rPr>
                <w:rFonts w:ascii="Times New Roman" w:hAnsi="Times New Roman" w:cs="Times New Roman"/>
              </w:rPr>
              <w:t>Эффективность перегородки из ДСП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ДСП</w:t>
            </w:r>
          </w:p>
        </w:tc>
        <w:tc>
          <w:tcPr>
            <w:tcW w:w="1134" w:type="dxa"/>
          </w:tcPr>
          <w:p w14:paraId="1CBDA4DC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32B1A60D" w14:textId="218EDC0B" w:rsidR="00345044" w:rsidRPr="00984291" w:rsidRDefault="0034504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-10,5(0)</w:t>
            </w:r>
          </w:p>
        </w:tc>
        <w:tc>
          <w:tcPr>
            <w:tcW w:w="993" w:type="dxa"/>
          </w:tcPr>
          <w:p w14:paraId="07D9D0D9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643C1AB6" w14:textId="06A30CDE" w:rsidR="00345044" w:rsidRPr="00984291" w:rsidRDefault="0034504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3,54</w:t>
            </w:r>
          </w:p>
        </w:tc>
        <w:tc>
          <w:tcPr>
            <w:tcW w:w="992" w:type="dxa"/>
          </w:tcPr>
          <w:p w14:paraId="5527DBCF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70D997B9" w14:textId="46B0CB12" w:rsidR="00345044" w:rsidRPr="00984291" w:rsidRDefault="0034504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8,04</w:t>
            </w:r>
          </w:p>
        </w:tc>
        <w:tc>
          <w:tcPr>
            <w:tcW w:w="992" w:type="dxa"/>
          </w:tcPr>
          <w:p w14:paraId="3D3157A4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669E8BB7" w14:textId="5021F645" w:rsidR="00345044" w:rsidRPr="00984291" w:rsidRDefault="00345044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12,03</w:t>
            </w:r>
          </w:p>
        </w:tc>
        <w:tc>
          <w:tcPr>
            <w:tcW w:w="992" w:type="dxa"/>
          </w:tcPr>
          <w:p w14:paraId="6C06F750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6B62E0E4" w14:textId="7E238166" w:rsidR="00345044" w:rsidRPr="00984291" w:rsidRDefault="001E1C02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17,04</w:t>
            </w:r>
          </w:p>
        </w:tc>
        <w:tc>
          <w:tcPr>
            <w:tcW w:w="993" w:type="dxa"/>
          </w:tcPr>
          <w:p w14:paraId="26E03D42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4B5A7CDE" w14:textId="40FF7CA3" w:rsidR="001E1C02" w:rsidRPr="00984291" w:rsidRDefault="001E1C02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23,46</w:t>
            </w:r>
          </w:p>
        </w:tc>
        <w:tc>
          <w:tcPr>
            <w:tcW w:w="986" w:type="dxa"/>
          </w:tcPr>
          <w:p w14:paraId="2C1FA80F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69753C2B" w14:textId="69C5D032" w:rsidR="001E1C02" w:rsidRPr="00984291" w:rsidRDefault="001E1C02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14,04</w:t>
            </w:r>
          </w:p>
        </w:tc>
      </w:tr>
      <w:tr w:rsidR="001457FF" w14:paraId="0D946CB5" w14:textId="77777777" w:rsidTr="001457FF">
        <w:tc>
          <w:tcPr>
            <w:tcW w:w="2263" w:type="dxa"/>
          </w:tcPr>
          <w:p w14:paraId="705DD036" w14:textId="7CB62F46" w:rsidR="00CC3808" w:rsidRPr="00492C98" w:rsidRDefault="00492C98" w:rsidP="004264CC">
            <w:pPr>
              <w:contextualSpacing/>
              <w:rPr>
                <w:rFonts w:ascii="Times New Roman" w:hAnsi="Times New Roman" w:cs="Times New Roman"/>
                <w:vertAlign w:val="subscript"/>
              </w:rPr>
            </w:pPr>
            <w:r w:rsidRPr="00492C98">
              <w:rPr>
                <w:rFonts w:ascii="Times New Roman" w:hAnsi="Times New Roman" w:cs="Times New Roman"/>
              </w:rPr>
              <w:t>Эффективность звукопоглощающей облицовки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ЗПМ</w:t>
            </w:r>
          </w:p>
        </w:tc>
        <w:tc>
          <w:tcPr>
            <w:tcW w:w="1134" w:type="dxa"/>
          </w:tcPr>
          <w:p w14:paraId="684C04F9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5A09A7E5" w14:textId="6B3BEF74" w:rsidR="007E2B1B" w:rsidRPr="00984291" w:rsidRDefault="007E2B1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1,09</w:t>
            </w:r>
          </w:p>
        </w:tc>
        <w:tc>
          <w:tcPr>
            <w:tcW w:w="993" w:type="dxa"/>
          </w:tcPr>
          <w:p w14:paraId="35B6563E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3F7AD4D5" w14:textId="355F1795" w:rsidR="007E2B1B" w:rsidRPr="00984291" w:rsidRDefault="007E2B1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3,164</w:t>
            </w:r>
          </w:p>
        </w:tc>
        <w:tc>
          <w:tcPr>
            <w:tcW w:w="992" w:type="dxa"/>
          </w:tcPr>
          <w:p w14:paraId="71320775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6643C4A5" w14:textId="73470E09" w:rsidR="007E2B1B" w:rsidRPr="00984291" w:rsidRDefault="007E2B1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9,737</w:t>
            </w:r>
          </w:p>
        </w:tc>
        <w:tc>
          <w:tcPr>
            <w:tcW w:w="992" w:type="dxa"/>
          </w:tcPr>
          <w:p w14:paraId="7780AB2C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50DBE2E7" w14:textId="585C8188" w:rsidR="007E2B1B" w:rsidRPr="00984291" w:rsidRDefault="007E2B1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25,7109</w:t>
            </w:r>
          </w:p>
        </w:tc>
        <w:tc>
          <w:tcPr>
            <w:tcW w:w="992" w:type="dxa"/>
          </w:tcPr>
          <w:p w14:paraId="514D0919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1E9CA684" w14:textId="4F36EEB0" w:rsidR="007E2B1B" w:rsidRPr="00984291" w:rsidRDefault="007E2B1B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35,3753</w:t>
            </w:r>
          </w:p>
        </w:tc>
        <w:tc>
          <w:tcPr>
            <w:tcW w:w="993" w:type="dxa"/>
          </w:tcPr>
          <w:p w14:paraId="22ACBCA7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7AACCD52" w14:textId="4C658F23" w:rsidR="00BE5F45" w:rsidRPr="00984291" w:rsidRDefault="00BE5F45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14,6493</w:t>
            </w:r>
          </w:p>
        </w:tc>
        <w:tc>
          <w:tcPr>
            <w:tcW w:w="986" w:type="dxa"/>
          </w:tcPr>
          <w:p w14:paraId="7EB1E94D" w14:textId="77777777" w:rsidR="00CC3808" w:rsidRDefault="00CC3808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14:paraId="524DCBE8" w14:textId="174F517B" w:rsidR="00912DF3" w:rsidRPr="00984291" w:rsidRDefault="00912DF3" w:rsidP="0032709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16,8713</w:t>
            </w:r>
          </w:p>
        </w:tc>
      </w:tr>
    </w:tbl>
    <w:p w14:paraId="686D8536" w14:textId="11BF32DC" w:rsidR="00CC3808" w:rsidRDefault="00CC3808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F0ED013" w14:textId="265164E9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B9909CD" w14:textId="5919B811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AB73FAA" w14:textId="73122E47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B864B9D" w14:textId="0A0F7638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36EDF5" w14:textId="6C53788A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9442A3C" w14:textId="2715336A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622765" w14:textId="178E4F3F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82D99C" w14:textId="3BE31894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32B69E" w14:textId="3E947E80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C5C9B1" w14:textId="7BD7794B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45524F7" w14:textId="2177CECE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C457BB9" w14:textId="60A8153D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B43A55F" w14:textId="5D2BE9AD" w:rsidR="00E95044" w:rsidRDefault="00E95044" w:rsidP="00CC380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32E79D" w14:textId="39BEBB3E" w:rsidR="00E95044" w:rsidRDefault="00E95044" w:rsidP="00E950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DED80E" w14:textId="46431499" w:rsidR="00E95044" w:rsidRDefault="00AD08ED" w:rsidP="00E9504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7A014F" wp14:editId="606EC7F3">
            <wp:extent cx="5003800" cy="2908300"/>
            <wp:effectExtent l="0" t="0" r="6350" b="63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220D84" w14:textId="0B135713" w:rsidR="00E95044" w:rsidRDefault="00E95044" w:rsidP="00E9504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95044">
        <w:rPr>
          <w:rFonts w:ascii="Times New Roman" w:hAnsi="Times New Roman" w:cs="Times New Roman"/>
          <w:b/>
          <w:bCs/>
          <w:sz w:val="24"/>
          <w:szCs w:val="24"/>
        </w:rPr>
        <w:t>Рис. П2.1.</w:t>
      </w:r>
      <w:r w:rsidRPr="00E95044">
        <w:rPr>
          <w:rFonts w:ascii="Times New Roman" w:hAnsi="Times New Roman" w:cs="Times New Roman"/>
          <w:sz w:val="24"/>
          <w:szCs w:val="24"/>
        </w:rPr>
        <w:t xml:space="preserve"> Спектры шума</w:t>
      </w:r>
    </w:p>
    <w:p w14:paraId="00001A0C" w14:textId="1EF3DCEF" w:rsidR="00E95044" w:rsidRDefault="00E95044" w:rsidP="00E9504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C6F7480" w14:textId="44974561" w:rsidR="00E95044" w:rsidRDefault="00FC3755" w:rsidP="00E9504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D7952" wp14:editId="5778CDDC">
            <wp:extent cx="5046133" cy="2683933"/>
            <wp:effectExtent l="0" t="0" r="2540" b="25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04F000" w14:textId="424A9F14" w:rsidR="00E95044" w:rsidRDefault="00E95044" w:rsidP="00E9504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95044">
        <w:rPr>
          <w:rFonts w:ascii="Times New Roman" w:hAnsi="Times New Roman" w:cs="Times New Roman"/>
          <w:b/>
          <w:bCs/>
          <w:sz w:val="24"/>
          <w:szCs w:val="24"/>
        </w:rPr>
        <w:t>Рис. П2.2.</w:t>
      </w:r>
      <w:r w:rsidRPr="00E9504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6564576"/>
      <w:r w:rsidRPr="00E95044">
        <w:rPr>
          <w:rFonts w:ascii="Times New Roman" w:hAnsi="Times New Roman" w:cs="Times New Roman"/>
          <w:sz w:val="24"/>
          <w:szCs w:val="24"/>
        </w:rPr>
        <w:t>Требуемое снижение шума и эффективность исследованных шумозащитных средств</w:t>
      </w:r>
      <w:bookmarkEnd w:id="0"/>
    </w:p>
    <w:p w14:paraId="5E44522D" w14:textId="725E2479" w:rsidR="00DC1E95" w:rsidRDefault="00411C38" w:rsidP="00DC1E95">
      <w:pPr>
        <w:spacing w:line="24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11C38">
        <w:rPr>
          <w:rFonts w:ascii="Times New Roman" w:hAnsi="Times New Roman" w:cs="Times New Roman"/>
          <w:sz w:val="24"/>
          <w:szCs w:val="24"/>
        </w:rPr>
        <w:t>Расчетные значения в октаве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сг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=1000 Гц</w:t>
      </w:r>
      <w:r w:rsidR="00DC1E9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1E95" w14:paraId="7B0A97BB" w14:textId="77777777" w:rsidTr="00DC1E95">
        <w:tc>
          <w:tcPr>
            <w:tcW w:w="2336" w:type="dxa"/>
          </w:tcPr>
          <w:p w14:paraId="6A7804E6" w14:textId="112FA954" w:rsidR="00DC1E95" w:rsidRPr="00DC1E95" w:rsidRDefault="00DC1E95" w:rsidP="00DC1E9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ГКЛ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дБ</w:t>
            </w:r>
          </w:p>
        </w:tc>
        <w:tc>
          <w:tcPr>
            <w:tcW w:w="2336" w:type="dxa"/>
          </w:tcPr>
          <w:p w14:paraId="1960D49B" w14:textId="6DFEE181" w:rsidR="00DC1E95" w:rsidRDefault="00DC1E95" w:rsidP="00DC1E9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="0022285E">
              <w:rPr>
                <w:rFonts w:ascii="Times New Roman" w:hAnsi="Times New Roman" w:cs="Times New Roman"/>
                <w:vertAlign w:val="subscript"/>
              </w:rPr>
              <w:t>ДСП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дБ</w:t>
            </w:r>
          </w:p>
        </w:tc>
        <w:tc>
          <w:tcPr>
            <w:tcW w:w="2336" w:type="dxa"/>
          </w:tcPr>
          <w:p w14:paraId="32C90B1C" w14:textId="43868CF1" w:rsidR="00DC1E95" w:rsidRDefault="00DC1E95" w:rsidP="00DC1E9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кож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дБ</w:t>
            </w:r>
          </w:p>
        </w:tc>
        <w:tc>
          <w:tcPr>
            <w:tcW w:w="2337" w:type="dxa"/>
          </w:tcPr>
          <w:p w14:paraId="65BC11FA" w14:textId="1BD9C887" w:rsidR="00DC1E95" w:rsidRDefault="00DC1E95" w:rsidP="00DC1E9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ЗПМ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дБ</w:t>
            </w:r>
          </w:p>
        </w:tc>
      </w:tr>
      <w:tr w:rsidR="00DC1E95" w14:paraId="3DD3FA4F" w14:textId="77777777" w:rsidTr="00C63E9C">
        <w:trPr>
          <w:trHeight w:val="509"/>
        </w:trPr>
        <w:tc>
          <w:tcPr>
            <w:tcW w:w="2336" w:type="dxa"/>
          </w:tcPr>
          <w:p w14:paraId="606BE10F" w14:textId="0F307F75" w:rsidR="00DC1E95" w:rsidRDefault="00D04C56" w:rsidP="00DC1E9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17,52</w:t>
            </w:r>
          </w:p>
        </w:tc>
        <w:tc>
          <w:tcPr>
            <w:tcW w:w="2336" w:type="dxa"/>
          </w:tcPr>
          <w:p w14:paraId="25A5EDAB" w14:textId="70BBAD62" w:rsidR="00DC1E95" w:rsidRDefault="007451C5" w:rsidP="00DC1E9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12,03</w:t>
            </w:r>
          </w:p>
        </w:tc>
        <w:tc>
          <w:tcPr>
            <w:tcW w:w="2336" w:type="dxa"/>
          </w:tcPr>
          <w:p w14:paraId="699B7E34" w14:textId="64494DCC" w:rsidR="00DC1E95" w:rsidRDefault="00A13D2C" w:rsidP="00DC1E9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26,02</w:t>
            </w:r>
          </w:p>
        </w:tc>
        <w:tc>
          <w:tcPr>
            <w:tcW w:w="2337" w:type="dxa"/>
          </w:tcPr>
          <w:p w14:paraId="0D457CDE" w14:textId="7DBE7D41" w:rsidR="00DC1E95" w:rsidRDefault="002320C2" w:rsidP="00DC1E9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25,7109</w:t>
            </w:r>
          </w:p>
        </w:tc>
      </w:tr>
    </w:tbl>
    <w:p w14:paraId="794BFCD6" w14:textId="61CC93BD" w:rsidR="00783F44" w:rsidRDefault="00783F44" w:rsidP="00783F4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Выводы:</w:t>
      </w:r>
    </w:p>
    <w:p w14:paraId="004CABA1" w14:textId="1CA28E82" w:rsidR="007F61BA" w:rsidRDefault="007F61BA" w:rsidP="00783F4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 частоте 125 Гц наиболее эффективной является перегородка из ГКЛ; на частотах 250</w:t>
      </w:r>
      <w:r w:rsidR="00A227BA">
        <w:rPr>
          <w:rFonts w:ascii="Times New Roman" w:hAnsi="Times New Roman" w:cs="Times New Roman"/>
          <w:sz w:val="24"/>
          <w:szCs w:val="24"/>
          <w:u w:val="single"/>
        </w:rPr>
        <w:t xml:space="preserve"> Гц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и 500</w:t>
      </w:r>
      <w:r w:rsidR="00A227BA">
        <w:rPr>
          <w:rFonts w:ascii="Times New Roman" w:hAnsi="Times New Roman" w:cs="Times New Roman"/>
          <w:sz w:val="24"/>
          <w:szCs w:val="24"/>
          <w:u w:val="single"/>
        </w:rPr>
        <w:t xml:space="preserve"> Гц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звукоизолирующий кожух</w:t>
      </w:r>
      <w:r w:rsidR="00633ECC">
        <w:rPr>
          <w:rFonts w:ascii="Times New Roman" w:hAnsi="Times New Roman" w:cs="Times New Roman"/>
          <w:sz w:val="24"/>
          <w:szCs w:val="24"/>
          <w:u w:val="single"/>
        </w:rPr>
        <w:t>;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227BA">
        <w:rPr>
          <w:rFonts w:ascii="Times New Roman" w:hAnsi="Times New Roman" w:cs="Times New Roman"/>
          <w:sz w:val="24"/>
          <w:szCs w:val="24"/>
          <w:u w:val="single"/>
        </w:rPr>
        <w:t>на частоте 1000 Гц – кожух и звукопоглощающая облицовка</w:t>
      </w:r>
      <w:r w:rsidR="00633ECC">
        <w:rPr>
          <w:rFonts w:ascii="Times New Roman" w:hAnsi="Times New Roman" w:cs="Times New Roman"/>
          <w:sz w:val="24"/>
          <w:szCs w:val="24"/>
          <w:u w:val="single"/>
        </w:rPr>
        <w:t xml:space="preserve">; на частоте 200 Гц -- </w:t>
      </w:r>
      <w:r w:rsidR="00CF7EAE">
        <w:rPr>
          <w:rFonts w:ascii="Times New Roman" w:hAnsi="Times New Roman" w:cs="Times New Roman"/>
          <w:sz w:val="24"/>
          <w:szCs w:val="24"/>
          <w:u w:val="single"/>
        </w:rPr>
        <w:t>звукопоглощающая облицовка</w:t>
      </w:r>
      <w:r w:rsidR="00CF7EAE">
        <w:rPr>
          <w:rFonts w:ascii="Times New Roman" w:hAnsi="Times New Roman" w:cs="Times New Roman"/>
          <w:sz w:val="24"/>
          <w:szCs w:val="24"/>
          <w:u w:val="single"/>
        </w:rPr>
        <w:t>; на частоте 4000 и 8000 Гц – кожух.</w:t>
      </w:r>
      <w:r w:rsidR="007659B2">
        <w:rPr>
          <w:rFonts w:ascii="Times New Roman" w:hAnsi="Times New Roman" w:cs="Times New Roman"/>
          <w:sz w:val="24"/>
          <w:szCs w:val="24"/>
          <w:u w:val="single"/>
        </w:rPr>
        <w:t xml:space="preserve"> В целом наиболее эффективной защитой является </w:t>
      </w:r>
      <w:r w:rsidR="007659B2">
        <w:rPr>
          <w:rFonts w:ascii="Times New Roman" w:hAnsi="Times New Roman" w:cs="Times New Roman"/>
          <w:sz w:val="24"/>
          <w:szCs w:val="24"/>
          <w:u w:val="single"/>
        </w:rPr>
        <w:t>звукоизолирующий кожух</w:t>
      </w:r>
      <w:r w:rsidR="007659B2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447EB8">
        <w:rPr>
          <w:rFonts w:ascii="Times New Roman" w:hAnsi="Times New Roman" w:cs="Times New Roman"/>
          <w:sz w:val="24"/>
          <w:szCs w:val="24"/>
          <w:u w:val="single"/>
        </w:rPr>
        <w:t xml:space="preserve"> Ни один из методов защиты не обеспечивает требуемого снижения шума на всех частотах.</w:t>
      </w:r>
      <w:r w:rsidR="00C35624">
        <w:rPr>
          <w:rFonts w:ascii="Times New Roman" w:hAnsi="Times New Roman" w:cs="Times New Roman"/>
          <w:sz w:val="24"/>
          <w:szCs w:val="24"/>
          <w:u w:val="single"/>
        </w:rPr>
        <w:t xml:space="preserve"> После применения рассмотренных шумозащитных средств спектры УЗД не соответствуют предельно допустимым значениям.</w:t>
      </w:r>
    </w:p>
    <w:p w14:paraId="14DD116D" w14:textId="7FF2341F" w:rsidR="00FD7F30" w:rsidRDefault="00FD7F30" w:rsidP="00783F4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7F30" w14:paraId="5EBCF877" w14:textId="77777777" w:rsidTr="00FD7F30">
        <w:tc>
          <w:tcPr>
            <w:tcW w:w="2336" w:type="dxa"/>
          </w:tcPr>
          <w:p w14:paraId="623A7972" w14:textId="1CDDA23A" w:rsidR="00FD7F30" w:rsidRDefault="00FD7F30" w:rsidP="00FD7F3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Работу выполнил (подпись)</w:t>
            </w:r>
          </w:p>
        </w:tc>
        <w:tc>
          <w:tcPr>
            <w:tcW w:w="2336" w:type="dxa"/>
          </w:tcPr>
          <w:p w14:paraId="7851F5DC" w14:textId="1A87CDC4" w:rsidR="00FD7F30" w:rsidRDefault="00C1155E" w:rsidP="00FD7F3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14:paraId="7B51E4E4" w14:textId="60DB342C" w:rsidR="00FD7F30" w:rsidRDefault="00C1155E" w:rsidP="00FD7F3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Работу принял (подпись)</w:t>
            </w:r>
          </w:p>
        </w:tc>
        <w:tc>
          <w:tcPr>
            <w:tcW w:w="2337" w:type="dxa"/>
          </w:tcPr>
          <w:p w14:paraId="0FC6F54B" w14:textId="3A083A58" w:rsidR="00FD7F30" w:rsidRDefault="00C1155E" w:rsidP="00FD7F3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D7F30" w14:paraId="0C82DE99" w14:textId="77777777" w:rsidTr="00FD7F30">
        <w:tc>
          <w:tcPr>
            <w:tcW w:w="2336" w:type="dxa"/>
          </w:tcPr>
          <w:p w14:paraId="1294CC3E" w14:textId="77777777" w:rsidR="00FD7F30" w:rsidRDefault="00FD7F30" w:rsidP="00FD7F3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16C2649" w14:textId="4FD1A983" w:rsidR="00FD7F30" w:rsidRDefault="00C1155E" w:rsidP="00FD7F3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2336" w:type="dxa"/>
          </w:tcPr>
          <w:p w14:paraId="5D05AE76" w14:textId="77777777" w:rsidR="00FD7F30" w:rsidRDefault="00FD7F30" w:rsidP="00FD7F3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E02CD18" w14:textId="77777777" w:rsidR="00FD7F30" w:rsidRDefault="00FD7F30" w:rsidP="00FD7F3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C68BF1" w14:textId="77777777" w:rsidR="00FD7F30" w:rsidRPr="00FD7F30" w:rsidRDefault="00FD7F30" w:rsidP="00D861A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FD7F30" w:rsidRPr="00FD7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0F"/>
    <w:rsid w:val="00001392"/>
    <w:rsid w:val="001457FF"/>
    <w:rsid w:val="0015213F"/>
    <w:rsid w:val="001E1C02"/>
    <w:rsid w:val="0022285E"/>
    <w:rsid w:val="00224E16"/>
    <w:rsid w:val="002320C2"/>
    <w:rsid w:val="00296DFF"/>
    <w:rsid w:val="0032709D"/>
    <w:rsid w:val="0034459A"/>
    <w:rsid w:val="00345044"/>
    <w:rsid w:val="00391A11"/>
    <w:rsid w:val="00411C38"/>
    <w:rsid w:val="004264CC"/>
    <w:rsid w:val="00443DE3"/>
    <w:rsid w:val="00447EB8"/>
    <w:rsid w:val="00472D1B"/>
    <w:rsid w:val="00492C98"/>
    <w:rsid w:val="00556585"/>
    <w:rsid w:val="00573AA2"/>
    <w:rsid w:val="00623EC3"/>
    <w:rsid w:val="00633ECC"/>
    <w:rsid w:val="00670878"/>
    <w:rsid w:val="007451C5"/>
    <w:rsid w:val="007659B2"/>
    <w:rsid w:val="00783F44"/>
    <w:rsid w:val="007E2B1B"/>
    <w:rsid w:val="007F61BA"/>
    <w:rsid w:val="008619BD"/>
    <w:rsid w:val="00912DF3"/>
    <w:rsid w:val="00915984"/>
    <w:rsid w:val="0093074D"/>
    <w:rsid w:val="00984291"/>
    <w:rsid w:val="00A13D2C"/>
    <w:rsid w:val="00A227BA"/>
    <w:rsid w:val="00AD08ED"/>
    <w:rsid w:val="00AD51F4"/>
    <w:rsid w:val="00BA396F"/>
    <w:rsid w:val="00BD72B2"/>
    <w:rsid w:val="00BE2D70"/>
    <w:rsid w:val="00BE5F45"/>
    <w:rsid w:val="00C1155E"/>
    <w:rsid w:val="00C35624"/>
    <w:rsid w:val="00C47847"/>
    <w:rsid w:val="00C63E9C"/>
    <w:rsid w:val="00C8420F"/>
    <w:rsid w:val="00C9699A"/>
    <w:rsid w:val="00CC0A9B"/>
    <w:rsid w:val="00CC3808"/>
    <w:rsid w:val="00CF7EAE"/>
    <w:rsid w:val="00D04C56"/>
    <w:rsid w:val="00D1062B"/>
    <w:rsid w:val="00D4122A"/>
    <w:rsid w:val="00D861AB"/>
    <w:rsid w:val="00DC1E95"/>
    <w:rsid w:val="00E95044"/>
    <w:rsid w:val="00F61C3E"/>
    <w:rsid w:val="00FC3755"/>
    <w:rsid w:val="00FC5D5B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4794"/>
  <w15:chartTrackingRefBased/>
  <w15:docId w15:val="{07E7C445-6433-4115-9939-A71246C0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Спектры шума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86</c:v>
                </c:pt>
                <c:pt idx="1">
                  <c:v>80</c:v>
                </c:pt>
                <c:pt idx="2">
                  <c:v>62</c:v>
                </c:pt>
                <c:pt idx="3">
                  <c:v>60</c:v>
                </c:pt>
                <c:pt idx="4">
                  <c:v>51</c:v>
                </c:pt>
                <c:pt idx="5">
                  <c:v>56</c:v>
                </c:pt>
                <c:pt idx="6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35-4164-B642-66FE2C958C6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Lдоп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61</c:v>
                </c:pt>
                <c:pt idx="1">
                  <c:v>54</c:v>
                </c:pt>
                <c:pt idx="2">
                  <c:v>49</c:v>
                </c:pt>
                <c:pt idx="3">
                  <c:v>45</c:v>
                </c:pt>
                <c:pt idx="4">
                  <c:v>42</c:v>
                </c:pt>
                <c:pt idx="5">
                  <c:v>40</c:v>
                </c:pt>
                <c:pt idx="6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35-4164-B642-66FE2C958C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247160"/>
        <c:axId val="445245848"/>
      </c:lineChart>
      <c:catAx>
        <c:axId val="445247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ru-RU"/>
                  <a:t>сг,</a:t>
                </a:r>
                <a:r>
                  <a:rPr lang="ru-RU" baseline="0"/>
                  <a:t>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245848"/>
        <c:crosses val="autoZero"/>
        <c:auto val="1"/>
        <c:lblAlgn val="ctr"/>
        <c:lblOffset val="100"/>
        <c:noMultiLvlLbl val="0"/>
      </c:catAx>
      <c:valAx>
        <c:axId val="44524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L,</a:t>
                </a:r>
                <a:r>
                  <a:rPr lang="en-US" baseline="0"/>
                  <a:t> L</a:t>
                </a:r>
                <a:r>
                  <a:rPr lang="ru-RU" baseline="0"/>
                  <a:t>доп, дБ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247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Требуемое снижение шума и эффективность исследованных шумозащитных средств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delta Lтр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25</c:v>
                </c:pt>
                <c:pt idx="1">
                  <c:v>26</c:v>
                </c:pt>
                <c:pt idx="2">
                  <c:v>13</c:v>
                </c:pt>
                <c:pt idx="3">
                  <c:v>15</c:v>
                </c:pt>
                <c:pt idx="4">
                  <c:v>9</c:v>
                </c:pt>
                <c:pt idx="5">
                  <c:v>16</c:v>
                </c:pt>
                <c:pt idx="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B5-45E3-95F1-4A76847676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delta Lкож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9.51</c:v>
                </c:pt>
                <c:pt idx="1">
                  <c:v>15.77</c:v>
                </c:pt>
                <c:pt idx="2">
                  <c:v>20.27</c:v>
                </c:pt>
                <c:pt idx="3">
                  <c:v>26.02</c:v>
                </c:pt>
                <c:pt idx="4">
                  <c:v>28.99</c:v>
                </c:pt>
                <c:pt idx="5">
                  <c:v>26.49</c:v>
                </c:pt>
                <c:pt idx="6">
                  <c:v>33.99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B5-45E3-95F1-4A768476761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delta Lгкл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12.62</c:v>
                </c:pt>
                <c:pt idx="1">
                  <c:v>12.5</c:v>
                </c:pt>
                <c:pt idx="2">
                  <c:v>13.99</c:v>
                </c:pt>
                <c:pt idx="3">
                  <c:v>17.52</c:v>
                </c:pt>
                <c:pt idx="4">
                  <c:v>24.45</c:v>
                </c:pt>
                <c:pt idx="5">
                  <c:v>19.54</c:v>
                </c:pt>
                <c:pt idx="6">
                  <c:v>27.91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B5-45E3-95F1-4A768476761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delta Lдсп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3.54</c:v>
                </c:pt>
                <c:pt idx="2">
                  <c:v>8.0399999999999991</c:v>
                </c:pt>
                <c:pt idx="3">
                  <c:v>12.03</c:v>
                </c:pt>
                <c:pt idx="4">
                  <c:v>17.04</c:v>
                </c:pt>
                <c:pt idx="5">
                  <c:v>23.46</c:v>
                </c:pt>
                <c:pt idx="6">
                  <c:v>14.04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7B5-45E3-95F1-4A768476761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delta Lзпм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1.0900000000000001</c:v>
                </c:pt>
                <c:pt idx="1">
                  <c:v>3.1640000000000001</c:v>
                </c:pt>
                <c:pt idx="2">
                  <c:v>9.7370000000000001</c:v>
                </c:pt>
                <c:pt idx="3">
                  <c:v>25.710899999999999</c:v>
                </c:pt>
                <c:pt idx="4">
                  <c:v>35.375300000000003</c:v>
                </c:pt>
                <c:pt idx="5">
                  <c:v>14.6493</c:v>
                </c:pt>
                <c:pt idx="6">
                  <c:v>16.871300000000002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7B5-45E3-95F1-4A768476761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dela Lп.ф.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3">
                  <c:v>17.284099999999999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7B5-45E3-95F1-4A768476761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dela Lп.дсп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cat>
          <c:val>
            <c:numRef>
              <c:f>Лист1!$H$2:$H$8</c:f>
              <c:numCache>
                <c:formatCode>General</c:formatCode>
                <c:ptCount val="7"/>
                <c:pt idx="3">
                  <c:v>18.863499999999998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7B5-45E3-95F1-4A7684767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52408"/>
        <c:axId val="445252736"/>
      </c:lineChart>
      <c:catAx>
        <c:axId val="445252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ru-RU"/>
                  <a:t>сг, 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252736"/>
        <c:crosses val="autoZero"/>
        <c:auto val="1"/>
        <c:lblAlgn val="ctr"/>
        <c:lblOffset val="100"/>
        <c:noMultiLvlLbl val="0"/>
      </c:catAx>
      <c:valAx>
        <c:axId val="44525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r>
                  <a:rPr lang="ru-RU"/>
                  <a:t>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252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65</cp:revision>
  <dcterms:created xsi:type="dcterms:W3CDTF">2020-11-17T20:31:00Z</dcterms:created>
  <dcterms:modified xsi:type="dcterms:W3CDTF">2020-11-18T01:58:00Z</dcterms:modified>
</cp:coreProperties>
</file>