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56" w:beforeLines="50" w:line="360" w:lineRule="auto"/>
        <w:jc w:val="left"/>
        <w:rPr>
          <w:rFonts w:hint="eastAsia" w:ascii="仿宋_GB2312" w:hAnsi="宋体" w:eastAsia="仿宋_GB2312"/>
          <w:b/>
          <w:kern w:val="0"/>
          <w:sz w:val="28"/>
          <w:szCs w:val="28"/>
        </w:rPr>
      </w:pPr>
      <w:r>
        <w:rPr>
          <w:rFonts w:hint="eastAsia" w:hAnsi="宋体"/>
          <w:b/>
          <w:kern w:val="0"/>
          <w:sz w:val="24"/>
        </w:rPr>
        <w:t>附件1：</w:t>
      </w:r>
    </w:p>
    <w:p>
      <w:pPr>
        <w:spacing w:after="312" w:afterLines="100" w:line="300" w:lineRule="auto"/>
        <w:jc w:val="center"/>
        <w:rPr>
          <w:rFonts w:hint="eastAsia" w:eastAsia="黑体"/>
          <w:sz w:val="32"/>
          <w:szCs w:val="32"/>
        </w:rPr>
      </w:pPr>
      <w:r>
        <w:rPr>
          <w:rFonts w:eastAsia="黑体"/>
          <w:sz w:val="32"/>
          <w:szCs w:val="32"/>
        </w:rPr>
        <w:t>硕士</w:t>
      </w:r>
      <w:r>
        <w:rPr>
          <w:rFonts w:hint="eastAsia" w:eastAsia="黑体"/>
          <w:sz w:val="32"/>
          <w:szCs w:val="32"/>
        </w:rPr>
        <w:t>研究生</w:t>
      </w:r>
      <w:r>
        <w:rPr>
          <w:rFonts w:eastAsia="黑体"/>
          <w:sz w:val="32"/>
          <w:szCs w:val="32"/>
        </w:rPr>
        <w:t>学位论文开题报告要求</w:t>
      </w:r>
    </w:p>
    <w:p>
      <w:pPr>
        <w:spacing w:line="500" w:lineRule="exact"/>
        <w:ind w:firstLine="480" w:firstLineChars="200"/>
        <w:rPr>
          <w:rFonts w:hint="eastAsia" w:ascii="仿宋_GB2312" w:hAnsi="仿宋_GB2312" w:eastAsia="仿宋_GB2312" w:cs="仿宋_GB2312"/>
          <w:sz w:val="24"/>
        </w:rPr>
      </w:pPr>
      <w:r>
        <w:rPr>
          <w:rFonts w:hint="eastAsia" w:ascii="仿宋_GB2312" w:hAnsi="仿宋_GB2312" w:eastAsia="仿宋_GB2312" w:cs="仿宋_GB2312"/>
          <w:sz w:val="24"/>
        </w:rPr>
        <w:t>硕士研究生学位论文开题报告是研究生培养过程的重要环节，关系到硕士研究生学位论文的质量。为了保证和促进硕士研究生按期完成开题报告，现将有关事项具体要求如下：</w:t>
      </w:r>
    </w:p>
    <w:p>
      <w:pPr>
        <w:pStyle w:val="2"/>
        <w:spacing w:before="312" w:beforeLines="100" w:after="156" w:afterLines="50"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一、开题报告的时间</w:t>
      </w:r>
    </w:p>
    <w:p>
      <w:pPr>
        <w:spacing w:line="500" w:lineRule="exact"/>
        <w:ind w:firstLine="480" w:firstLineChars="200"/>
        <w:rPr>
          <w:rFonts w:hint="eastAsia" w:ascii="仿宋_GB2312" w:hAnsi="仿宋_GB2312" w:eastAsia="仿宋_GB2312" w:cs="仿宋_GB2312"/>
          <w:sz w:val="24"/>
        </w:rPr>
      </w:pPr>
      <w:r>
        <w:rPr>
          <w:rFonts w:hint="eastAsia" w:ascii="仿宋_GB2312" w:hAnsi="仿宋_GB2312" w:eastAsia="仿宋_GB2312" w:cs="仿宋_GB2312"/>
          <w:sz w:val="24"/>
        </w:rPr>
        <w:t>硕士学位论文开题报告是研究生培养过程中的必要环节。一般在第三学期初在导师指导下由研究生本人拟订论文工作计划，第三学期末</w:t>
      </w:r>
      <w:bookmarkStart w:id="0" w:name="_GoBack"/>
      <w:bookmarkEnd w:id="0"/>
      <w:r>
        <w:rPr>
          <w:rFonts w:hint="eastAsia" w:ascii="仿宋_GB2312" w:hAnsi="仿宋_GB2312" w:eastAsia="仿宋_GB2312" w:cs="仿宋_GB2312"/>
          <w:sz w:val="24"/>
        </w:rPr>
        <w:t>在文献阅读、科研调研的基础上递交选题报告，进行论文开题。</w:t>
      </w:r>
    </w:p>
    <w:p>
      <w:pPr>
        <w:pStyle w:val="2"/>
        <w:spacing w:before="312" w:beforeLines="100" w:after="156" w:afterLines="50"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二、选题的原则</w:t>
      </w:r>
    </w:p>
    <w:p>
      <w:pPr>
        <w:pStyle w:val="2"/>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选题是否在本领域具有创新性、前沿性，在考虑课题的学术意义和实用价值的同时，最好与国家现代化建设迫切需要解决的问题密切配合，尽量结合专业方向和导师的科研课题，结合导师的特长，落实科研项目、科研条件。</w:t>
      </w:r>
    </w:p>
    <w:p>
      <w:pPr>
        <w:pStyle w:val="2"/>
        <w:spacing w:before="312" w:beforeLines="100" w:after="156" w:afterLines="50"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三、开题报告的内容</w:t>
      </w:r>
    </w:p>
    <w:p>
      <w:pPr>
        <w:pStyle w:val="2"/>
        <w:numPr>
          <w:ilvl w:val="0"/>
          <w:numId w:val="1"/>
        </w:num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所选课题的目的和意义；</w:t>
      </w:r>
    </w:p>
    <w:p>
      <w:pPr>
        <w:pStyle w:val="2"/>
        <w:numPr>
          <w:ilvl w:val="0"/>
          <w:numId w:val="1"/>
        </w:num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本选题的国内外动向、发展状况 </w:t>
      </w:r>
    </w:p>
    <w:p>
      <w:pPr>
        <w:pStyle w:val="2"/>
        <w:numPr>
          <w:ilvl w:val="0"/>
          <w:numId w:val="1"/>
        </w:num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本选题研究的主要内容和重点及可行性分析；</w:t>
      </w:r>
    </w:p>
    <w:p>
      <w:pPr>
        <w:pStyle w:val="2"/>
        <w:numPr>
          <w:ilvl w:val="0"/>
          <w:numId w:val="1"/>
        </w:num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研究条件或实验条件；</w:t>
      </w:r>
    </w:p>
    <w:p>
      <w:pPr>
        <w:pStyle w:val="2"/>
        <w:numPr>
          <w:ilvl w:val="0"/>
          <w:numId w:val="1"/>
        </w:num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预期达到的水平和目标；</w:t>
      </w:r>
    </w:p>
    <w:p>
      <w:pPr>
        <w:pStyle w:val="2"/>
        <w:numPr>
          <w:ilvl w:val="0"/>
          <w:numId w:val="1"/>
        </w:num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难点和创新之处； </w:t>
      </w:r>
    </w:p>
    <w:p>
      <w:pPr>
        <w:pStyle w:val="2"/>
        <w:numPr>
          <w:ilvl w:val="0"/>
          <w:numId w:val="1"/>
        </w:num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存在的主要问题和技术关键； </w:t>
      </w:r>
    </w:p>
    <w:p>
      <w:pPr>
        <w:pStyle w:val="2"/>
        <w:numPr>
          <w:ilvl w:val="0"/>
          <w:numId w:val="1"/>
        </w:num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研究计划进度表；</w:t>
      </w:r>
    </w:p>
    <w:p>
      <w:pPr>
        <w:pStyle w:val="2"/>
        <w:numPr>
          <w:ilvl w:val="0"/>
          <w:numId w:val="1"/>
        </w:num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参考文献等。</w:t>
      </w:r>
    </w:p>
    <w:p>
      <w:pPr>
        <w:spacing w:before="312" w:beforeLines="100" w:after="156" w:afterLines="50" w:line="500" w:lineRule="exact"/>
        <w:ind w:firstLine="480" w:firstLineChars="200"/>
        <w:rPr>
          <w:rFonts w:hint="eastAsia" w:ascii="仿宋_GB2312" w:hAnsi="仿宋_GB2312" w:eastAsia="仿宋_GB2312" w:cs="仿宋_GB2312"/>
          <w:sz w:val="24"/>
        </w:rPr>
      </w:pPr>
      <w:r>
        <w:rPr>
          <w:rFonts w:hint="eastAsia" w:ascii="仿宋_GB2312" w:hAnsi="仿宋_GB2312" w:eastAsia="仿宋_GB2312" w:cs="仿宋_GB2312"/>
          <w:sz w:val="24"/>
        </w:rPr>
        <w:t>四、开题报告的具体要求</w:t>
      </w:r>
    </w:p>
    <w:p>
      <w:pPr>
        <w:pStyle w:val="2"/>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选题论证报告之前，各研究生须认真阅读文献资料，其中要有一定的外文资料，文献综述需反映研究生对研究选题的认识水平和理解能力，应对研究选题有较全面的历史回顾，对国内外研究动态有较系统、深刻的陈述，并就研究出发点阐述立论依据。</w:t>
      </w:r>
    </w:p>
    <w:p>
      <w:pPr>
        <w:pStyle w:val="2"/>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2、选题必须符合学科专业和研究方向的特点，要求说明背景、来源（包括来自何种科研项目）及意义，要有一定理论和学术深度，不宜过大、过空。</w:t>
      </w:r>
    </w:p>
    <w:p>
      <w:pPr>
        <w:pStyle w:val="2"/>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3、研究内容需说明研究框架、研究方法、研究思路，各部分的主要内容和逻辑关系。</w:t>
      </w:r>
    </w:p>
    <w:p>
      <w:pPr>
        <w:pStyle w:val="2"/>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4、论文工作的重点与难点要予以说明，并提出相应的解决措施。</w:t>
      </w:r>
    </w:p>
    <w:p>
      <w:pPr>
        <w:pStyle w:val="2"/>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5、论文应有一定的工作量及研究计划进度表，用于论文撰写的时间不得少于一年。</w:t>
      </w:r>
    </w:p>
    <w:p>
      <w:pPr>
        <w:pStyle w:val="2"/>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6、应表明研究工作的预期成果和创新点。</w:t>
      </w:r>
    </w:p>
    <w:p>
      <w:pPr>
        <w:pStyle w:val="2"/>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7、列出主要参考文献。</w:t>
      </w:r>
    </w:p>
    <w:p>
      <w:pPr>
        <w:spacing w:before="312" w:beforeLines="100" w:after="156" w:afterLines="50" w:line="500" w:lineRule="exact"/>
        <w:rPr>
          <w:rFonts w:hint="eastAsia" w:ascii="仿宋_GB2312" w:hAnsi="仿宋_GB2312" w:eastAsia="仿宋_GB2312" w:cs="仿宋_GB2312"/>
          <w:color w:val="000000"/>
          <w:sz w:val="24"/>
        </w:rPr>
      </w:pPr>
      <w:r>
        <w:rPr>
          <w:rFonts w:hint="eastAsia" w:ascii="仿宋_GB2312" w:hAnsi="仿宋_GB2312" w:eastAsia="仿宋_GB2312" w:cs="仿宋_GB2312"/>
          <w:sz w:val="24"/>
        </w:rPr>
        <w:t>五、</w:t>
      </w:r>
      <w:r>
        <w:rPr>
          <w:rFonts w:hint="eastAsia" w:ascii="仿宋_GB2312" w:hAnsi="仿宋_GB2312" w:eastAsia="仿宋_GB2312" w:cs="仿宋_GB2312"/>
          <w:color w:val="000000"/>
          <w:sz w:val="24"/>
        </w:rPr>
        <w:t>组织与管理</w:t>
      </w:r>
    </w:p>
    <w:p>
      <w:pPr>
        <w:pStyle w:val="2"/>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1、研究生应按照“开题报告的内容”逐项撰写</w:t>
      </w:r>
      <w:r>
        <w:rPr>
          <w:rFonts w:hint="eastAsia" w:ascii="仿宋_GB2312" w:hAnsi="仿宋_GB2312" w:eastAsia="仿宋_GB2312" w:cs="仿宋_GB2312"/>
          <w:b/>
          <w:sz w:val="24"/>
          <w:szCs w:val="24"/>
          <w:u w:val="single"/>
        </w:rPr>
        <w:t>不少于3000字</w:t>
      </w:r>
      <w:r>
        <w:rPr>
          <w:rFonts w:hint="eastAsia" w:ascii="仿宋_GB2312" w:hAnsi="仿宋_GB2312" w:eastAsia="仿宋_GB2312" w:cs="仿宋_GB2312"/>
          <w:sz w:val="24"/>
          <w:szCs w:val="24"/>
        </w:rPr>
        <w:t>的开题报告，开题报告的撰写须按《西安邮电大学学位论文开题报告基本文字规范》。</w:t>
      </w:r>
    </w:p>
    <w:p>
      <w:pPr>
        <w:pStyle w:val="2"/>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w:t>
      </w:r>
      <w:r>
        <w:rPr>
          <w:rFonts w:hint="eastAsia" w:ascii="仿宋_GB2312" w:hAnsi="仿宋_GB2312" w:eastAsia="仿宋_GB2312" w:cs="仿宋_GB2312"/>
          <w:kern w:val="0"/>
          <w:sz w:val="24"/>
        </w:rPr>
        <w:t>开题报告评议专家组一般由三到五名副高及以上职称的专家组成。</w:t>
      </w:r>
    </w:p>
    <w:p>
      <w:pPr>
        <w:pStyle w:val="2"/>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3、由研究生导师召开开题答辩会议，由研究生在会议上作开题陈述，由导师、教研室及其他相关专业人员组成开题小组对该生的论文选题进行集体评议。</w:t>
      </w:r>
    </w:p>
    <w:p>
      <w:pPr>
        <w:widowControl/>
        <w:spacing w:line="500" w:lineRule="exact"/>
        <w:ind w:firstLine="480" w:firstLineChars="200"/>
        <w:jc w:val="left"/>
        <w:rPr>
          <w:rFonts w:hint="eastAsia" w:ascii="仿宋_GB2312" w:hAnsi="仿宋_GB2312" w:eastAsia="仿宋_GB2312" w:cs="仿宋_GB2312"/>
          <w:kern w:val="0"/>
          <w:sz w:val="24"/>
        </w:rPr>
      </w:pPr>
      <w:r>
        <w:rPr>
          <w:rFonts w:hint="eastAsia" w:ascii="仿宋_GB2312" w:hAnsi="仿宋_GB2312" w:eastAsia="仿宋_GB2312" w:cs="仿宋_GB2312"/>
          <w:sz w:val="24"/>
        </w:rPr>
        <w:t>4、</w:t>
      </w:r>
      <w:r>
        <w:rPr>
          <w:rFonts w:hint="eastAsia" w:ascii="仿宋_GB2312" w:hAnsi="仿宋_GB2312" w:eastAsia="仿宋_GB2312" w:cs="仿宋_GB2312"/>
          <w:kern w:val="0"/>
          <w:sz w:val="24"/>
        </w:rPr>
        <w:t>开题报告通过者，</w:t>
      </w:r>
      <w:r>
        <w:rPr>
          <w:rFonts w:hint="eastAsia" w:ascii="仿宋_GB2312" w:hAnsi="仿宋_GB2312" w:eastAsia="仿宋_GB2312" w:cs="仿宋_GB2312"/>
          <w:sz w:val="24"/>
        </w:rPr>
        <w:t>会后</w:t>
      </w:r>
      <w:r>
        <w:rPr>
          <w:rFonts w:hint="eastAsia" w:ascii="仿宋_GB2312" w:hAnsi="仿宋_GB2312" w:eastAsia="仿宋_GB2312" w:cs="仿宋_GB2312"/>
          <w:kern w:val="0"/>
          <w:sz w:val="24"/>
        </w:rPr>
        <w:t>根据专家组提出的建议，对开题报告进行完善，并将完善后的</w:t>
      </w:r>
      <w:r>
        <w:rPr>
          <w:rFonts w:hint="eastAsia" w:ascii="仿宋_GB2312" w:hAnsi="仿宋_GB2312" w:eastAsia="仿宋_GB2312" w:cs="仿宋_GB2312"/>
          <w:b/>
          <w:kern w:val="0"/>
          <w:sz w:val="24"/>
          <w:u w:val="single"/>
        </w:rPr>
        <w:t>《硕士学位论文开题报告》</w:t>
      </w:r>
      <w:r>
        <w:rPr>
          <w:rFonts w:hint="eastAsia" w:ascii="仿宋_GB2312" w:hAnsi="仿宋_GB2312" w:eastAsia="仿宋_GB2312" w:cs="仿宋_GB2312"/>
          <w:kern w:val="0"/>
          <w:sz w:val="24"/>
        </w:rPr>
        <w:t>和</w:t>
      </w:r>
      <w:r>
        <w:rPr>
          <w:rFonts w:hint="eastAsia" w:ascii="仿宋_GB2312" w:hAnsi="仿宋_GB2312" w:eastAsia="仿宋_GB2312" w:cs="仿宋_GB2312"/>
          <w:b/>
          <w:sz w:val="24"/>
          <w:u w:val="single"/>
        </w:rPr>
        <w:t>《硕士研究生学位论文开题报告审核表》（一式一份）</w:t>
      </w:r>
      <w:r>
        <w:rPr>
          <w:rFonts w:hint="eastAsia" w:ascii="仿宋_GB2312" w:hAnsi="仿宋_GB2312" w:eastAsia="仿宋_GB2312" w:cs="仿宋_GB2312"/>
          <w:kern w:val="0"/>
          <w:sz w:val="24"/>
        </w:rPr>
        <w:t>交</w:t>
      </w:r>
      <w:r>
        <w:rPr>
          <w:rFonts w:hint="eastAsia" w:ascii="仿宋_GB2312" w:hAnsi="仿宋_GB2312" w:eastAsia="仿宋_GB2312" w:cs="仿宋_GB2312"/>
          <w:kern w:val="0"/>
          <w:sz w:val="24"/>
          <w:lang w:eastAsia="zh-CN"/>
        </w:rPr>
        <w:t>各学院留存</w:t>
      </w:r>
      <w:r>
        <w:rPr>
          <w:rFonts w:hint="eastAsia" w:ascii="仿宋_GB2312" w:hAnsi="仿宋_GB2312" w:eastAsia="仿宋_GB2312" w:cs="仿宋_GB2312"/>
          <w:kern w:val="0"/>
          <w:sz w:val="24"/>
        </w:rPr>
        <w:t>。</w:t>
      </w:r>
    </w:p>
    <w:p>
      <w:pPr>
        <w:widowControl/>
        <w:spacing w:line="500" w:lineRule="exact"/>
        <w:ind w:firstLine="480" w:firstLineChars="200"/>
        <w:jc w:val="left"/>
        <w:rPr>
          <w:rFonts w:hint="eastAsia" w:ascii="仿宋_GB2312" w:hAnsi="仿宋_GB2312" w:eastAsia="仿宋_GB2312" w:cs="仿宋_GB2312"/>
          <w:kern w:val="0"/>
          <w:sz w:val="24"/>
        </w:rPr>
      </w:pPr>
      <w:r>
        <w:rPr>
          <w:rFonts w:hint="eastAsia" w:ascii="仿宋_GB2312" w:hAnsi="仿宋_GB2312" w:eastAsia="仿宋_GB2312" w:cs="仿宋_GB2312"/>
          <w:kern w:val="0"/>
          <w:sz w:val="24"/>
        </w:rPr>
        <w:t>5、开题报告不通过者，应重新选题并由所在学科点和导师在一个月内重新组织开题。</w:t>
      </w:r>
    </w:p>
    <w:p>
      <w:pPr>
        <w:widowControl/>
        <w:spacing w:line="500" w:lineRule="exact"/>
        <w:ind w:firstLine="480" w:firstLineChars="200"/>
        <w:jc w:val="left"/>
        <w:rPr>
          <w:rFonts w:hint="eastAsia" w:ascii="仿宋_GB2312" w:hAnsi="仿宋_GB2312" w:eastAsia="仿宋_GB2312" w:cs="仿宋_GB2312"/>
          <w:kern w:val="0"/>
          <w:sz w:val="24"/>
        </w:rPr>
      </w:pPr>
      <w:r>
        <w:rPr>
          <w:rFonts w:hint="eastAsia" w:ascii="仿宋_GB2312" w:hAnsi="仿宋_GB2312" w:eastAsia="仿宋_GB2312" w:cs="仿宋_GB2312"/>
          <w:kern w:val="0"/>
          <w:sz w:val="24"/>
        </w:rPr>
        <w:t>6、开题答辩会议需向全院公开，鼓励相关、相近专业老师和学生参加。</w:t>
      </w:r>
    </w:p>
    <w:p>
      <w:pPr>
        <w:rPr>
          <w:rFonts w:hint="eastAsia" w:ascii="仿宋_GB2312" w:hAnsi="仿宋_GB2312" w:eastAsia="仿宋_GB2312" w:cs="仿宋_GB231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52FFB"/>
    <w:multiLevelType w:val="multilevel"/>
    <w:tmpl w:val="6F752FFB"/>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580ED9"/>
    <w:rsid w:val="552E011C"/>
    <w:rsid w:val="63E10CAC"/>
    <w:rsid w:val="6A6F60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王雨佳</cp:lastModifiedBy>
  <dcterms:modified xsi:type="dcterms:W3CDTF">2019-07-15T02:55:27Z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