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Arial" w:cs="Arial" w:eastAsia="Arial" w:hAnsi="Arial"/>
          <w:b/>
          <w:bCs/>
          <w:color w:val="1A6B3C"/>
          <w:sz w:val="72"/>
          <w:szCs w:val="72"/>
        </w:rPr>
        <w:t xml:space="preserve">PALMWATCH</w:t>
      </w:r>
    </w:p>
    <w:p>
      <w:pPr>
        <w:spacing w:after="60"/>
        <w:jc w:val="center"/>
      </w:pPr>
      <w:r>
        <w:rPr>
          <w:rFonts w:ascii="Arial" w:cs="Arial" w:eastAsia="Arial" w:hAnsi="Arial"/>
          <w:i/>
          <w:iCs/>
          <w:color w:val="0F6E56"/>
          <w:sz w:val="30"/>
          <w:szCs w:val="30"/>
        </w:rPr>
        <w:t xml:space="preserve">Precision Intelligence untuk Perkebunan Kelapa Sawit</w:t>
      </w:r>
    </w:p>
    <w:p>
      <w:pPr>
        <w:spacing w:after="400"/>
        <w:jc w:val="center"/>
      </w:pPr>
      <w:r>
        <w:rPr>
          <w:rFonts w:ascii="Arial" w:cs="Arial" w:eastAsia="Arial" w:hAnsi="Arial"/>
          <w:color w:val="444441"/>
          <w:sz w:val="24"/>
          <w:szCs w:val="24"/>
        </w:rPr>
        <w:t xml:space="preserve">Blueprint Konsep Startup  ·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6026"/>
        <w:gridCol w:w="1500"/>
      </w:tblGrid>
      <w:tr>
        <w:tc>
          <w:tcPr>
            <w:tcW w:type="dxa" w:w="1500"/>
            <w:tcBorders>
              <w:top w:val="none" w:color="FFFFFF" w:sz="0"/>
              <w:left w:val="none" w:color="FFFFFF" w:sz="0"/>
              <w:bottom w:val="none" w:color="FFFFFF" w:sz="0"/>
              <w:right w:val="none" w:color="FFFFFF" w:sz="0"/>
            </w:tcBorders>
          </w:tcPr>
          <w:p>
            <w:r>
              <w:t xml:space="preserve"/>
            </w:r>
          </w:p>
        </w:tc>
        <w:tc>
          <w:tcPr>
            <w:tcW w:type="dxa" w:w="6026"/>
            <w:tcBorders>
              <w:top w:val="none" w:color="FFFFFF" w:sz="0"/>
              <w:left w:val="none" w:color="FFFFFF" w:sz="0"/>
              <w:bottom w:val="single" w:color="1A6B3C" w:sz="12"/>
              <w:right w:val="none" w:color="FFFFFF" w:sz="0"/>
            </w:tcBorders>
          </w:tcPr>
          <w:p>
            <w:r>
              <w:t xml:space="preserve"/>
            </w:r>
          </w:p>
        </w:tc>
        <w:tc>
          <w:tcPr>
            <w:tcW w:type="dxa" w:w="1500"/>
            <w:tcBorders>
              <w:top w:val="none" w:color="FFFFFF" w:sz="0"/>
              <w:left w:val="none" w:color="FFFFFF" w:sz="0"/>
              <w:bottom w:val="none" w:color="FFFFFF" w:sz="0"/>
              <w:right w:val="none" w:color="FFFFFF" w:sz="0"/>
            </w:tcBorders>
          </w:tcPr>
          <w:p>
            <w:r>
              <w:t xml:space="preserve"/>
            </w:r>
          </w:p>
        </w:tc>
      </w:tr>
    </w:tbl>
    <w:p>
      <w:r>
        <w:t xml:space="preserve"/>
      </w:r>
    </w:p>
    <w:p>
      <w:r>
        <w:t xml:space="preserve"/>
      </w:r>
    </w:p>
    <w:p>
      <w:pPr>
        <w:spacing w:after="80"/>
        <w:jc w:val="center"/>
      </w:pPr>
      <w:r>
        <w:rPr>
          <w:rFonts w:ascii="Arial" w:cs="Arial" w:eastAsia="Arial" w:hAnsi="Arial"/>
          <w:color w:val="1A1A18"/>
          <w:sz w:val="24"/>
          <w:szCs w:val="24"/>
        </w:rPr>
        <w:t xml:space="preserve">Monitoring presisi produktivitas &amp; analisis fisik kelapa sawit</w:t>
      </w:r>
    </w:p>
    <w:p>
      <w:pPr>
        <w:spacing w:after="40"/>
        <w:jc w:val="center"/>
      </w:pPr>
      <w:r>
        <w:rPr>
          <w:rFonts w:ascii="Arial" w:cs="Arial" w:eastAsia="Arial" w:hAnsi="Arial"/>
          <w:color w:val="444441"/>
          <w:sz w:val="22"/>
          <w:szCs w:val="22"/>
        </w:rPr>
        <w:t xml:space="preserve">berbasis Web App · Visual SIG · Data Lapangan · Intervensi Berbasis Bukti</w:t>
      </w:r>
    </w:p>
    <w:p>
      <w:r>
        <w:t xml:space="preserve"/>
      </w:r>
    </w:p>
    <w:p>
      <w:r>
        <w:t xml:space="preserve"/>
      </w:r>
    </w:p>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1. Ringkasan Eksekutif</w:t>
      </w:r>
    </w:p>
    <w:p>
      <w:pPr>
        <w:spacing w:after="120"/>
      </w:pPr>
      <w:r>
        <w:rPr>
          <w:rFonts w:ascii="Arial" w:cs="Arial" w:eastAsia="Arial" w:hAnsi="Arial"/>
          <w:color w:val="1A1A18"/>
          <w:sz w:val="22"/>
          <w:szCs w:val="22"/>
        </w:rPr>
        <w:t xml:space="preserve">PalmWatch adalah platform SaaS berbasis web yang mengintegrasikan data penginderaan jauh (PJ), data open source temporal, dan data lapangan untuk menghasilkan rekomendasi intervensi yang presisi dan berbasis bukti pada perkebunan kelapa sawit. Berbeda dari solusi monitoring konvensional, PalmWatch memvalidasi hubungan statistik antara kondisi biofisik dan hasil panen sebelum merekomendasikan tindakan, sehingga setiap intervensi memiliki justifikasi ROI yang terukur.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AECE7" w:val="clear"/>
            <w:tcMar>
              <w:top w:type="dxa" w:w="160"/>
              <w:left w:type="dxa" w:w="240"/>
              <w:bottom w:type="dxa" w:w="160"/>
              <w:right w:type="dxa" w:w="240"/>
            </w:tcMar>
          </w:tcPr>
          <w:p>
            <w:pPr>
              <w:spacing w:after="40"/>
            </w:pPr>
            <w:r>
              <w:rPr>
                <w:rFonts w:ascii="Arial" w:cs="Arial" w:eastAsia="Arial" w:hAnsi="Arial"/>
                <w:b/>
                <w:bCs/>
                <w:color w:val="993C1D"/>
                <w:sz w:val="24"/>
                <w:szCs w:val="24"/>
              </w:rPr>
              <w:t xml:space="preserve">Masalah utama yang diselesaikan</w:t>
            </w:r>
          </w:p>
          <w:p>
            <w:r>
              <w:rPr>
                <w:rFonts w:ascii="Arial" w:cs="Arial" w:eastAsia="Arial" w:hAnsi="Arial"/>
                <w:color w:val="993C1D"/>
                <w:sz w:val="20"/>
                <w:szCs w:val="20"/>
              </w:rPr>
              <w:t xml:space="preserve">Perusahaan dan petani sawit tidak dapat mengetahui MENGAPA produktivitas satu blok lebih rendah dari blok lain, dan tidak tahu KAPAN serta BAGAIMANA cara intervensinya. Monitoring manual mahal, lambat, dan tidak berskala.</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8F5EE" w:val="clear"/>
            <w:tcMar>
              <w:top w:type="dxa" w:w="160"/>
              <w:left w:type="dxa" w:w="240"/>
              <w:bottom w:type="dxa" w:w="160"/>
              <w:right w:type="dxa" w:w="240"/>
            </w:tcMar>
          </w:tcPr>
          <w:p>
            <w:pPr>
              <w:spacing w:after="40"/>
            </w:pPr>
            <w:r>
              <w:rPr>
                <w:rFonts w:ascii="Arial" w:cs="Arial" w:eastAsia="Arial" w:hAnsi="Arial"/>
                <w:b/>
                <w:bCs/>
                <w:color w:val="0F6E56"/>
                <w:sz w:val="24"/>
                <w:szCs w:val="24"/>
              </w:rPr>
              <w:t xml:space="preserve">Solusi PalmWatch</w:t>
            </w:r>
          </w:p>
          <w:p>
            <w:r>
              <w:rPr>
                <w:rFonts w:ascii="Arial" w:cs="Arial" w:eastAsia="Arial" w:hAnsi="Arial"/>
                <w:color w:val="0F6E56"/>
                <w:sz w:val="20"/>
                <w:szCs w:val="20"/>
              </w:rPr>
              <w:t xml:space="preserve">Sistem tiga lapis: (1) layer PJ + open source sebagai sensor permanen, (2) validasi statistik regresi spasial, (3) rekomendasi intervensi berbasis overlay poligon dengan prediksi lag effect. Semua tersaji di dashboard web SIG yang dapat diakses mandiri.</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2. Visi &amp; Misi</w:t>
      </w:r>
    </w:p>
    <w:p>
      <w:pPr>
        <w:pStyle w:val="Heading2"/>
        <w:spacing w:after="80" w:before="260"/>
      </w:pPr>
      <w:r>
        <w:rPr>
          <w:rFonts w:ascii="Arial" w:cs="Arial" w:eastAsia="Arial" w:hAnsi="Arial"/>
          <w:b/>
          <w:bCs/>
          <w:color w:val="0F6E56"/>
          <w:sz w:val="26"/>
          <w:szCs w:val="26"/>
        </w:rPr>
        <w:t xml:space="preserve">2.1 Visi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6F1FB" w:val="clear"/>
            <w:tcMar>
              <w:top w:type="dxa" w:w="160"/>
              <w:left w:type="dxa" w:w="240"/>
              <w:bottom w:type="dxa" w:w="160"/>
              <w:right w:type="dxa" w:w="240"/>
            </w:tcMar>
          </w:tcPr>
          <w:p>
            <w:pPr>
              <w:spacing w:after="40"/>
            </w:pPr>
            <w:r>
              <w:rPr>
                <w:rFonts w:ascii="Arial" w:cs="Arial" w:eastAsia="Arial" w:hAnsi="Arial"/>
                <w:b/>
                <w:bCs/>
                <w:color w:val="185FA5"/>
                <w:sz w:val="24"/>
                <w:szCs w:val="24"/>
              </w:rPr>
              <w:t xml:space="preserve">Visi 2030</w:t>
            </w:r>
          </w:p>
          <w:p>
            <w:r>
              <w:rPr>
                <w:rFonts w:ascii="Arial" w:cs="Arial" w:eastAsia="Arial" w:hAnsi="Arial"/>
                <w:color w:val="185FA5"/>
                <w:sz w:val="20"/>
                <w:szCs w:val="20"/>
              </w:rPr>
              <w:t xml:space="preserve">Menjadi platform intelligence pertanian sawit terdepan di Asia Tenggara yang memungkinkan setiap hektar perkebunan dikelola berdasarkan data, bukan intuisi. Produktivitas meningkat seiring pengurangan input yang terbuang.</w:t>
            </w:r>
          </w:p>
        </w:tc>
      </w:tr>
    </w:tbl>
    <w:p>
      <w:r>
        <w:t xml:space="preserve"/>
      </w:r>
    </w:p>
    <w:p>
      <w:pPr>
        <w:pStyle w:val="Heading2"/>
        <w:spacing w:after="80" w:before="260"/>
      </w:pPr>
      <w:r>
        <w:rPr>
          <w:rFonts w:ascii="Arial" w:cs="Arial" w:eastAsia="Arial" w:hAnsi="Arial"/>
          <w:b/>
          <w:bCs/>
          <w:color w:val="0F6E56"/>
          <w:sz w:val="26"/>
          <w:szCs w:val="26"/>
        </w:rPr>
        <w:t xml:space="preserve">2.2 Misi</w:t>
      </w:r>
    </w:p>
    <w:p>
      <w:pPr>
        <w:pStyle w:val="ListParagraph"/>
        <w:numPr>
          <w:ilvl w:val="0"/>
          <w:numId w:val="2"/>
        </w:numPr>
        <w:spacing w:after="80"/>
      </w:pPr>
      <w:r>
        <w:rPr>
          <w:rFonts w:ascii="Arial" w:cs="Arial" w:eastAsia="Arial" w:hAnsi="Arial"/>
          <w:color w:val="1A1A18"/>
          <w:sz w:val="22"/>
          <w:szCs w:val="22"/>
        </w:rPr>
        <w:t xml:space="preserve">Menyediakan monitoring kondisi tanaman sawit secara presisi, terjangkau, dan berkelanjutan melalui penginderaan jauh dan data terbuka.</w:t>
      </w:r>
    </w:p>
    <w:p>
      <w:pPr>
        <w:pStyle w:val="ListParagraph"/>
        <w:numPr>
          <w:ilvl w:val="0"/>
          <w:numId w:val="2"/>
        </w:numPr>
        <w:spacing w:after="80"/>
      </w:pPr>
      <w:r>
        <w:rPr>
          <w:rFonts w:ascii="Arial" w:cs="Arial" w:eastAsia="Arial" w:hAnsi="Arial"/>
          <w:color w:val="1A1A18"/>
          <w:sz w:val="22"/>
          <w:szCs w:val="22"/>
        </w:rPr>
        <w:t xml:space="preserve">Memvalidasi secara ilmiah hubungan antara parameter biofisik dan produktivitas panen sebelum merekomendasikan intervensi.</w:t>
      </w:r>
    </w:p>
    <w:p>
      <w:pPr>
        <w:pStyle w:val="ListParagraph"/>
        <w:numPr>
          <w:ilvl w:val="0"/>
          <w:numId w:val="2"/>
        </w:numPr>
        <w:spacing w:after="80"/>
      </w:pPr>
      <w:r>
        <w:rPr>
          <w:rFonts w:ascii="Arial" w:cs="Arial" w:eastAsia="Arial" w:hAnsi="Arial"/>
          <w:color w:val="1A1A18"/>
          <w:sz w:val="22"/>
          <w:szCs w:val="22"/>
        </w:rPr>
        <w:t xml:space="preserve">Memberdayakan petani dan manajer kebun dengan rekomendasi yang spesifik per lokasi, terukur, dan disertai prediksi waktu dampak.</w:t>
      </w:r>
    </w:p>
    <w:p>
      <w:pPr>
        <w:pStyle w:val="ListParagraph"/>
        <w:numPr>
          <w:ilvl w:val="0"/>
          <w:numId w:val="2"/>
        </w:numPr>
        <w:spacing w:after="80"/>
      </w:pPr>
      <w:r>
        <w:rPr>
          <w:rFonts w:ascii="Arial" w:cs="Arial" w:eastAsia="Arial" w:hAnsi="Arial"/>
          <w:color w:val="1A1A18"/>
          <w:sz w:val="22"/>
          <w:szCs w:val="22"/>
        </w:rPr>
        <w:t xml:space="preserve">Membangun ekosistem data pertanian sawit yang dapat digunakan untuk penelitian, kebijakan, dan sertifikasi keberlanjutan.</w:t>
      </w:r>
    </w:p>
    <w:p>
      <w:r>
        <w:t xml:space="preserve"/>
      </w:r>
    </w:p>
    <w:p>
      <w:pPr>
        <w:pStyle w:val="Heading2"/>
        <w:spacing w:after="80" w:before="260"/>
      </w:pPr>
      <w:r>
        <w:rPr>
          <w:rFonts w:ascii="Arial" w:cs="Arial" w:eastAsia="Arial" w:hAnsi="Arial"/>
          <w:b/>
          <w:bCs/>
          <w:color w:val="0F6E56"/>
          <w:sz w:val="26"/>
          <w:szCs w:val="26"/>
        </w:rPr>
        <w:t xml:space="preserve">2.3 Nilai Inti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DDDDDD" w:sz="1"/>
              <w:left w:val="single" w:color="DDDDDD" w:sz="1"/>
              <w:bottom w:val="single" w:color="DDDDDD" w:sz="1"/>
              <w:right w:val="single" w:color="DDDDDD" w:sz="1"/>
            </w:tcBorders>
            <w:shd w:fill="185FA5" w:val="clear"/>
            <w:tcMar>
              <w:top w:type="dxa" w:w="100"/>
              <w:left w:type="dxa" w:w="140"/>
              <w:bottom w:type="dxa" w:w="100"/>
              <w:right w:type="dxa" w:w="140"/>
            </w:tcMar>
          </w:tcPr>
          <w:p>
            <w:r>
              <w:rPr>
                <w:rFonts w:ascii="Arial" w:cs="Arial" w:eastAsia="Arial" w:hAnsi="Arial"/>
                <w:b/>
                <w:bCs/>
                <w:color w:val="FFFFFF"/>
                <w:sz w:val="20"/>
                <w:szCs w:val="20"/>
              </w:rPr>
              <w:t xml:space="preserve">Nilai</w:t>
            </w:r>
          </w:p>
        </w:tc>
        <w:tc>
          <w:tcPr>
            <w:tcW w:type="dxa" w:w="2800"/>
            <w:tcBorders>
              <w:top w:val="single" w:color="DDDDDD" w:sz="1"/>
              <w:left w:val="single" w:color="DDDDDD" w:sz="1"/>
              <w:bottom w:val="single" w:color="DDDDDD" w:sz="1"/>
              <w:right w:val="single" w:color="DDDDDD" w:sz="1"/>
            </w:tcBorders>
            <w:shd w:fill="185FA5" w:val="clear"/>
            <w:tcMar>
              <w:top w:type="dxa" w:w="100"/>
              <w:left w:type="dxa" w:w="140"/>
              <w:bottom w:type="dxa" w:w="100"/>
              <w:right w:type="dxa" w:w="140"/>
            </w:tcMar>
          </w:tcPr>
          <w:p>
            <w:r>
              <w:rPr>
                <w:rFonts w:ascii="Arial" w:cs="Arial" w:eastAsia="Arial" w:hAnsi="Arial"/>
                <w:b/>
                <w:bCs/>
                <w:color w:val="FFFFFF"/>
                <w:sz w:val="20"/>
                <w:szCs w:val="20"/>
              </w:rPr>
              <w:t xml:space="preserve">Definisi</w:t>
            </w:r>
          </w:p>
        </w:tc>
        <w:tc>
          <w:tcPr>
            <w:tcW w:type="dxa" w:w="3426"/>
            <w:tcBorders>
              <w:top w:val="single" w:color="DDDDDD" w:sz="1"/>
              <w:left w:val="single" w:color="DDDDDD" w:sz="1"/>
              <w:bottom w:val="single" w:color="DDDDDD" w:sz="1"/>
              <w:right w:val="single" w:color="DDDDDD" w:sz="1"/>
            </w:tcBorders>
            <w:shd w:fill="185FA5" w:val="clear"/>
            <w:tcMar>
              <w:top w:type="dxa" w:w="100"/>
              <w:left w:type="dxa" w:w="140"/>
              <w:bottom w:type="dxa" w:w="100"/>
              <w:right w:type="dxa" w:w="140"/>
            </w:tcMar>
          </w:tcPr>
          <w:p>
            <w:r>
              <w:rPr>
                <w:rFonts w:ascii="Arial" w:cs="Arial" w:eastAsia="Arial" w:hAnsi="Arial"/>
                <w:b/>
                <w:bCs/>
                <w:color w:val="FFFFFF"/>
                <w:sz w:val="20"/>
                <w:szCs w:val="20"/>
              </w:rPr>
              <w:t xml:space="preserve">Wujud dalam Produk</w:t>
            </w:r>
          </w:p>
        </w:tc>
      </w:tr>
      <w:tr>
        <w:trPr>
          <w:tblHeader w:val="false"/>
        </w:trPr>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Berbasis bukti</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Rekomendasi hanya keluar setelah validasi statistik</w:t>
            </w:r>
          </w:p>
        </w:tc>
        <w:tc>
          <w:tcPr>
            <w:tcW w:type="dxa" w:w="34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R² threshold sebelum intervensi aktif</w:t>
            </w:r>
          </w:p>
        </w:tc>
      </w:tr>
      <w:tr>
        <w:trPr>
          <w:tblHeader w:val="false"/>
        </w:trPr>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Presisi spasial</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Resolusi per blok, bukan per kebun</w:t>
            </w:r>
          </w:p>
        </w:tc>
        <w:tc>
          <w:tcPr>
            <w:tcW w:type="dxa" w:w="34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Overlay polygon per hektar</w:t>
            </w:r>
          </w:p>
        </w:tc>
      </w:tr>
      <w:tr>
        <w:trPr>
          <w:tblHeader w:val="false"/>
        </w:trPr>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Transparansi</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Petani paham alasan di balik rekomendasi</w:t>
            </w:r>
          </w:p>
        </w:tc>
        <w:tc>
          <w:tcPr>
            <w:tcW w:type="dxa" w:w="34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Explainability panel di dashboard</w:t>
            </w:r>
          </w:p>
        </w:tc>
      </w:tr>
      <w:tr>
        <w:trPr>
          <w:tblHeader w:val="false"/>
        </w:trPr>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Aksesibilitas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Mudah digunakan tanpa keahlian GIS</w:t>
            </w:r>
          </w:p>
        </w:tc>
        <w:tc>
          <w:tcPr>
            <w:tcW w:type="dxa" w:w="34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UI/UX sederhana, mobile-ready</w:t>
            </w:r>
          </w:p>
        </w:tc>
      </w:tr>
      <w:tr>
        <w:trPr>
          <w:tblHeader w:val="false"/>
        </w:trPr>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Keberlanjutan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Mengurangi over-input pupuk &amp; pestisida</w:t>
            </w:r>
          </w:p>
        </w:tc>
        <w:tc>
          <w:tcPr>
            <w:tcW w:type="dxa" w:w="34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KPI efisiensi input per siklus</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3. Analisis Pasar &amp; Peluang</w:t>
      </w:r>
    </w:p>
    <w:p>
      <w:pPr>
        <w:pStyle w:val="Heading2"/>
        <w:spacing w:after="80" w:before="260"/>
      </w:pPr>
      <w:r>
        <w:rPr>
          <w:rFonts w:ascii="Arial" w:cs="Arial" w:eastAsia="Arial" w:hAnsi="Arial"/>
          <w:b/>
          <w:bCs/>
          <w:color w:val="0F6E56"/>
          <w:sz w:val="26"/>
          <w:szCs w:val="26"/>
        </w:rPr>
        <w:t xml:space="preserve">3.1 Ukuran Pasar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DDDDDD" w:sz="1"/>
              <w:left w:val="single" w:color="DDDDDD" w:sz="1"/>
              <w:bottom w:val="single" w:color="DDDDDD" w:sz="1"/>
              <w:right w:val="single" w:color="DDDDDD" w:sz="1"/>
            </w:tcBorders>
            <w:shd w:fill="0F6E56" w:val="clear"/>
            <w:tcMar>
              <w:top w:type="dxa" w:w="100"/>
              <w:left w:type="dxa" w:w="140"/>
              <w:bottom w:type="dxa" w:w="100"/>
              <w:right w:type="dxa" w:w="140"/>
            </w:tcMar>
          </w:tcPr>
          <w:p>
            <w:r>
              <w:rPr>
                <w:rFonts w:ascii="Arial" w:cs="Arial" w:eastAsia="Arial" w:hAnsi="Arial"/>
                <w:b/>
                <w:bCs/>
                <w:color w:val="FFFFFF"/>
                <w:sz w:val="20"/>
                <w:szCs w:val="20"/>
              </w:rPr>
              <w:t xml:space="preserve">Segmen</w:t>
            </w:r>
          </w:p>
        </w:tc>
        <w:tc>
          <w:tcPr>
            <w:tcW w:type="dxa" w:w="5526"/>
            <w:tcBorders>
              <w:top w:val="single" w:color="DDDDDD" w:sz="1"/>
              <w:left w:val="single" w:color="DDDDDD" w:sz="1"/>
              <w:bottom w:val="single" w:color="DDDDDD" w:sz="1"/>
              <w:right w:val="single" w:color="DDDDDD" w:sz="1"/>
            </w:tcBorders>
            <w:shd w:fill="0F6E56" w:val="clear"/>
            <w:tcMar>
              <w:top w:type="dxa" w:w="100"/>
              <w:left w:type="dxa" w:w="140"/>
              <w:bottom w:type="dxa" w:w="100"/>
              <w:right w:type="dxa" w:w="140"/>
            </w:tcMar>
          </w:tcPr>
          <w:p>
            <w:r>
              <w:rPr>
                <w:rFonts w:ascii="Arial" w:cs="Arial" w:eastAsia="Arial" w:hAnsi="Arial"/>
                <w:b/>
                <w:bCs/>
                <w:color w:val="FFFFFF"/>
                <w:sz w:val="20"/>
                <w:szCs w:val="20"/>
              </w:rPr>
              <w:t xml:space="preserve">Estimasi</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Total luas kebun sawit Indonesia</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~16,8 juta hektar (BPS 2024)</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Kebun milik perusahaan besar (target awal)</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~7 juta hektar</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Kebun petani plasma &amp; swadaya</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~9,8 juta hektar</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Potensi pendapatan (SaaS per-ha/thn)</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USD 2–8 per ha → TAM ~USD 34–135 juta/thn (Indonesia saja)</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SAM realistis tahun 1–3 (Java+Sumatra)</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~500.000 ha → USD 1–4 juta ARR</w:t>
            </w:r>
          </w:p>
        </w:tc>
      </w:tr>
    </w:tbl>
    <w:p>
      <w:r>
        <w:t xml:space="preserve"/>
      </w:r>
    </w:p>
    <w:p>
      <w:pPr>
        <w:pStyle w:val="Heading2"/>
        <w:spacing w:after="80" w:before="260"/>
      </w:pPr>
      <w:r>
        <w:rPr>
          <w:rFonts w:ascii="Arial" w:cs="Arial" w:eastAsia="Arial" w:hAnsi="Arial"/>
          <w:b/>
          <w:bCs/>
          <w:color w:val="0F6E56"/>
          <w:sz w:val="26"/>
          <w:szCs w:val="26"/>
        </w:rPr>
        <w:t xml:space="preserve">3.2 Segmen Target</w:t>
      </w:r>
    </w:p>
    <w:p>
      <w:pPr>
        <w:pStyle w:val="ListParagraph"/>
        <w:numPr>
          <w:ilvl w:val="0"/>
          <w:numId w:val="2"/>
        </w:numPr>
        <w:spacing w:after="80"/>
      </w:pPr>
      <w:r>
        <w:rPr>
          <w:rFonts w:ascii="Arial" w:cs="Arial" w:eastAsia="Arial" w:hAnsi="Arial"/>
          <w:color w:val="1A1A18"/>
          <w:sz w:val="22"/>
          <w:szCs w:val="22"/>
        </w:rPr>
        <w:t xml:space="preserve">Perusahaan perkebunan menengah–besar (5.000–50.000 ha): butuh reporting, efisiensi biaya, sertifikasi RSPO/ISPO.</w:t>
      </w:r>
    </w:p>
    <w:p>
      <w:pPr>
        <w:pStyle w:val="ListParagraph"/>
        <w:numPr>
          <w:ilvl w:val="0"/>
          <w:numId w:val="2"/>
        </w:numPr>
        <w:spacing w:after="80"/>
      </w:pPr>
      <w:r>
        <w:rPr>
          <w:rFonts w:ascii="Arial" w:cs="Arial" w:eastAsia="Arial" w:hAnsi="Arial"/>
          <w:color w:val="1A1A18"/>
          <w:sz w:val="22"/>
          <w:szCs w:val="22"/>
        </w:rPr>
        <w:t xml:space="preserve">Koperasi petani plasma: akses ke rekomendasi yang sebelumnya hanya tersedia untuk perusahaan besar.</w:t>
      </w:r>
    </w:p>
    <w:p>
      <w:pPr>
        <w:pStyle w:val="ListParagraph"/>
        <w:numPr>
          <w:ilvl w:val="0"/>
          <w:numId w:val="2"/>
        </w:numPr>
        <w:spacing w:after="80"/>
      </w:pPr>
      <w:r>
        <w:rPr>
          <w:rFonts w:ascii="Arial" w:cs="Arial" w:eastAsia="Arial" w:hAnsi="Arial"/>
          <w:color w:val="1A1A18"/>
          <w:sz w:val="22"/>
          <w:szCs w:val="22"/>
        </w:rPr>
        <w:t xml:space="preserve">Lembaga keuangan &amp; asuransi agri: data risiko berbasis kondisi fisik kebun untuk kredit atau asuransi panen.</w:t>
      </w:r>
    </w:p>
    <w:p>
      <w:pPr>
        <w:pStyle w:val="ListParagraph"/>
        <w:numPr>
          <w:ilvl w:val="0"/>
          <w:numId w:val="2"/>
        </w:numPr>
        <w:spacing w:after="80"/>
      </w:pPr>
      <w:r>
        <w:rPr>
          <w:rFonts w:ascii="Arial" w:cs="Arial" w:eastAsia="Arial" w:hAnsi="Arial"/>
          <w:color w:val="1A1A18"/>
          <w:sz w:val="22"/>
          <w:szCs w:val="22"/>
        </w:rPr>
        <w:t xml:space="preserve">Pemerintah daerah &amp; Kementerian Pertanian: monitoring program replanting nasional dan distribusi subsidi pupuk.</w:t>
      </w:r>
    </w:p>
    <w:p>
      <w:r>
        <w:t xml:space="preserve"/>
      </w:r>
    </w:p>
    <w:p>
      <w:pPr>
        <w:pStyle w:val="Heading2"/>
        <w:spacing w:after="80" w:before="260"/>
      </w:pPr>
      <w:r>
        <w:rPr>
          <w:rFonts w:ascii="Arial" w:cs="Arial" w:eastAsia="Arial" w:hAnsi="Arial"/>
          <w:b/>
          <w:bCs/>
          <w:color w:val="0F6E56"/>
          <w:sz w:val="26"/>
          <w:szCs w:val="26"/>
        </w:rPr>
        <w:t xml:space="preserve">3.3 Lanskap Kompetitif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Pemain</w:t>
            </w:r>
          </w:p>
        </w:tc>
        <w:tc>
          <w:tcPr>
            <w:tcW w:type="dxa" w:w="3000"/>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Kekuatan</w:t>
            </w:r>
          </w:p>
        </w:tc>
        <w:tc>
          <w:tcPr>
            <w:tcW w:type="dxa" w:w="3526"/>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Kelemahan vs PalmWatch</w:t>
            </w:r>
          </w:p>
        </w:tc>
      </w:tr>
      <w:tr>
        <w:trPr>
          <w:tblHeader w:val="false"/>
        </w:trPr>
        <w:tc>
          <w:tcPr>
            <w:tcW w:type="dxa" w:w="2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Satelit komersial (Planet, Maxar)</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Resolusi sangat tinggi</w:t>
            </w:r>
          </w:p>
        </w:tc>
        <w:tc>
          <w:tcPr>
            <w:tcW w:type="dxa" w:w="3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Mahal, tidak ada analitik intervensi</w:t>
            </w:r>
          </w:p>
        </w:tc>
      </w:tr>
      <w:tr>
        <w:trPr>
          <w:tblHeader w:val="false"/>
        </w:trPr>
        <w:tc>
          <w:tcPr>
            <w:tcW w:type="dxa" w:w="2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ERP Agri (SAP, FreshPlaza)</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Manajemen operasional kuat</w:t>
            </w:r>
          </w:p>
        </w:tc>
        <w:tc>
          <w:tcPr>
            <w:tcW w:type="dxa" w:w="3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Tidak ada integrasi PJ / validasi kausal</w:t>
            </w:r>
          </w:p>
        </w:tc>
      </w:tr>
      <w:tr>
        <w:trPr>
          <w:tblHeader w:val="false"/>
        </w:trPr>
        <w:tc>
          <w:tcPr>
            <w:tcW w:type="dxa" w:w="2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Konsultan agronomi tradisional</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Keahlian domain dalam</w:t>
            </w:r>
          </w:p>
        </w:tc>
        <w:tc>
          <w:tcPr>
            <w:tcW w:type="dxa" w:w="3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Tidak scalable, tidak real-time</w:t>
            </w:r>
          </w:p>
        </w:tc>
      </w:tr>
      <w:tr>
        <w:trPr>
          <w:tblHeader w:val="false"/>
        </w:trPr>
        <w:tc>
          <w:tcPr>
            <w:tcW w:type="dxa" w:w="2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Agromonitoring / EOS</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Dashboard SIG agri generik</w:t>
            </w:r>
          </w:p>
        </w:tc>
        <w:tc>
          <w:tcPr>
            <w:tcW w:type="dxa" w:w="3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Tidak spesifik sawit, tidak ada regresi validasi</w:t>
            </w:r>
          </w:p>
        </w:tc>
      </w:tr>
      <w:tr>
        <w:trPr>
          <w:tblHeader w:val="false"/>
        </w:trPr>
        <w:tc>
          <w:tcPr>
            <w:tcW w:type="dxa" w:w="2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PalmWatch (kami)</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Validasi kausal + intervensi berbasis polygon + lag effect</w:t>
            </w:r>
          </w:p>
        </w:tc>
        <w:tc>
          <w:tcPr>
            <w:tcW w:type="dxa" w:w="3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N/A</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4. Workflow Teknis Platform</w:t>
      </w:r>
    </w:p>
    <w:p>
      <w:pPr>
        <w:spacing w:after="120"/>
      </w:pPr>
      <w:r>
        <w:rPr>
          <w:rFonts w:ascii="Arial" w:cs="Arial" w:eastAsia="Arial" w:hAnsi="Arial"/>
          <w:color w:val="1A1A18"/>
          <w:sz w:val="22"/>
          <w:szCs w:val="22"/>
        </w:rPr>
        <w:t xml:space="preserve">PalmWatch beroperasi dalam lima fase yang membentuk satu loop analitik tertutup. Setiap fase menghasilkan output yang menjadi input fase berikutnya, dan seluruh siklus berulang setiap periode panen.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8F5EE" w:val="clear"/>
            <w:tcMar>
              <w:top w:type="dxa" w:w="160"/>
              <w:left w:type="dxa" w:w="240"/>
              <w:bottom w:type="dxa" w:w="180"/>
              <w:right w:type="dxa" w:w="240"/>
            </w:tcMar>
          </w:tcPr>
          <w:p>
            <w:pPr>
              <w:spacing w:after="60"/>
            </w:pPr>
            <w:r>
              <w:rPr>
                <w:rFonts w:ascii="Arial" w:cs="Arial" w:eastAsia="Arial" w:hAnsi="Arial"/>
                <w:b/>
                <w:bCs/>
                <w:caps/>
                <w:color w:val="0F6E56"/>
                <w:sz w:val="18"/>
                <w:szCs w:val="18"/>
              </w:rPr>
              <w:t xml:space="preserve">FASE 1  </w:t>
            </w:r>
            <w:r>
              <w:rPr>
                <w:rFonts w:ascii="Arial" w:cs="Arial" w:eastAsia="Arial" w:hAnsi="Arial"/>
                <w:i/>
                <w:iCs/>
                <w:color w:val="0F6E56"/>
                <w:sz w:val="18"/>
                <w:szCs w:val="18"/>
              </w:rPr>
              <w:t xml:space="preserve">Berkelanjutan – otomatis setiap 10–16 hari</w:t>
            </w:r>
          </w:p>
          <w:p>
            <w:pPr>
              <w:spacing w:after="100"/>
            </w:pPr>
            <w:r>
              <w:rPr>
                <w:rFonts w:ascii="Arial" w:cs="Arial" w:eastAsia="Arial" w:hAnsi="Arial"/>
                <w:b/>
                <w:bCs/>
                <w:color w:val="0F6E56"/>
                <w:sz w:val="26"/>
                <w:szCs w:val="26"/>
              </w:rPr>
              <w:t xml:space="preserve">Akuisisi Data Penginderaan Jauh &amp; Open Source</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NDVI &amp; EVI (Sentinel-2 10m, Landsat 30m): threshold sawit sehat NDVI &gt; 0,45</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Curah hujan kumulatif (CHIRPS harian, PERSIANN-CDR): akumulasi 30/60/90 hari</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Land Surface Temperature / LST (MODIS MOD11, 1km)</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Soil Organic Carbon, tekstur &amp; pH tanah (SoilGrids 250m)</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Evapotranspirasi aktual (MODIS MOD16): water stress index per blok</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Topografi DEM (SRTM 30m): slope, TWI, HAND untuk risiko drainase</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LAI / FPAR (MODIS MCD15): kerapatan kanopi, kuat korelasi TBS</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Pipeline: Google Earth Engine API → PostGIS → zonal statistics per blok polygon</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6F1FB" w:val="clear"/>
            <w:tcMar>
              <w:top w:type="dxa" w:w="160"/>
              <w:left w:type="dxa" w:w="240"/>
              <w:bottom w:type="dxa" w:w="180"/>
              <w:right w:type="dxa" w:w="240"/>
            </w:tcMar>
          </w:tcPr>
          <w:p>
            <w:pPr>
              <w:spacing w:after="60"/>
            </w:pPr>
            <w:r>
              <w:rPr>
                <w:rFonts w:ascii="Arial" w:cs="Arial" w:eastAsia="Arial" w:hAnsi="Arial"/>
                <w:b/>
                <w:bCs/>
                <w:caps/>
                <w:color w:val="185FA5"/>
                <w:sz w:val="18"/>
                <w:szCs w:val="18"/>
              </w:rPr>
              <w:t xml:space="preserve">FASE 2  </w:t>
            </w:r>
            <w:r>
              <w:rPr>
                <w:rFonts w:ascii="Arial" w:cs="Arial" w:eastAsia="Arial" w:hAnsi="Arial"/>
                <w:i/>
                <w:iCs/>
                <w:color w:val="185FA5"/>
                <w:sz w:val="18"/>
                <w:szCs w:val="18"/>
              </w:rPr>
              <w:t xml:space="preserve">Setelah tiap siklus panen (3–6 bulan)</w:t>
            </w:r>
          </w:p>
          <w:p>
            <w:pPr>
              <w:spacing w:after="100"/>
            </w:pPr>
            <w:r>
              <w:rPr>
                <w:rFonts w:ascii="Arial" w:cs="Arial" w:eastAsia="Arial" w:hAnsi="Arial"/>
                <w:b/>
                <w:bCs/>
                <w:color w:val="185FA5"/>
                <w:sz w:val="26"/>
                <w:szCs w:val="26"/>
              </w:rPr>
              <w:t xml:space="preserve">Normalisasi, Integrasi Data Panen &amp; Validasi Regresi</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Import data blok panen perusahaan (ton TBS/ha per periode) sebagai layer polygon atribut</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Normalisasi Min-Max / Z-score per variabel PJ per periode temporal</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Regresi OLS per variabel tunggal → uji R², p-value, dan slope (angka effort)</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GWR (Geographically Weighted Regression) untuk heterogenitas spasial</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Gate validasi: R² &gt; 0,40 dan p &lt; 0,05 → variabel aktif sebagai prediktor intervensi</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Slope regresi digunakan sebagai threshold effort: misal slope = 8,2 (ton/ha per unit NDVI)</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AEEDA" w:val="clear"/>
            <w:tcMar>
              <w:top w:type="dxa" w:w="160"/>
              <w:left w:type="dxa" w:w="240"/>
              <w:bottom w:type="dxa" w:w="180"/>
              <w:right w:type="dxa" w:w="240"/>
            </w:tcMar>
          </w:tcPr>
          <w:p>
            <w:pPr>
              <w:spacing w:after="60"/>
            </w:pPr>
            <w:r>
              <w:rPr>
                <w:rFonts w:ascii="Arial" w:cs="Arial" w:eastAsia="Arial" w:hAnsi="Arial"/>
                <w:b/>
                <w:bCs/>
                <w:caps/>
                <w:color w:val="854F0B"/>
                <w:sz w:val="18"/>
                <w:szCs w:val="18"/>
              </w:rPr>
              <w:t xml:space="preserve">FASE 3  </w:t>
            </w:r>
            <w:r>
              <w:rPr>
                <w:rFonts w:ascii="Arial" w:cs="Arial" w:eastAsia="Arial" w:hAnsi="Arial"/>
                <w:i/>
                <w:iCs/>
                <w:color w:val="854F0B"/>
                <w:sz w:val="18"/>
                <w:szCs w:val="18"/>
              </w:rPr>
              <w:t xml:space="preserve">Insidental – memperkuat hipotesa setelah validasi</w:t>
            </w:r>
          </w:p>
          <w:p>
            <w:pPr>
              <w:spacing w:after="100"/>
            </w:pPr>
            <w:r>
              <w:rPr>
                <w:rFonts w:ascii="Arial" w:cs="Arial" w:eastAsia="Arial" w:hAnsi="Arial"/>
                <w:b/>
                <w:bCs/>
                <w:color w:val="854F0B"/>
                <w:sz w:val="26"/>
                <w:szCs w:val="26"/>
              </w:rPr>
              <w:t xml:space="preserve">Ground Truth Lapangan</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Input via form mobile GPS-tagged (PWA, offline capable)</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Parameter: kelembaban tanah/kanopi, riwayat &amp; dosis pupuk (N,P,K,Mg), umur tanaman</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Observasi penyakit: Ganoderma BSR, BSDL, CSSD (foto + koordinat + severity score)</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Jarak tanam aktual &amp; densitas pohon/ha per blok</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Kondisi drainase aktual (tergenang / normal / kering)</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Data lapangan digabung ke model regresi sebagai variabel kontrol tambahan</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EEDFE" w:val="clear"/>
            <w:tcMar>
              <w:top w:type="dxa" w:w="160"/>
              <w:left w:type="dxa" w:w="240"/>
              <w:bottom w:type="dxa" w:w="180"/>
              <w:right w:type="dxa" w:w="240"/>
            </w:tcMar>
          </w:tcPr>
          <w:p>
            <w:pPr>
              <w:spacing w:after="60"/>
            </w:pPr>
            <w:r>
              <w:rPr>
                <w:rFonts w:ascii="Arial" w:cs="Arial" w:eastAsia="Arial" w:hAnsi="Arial"/>
                <w:b/>
                <w:bCs/>
                <w:caps/>
                <w:color w:val="3C3489"/>
                <w:sz w:val="18"/>
                <w:szCs w:val="18"/>
              </w:rPr>
              <w:t xml:space="preserve">FASE 4  </w:t>
            </w:r>
            <w:r>
              <w:rPr>
                <w:rFonts w:ascii="Arial" w:cs="Arial" w:eastAsia="Arial" w:hAnsi="Arial"/>
                <w:i/>
                <w:iCs/>
                <w:color w:val="3C3489"/>
                <w:sz w:val="18"/>
                <w:szCs w:val="18"/>
              </w:rPr>
              <w:t xml:space="preserve">Otomatis setelah Fase 2 &amp; 3 selesai</w:t>
            </w:r>
          </w:p>
          <w:p>
            <w:pPr>
              <w:spacing w:after="100"/>
            </w:pPr>
            <w:r>
              <w:rPr>
                <w:rFonts w:ascii="Arial" w:cs="Arial" w:eastAsia="Arial" w:hAnsi="Arial"/>
                <w:b/>
                <w:bCs/>
                <w:color w:val="3C3489"/>
                <w:sz w:val="26"/>
                <w:szCs w:val="26"/>
              </w:rPr>
              <w:t xml:space="preserve">Overlay Spasial &amp; Matriks Intervensi</w:t>
            </w:r>
          </w:p>
          <w:p>
            <w:pPr>
              <w:spacing w:after="60"/>
            </w:pPr>
            <w:r>
              <w:rPr>
                <w:rFonts w:ascii="Arial" w:cs="Arial" w:eastAsia="Arial" w:hAnsi="Arial"/>
                <w:b/>
                <w:bCs/>
                <w:color w:val="3C3489"/>
                <w:sz w:val="20"/>
                <w:szCs w:val="20"/>
              </w:rPr>
              <w:t xml:space="preserve">▸ </w:t>
            </w:r>
            <w:r>
              <w:rPr>
                <w:rFonts w:ascii="Arial" w:cs="Arial" w:eastAsia="Arial" w:hAnsi="Arial"/>
                <w:color w:val="3C3489"/>
                <w:sz w:val="20"/>
                <w:szCs w:val="20"/>
              </w:rPr>
              <w:t xml:space="preserve">Spatial overlay: interseksi semua layer vektor per blok polygon (union analysis)</w:t>
            </w:r>
          </w:p>
          <w:p>
            <w:pPr>
              <w:spacing w:after="60"/>
            </w:pPr>
            <w:r>
              <w:rPr>
                <w:rFonts w:ascii="Arial" w:cs="Arial" w:eastAsia="Arial" w:hAnsi="Arial"/>
                <w:b/>
                <w:bCs/>
                <w:color w:val="3C3489"/>
                <w:sz w:val="20"/>
                <w:szCs w:val="20"/>
              </w:rPr>
              <w:t xml:space="preserve">▸ </w:t>
            </w:r>
            <w:r>
              <w:rPr>
                <w:rFonts w:ascii="Arial" w:cs="Arial" w:eastAsia="Arial" w:hAnsi="Arial"/>
                <w:color w:val="3C3489"/>
                <w:sz w:val="20"/>
                <w:szCs w:val="20"/>
              </w:rPr>
              <w:t xml:space="preserve">Setiap blok mendapat kombinasi tag kondisi: misal [NDVI↓, Hujan↓, SOC-rendah]</w:t>
            </w:r>
          </w:p>
          <w:p>
            <w:pPr>
              <w:spacing w:after="60"/>
            </w:pPr>
            <w:r>
              <w:rPr>
                <w:rFonts w:ascii="Arial" w:cs="Arial" w:eastAsia="Arial" w:hAnsi="Arial"/>
                <w:b/>
                <w:bCs/>
                <w:color w:val="3C3489"/>
                <w:sz w:val="20"/>
                <w:szCs w:val="20"/>
              </w:rPr>
              <w:t xml:space="preserve">▸ </w:t>
            </w:r>
            <w:r>
              <w:rPr>
                <w:rFonts w:ascii="Arial" w:cs="Arial" w:eastAsia="Arial" w:hAnsi="Arial"/>
                <w:color w:val="3C3489"/>
                <w:sz w:val="20"/>
                <w:szCs w:val="20"/>
              </w:rPr>
              <w:t xml:space="preserve">Lookup table intervensi: kombinasi → resep tindakan + dosis + prioritas</w:t>
            </w:r>
          </w:p>
          <w:p>
            <w:pPr>
              <w:spacing w:after="60"/>
            </w:pPr>
            <w:r>
              <w:rPr>
                <w:rFonts w:ascii="Arial" w:cs="Arial" w:eastAsia="Arial" w:hAnsi="Arial"/>
                <w:b/>
                <w:bCs/>
                <w:color w:val="3C3489"/>
                <w:sz w:val="20"/>
                <w:szCs w:val="20"/>
              </w:rPr>
              <w:t xml:space="preserve">▸ </w:t>
            </w:r>
            <w:r>
              <w:rPr>
                <w:rFonts w:ascii="Arial" w:cs="Arial" w:eastAsia="Arial" w:hAnsi="Arial"/>
                <w:color w:val="3C3489"/>
                <w:sz w:val="20"/>
                <w:szCs w:val="20"/>
              </w:rPr>
              <w:t xml:space="preserve">Lag effect otomatis: setiap intervensi dilabeli estimasi waktu dampak dari literatur</w:t>
            </w:r>
          </w:p>
          <w:p>
            <w:pPr>
              <w:spacing w:after="60"/>
            </w:pPr>
            <w:r>
              <w:rPr>
                <w:rFonts w:ascii="Arial" w:cs="Arial" w:eastAsia="Arial" w:hAnsi="Arial"/>
                <w:b/>
                <w:bCs/>
                <w:color w:val="3C3489"/>
                <w:sz w:val="20"/>
                <w:szCs w:val="20"/>
              </w:rPr>
              <w:t xml:space="preserve">▸ </w:t>
            </w:r>
            <w:r>
              <w:rPr>
                <w:rFonts w:ascii="Arial" w:cs="Arial" w:eastAsia="Arial" w:hAnsi="Arial"/>
                <w:color w:val="3C3489"/>
                <w:sz w:val="20"/>
                <w:szCs w:val="20"/>
              </w:rPr>
              <w:t xml:space="preserve">Output: GeoJSON per blok dengan field: kondisi[], intervensi[], lag_minggu, effort_score</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1F5EE" w:val="clear"/>
            <w:tcMar>
              <w:top w:type="dxa" w:w="160"/>
              <w:left w:type="dxa" w:w="240"/>
              <w:bottom w:type="dxa" w:w="180"/>
              <w:right w:type="dxa" w:w="240"/>
            </w:tcMar>
          </w:tcPr>
          <w:p>
            <w:pPr>
              <w:spacing w:after="60"/>
            </w:pPr>
            <w:r>
              <w:rPr>
                <w:rFonts w:ascii="Arial" w:cs="Arial" w:eastAsia="Arial" w:hAnsi="Arial"/>
                <w:b/>
                <w:bCs/>
                <w:caps/>
                <w:color w:val="0F6E56"/>
                <w:sz w:val="18"/>
                <w:szCs w:val="18"/>
              </w:rPr>
              <w:t xml:space="preserve">FASE 5  </w:t>
            </w:r>
            <w:r>
              <w:rPr>
                <w:rFonts w:ascii="Arial" w:cs="Arial" w:eastAsia="Arial" w:hAnsi="Arial"/>
                <w:i/>
                <w:iCs/>
                <w:color w:val="0F6E56"/>
                <w:sz w:val="18"/>
                <w:szCs w:val="18"/>
              </w:rPr>
              <w:t xml:space="preserve">Bulan ke-1 dan seterusnya, akses setiap saat</w:t>
            </w:r>
          </w:p>
          <w:p>
            <w:pPr>
              <w:spacing w:after="100"/>
            </w:pPr>
            <w:r>
              <w:rPr>
                <w:rFonts w:ascii="Arial" w:cs="Arial" w:eastAsia="Arial" w:hAnsi="Arial"/>
                <w:b/>
                <w:bCs/>
                <w:color w:val="0F6E56"/>
                <w:sz w:val="26"/>
                <w:szCs w:val="26"/>
              </w:rPr>
              <w:t xml:space="preserve">Dashboard Web SIG &amp; Distribusi Rekomendasi</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Peta interaktif: layer toggle per variabel, pewarnaan status per blok (hijau/kuning/merah)</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Time-series chart: NDVI, curah hujan, EVI vs produksi TBS per blok</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Panel intervensi per blok: kendala aktif + resep + lag + effort score + prediksi yield</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Report otomatis PDF: ringkasan kondisi kebun per periode untuk manajemen</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Alert push/SMS ke mandor/petani saat threshold kritis terlampaui</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API data untuk integrasi ERP / sistem perusahaan yang sudah ada</w:t>
            </w:r>
          </w:p>
        </w:tc>
      </w:tr>
    </w:tbl>
    <w:p>
      <w:r>
        <w:t xml:space="preserve"/>
      </w:r>
    </w:p>
    <w:p>
      <w:pPr>
        <w:pStyle w:val="Heading3"/>
        <w:spacing w:after="60" w:before="180"/>
      </w:pPr>
      <w:r>
        <w:rPr>
          <w:rFonts w:ascii="Arial" w:cs="Arial" w:eastAsia="Arial" w:hAnsi="Arial"/>
          <w:b/>
          <w:bCs/>
          <w:color w:val="444441"/>
          <w:sz w:val="22"/>
          <w:szCs w:val="22"/>
        </w:rPr>
        <w:t xml:space="preserve">Matriks Intervensi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1800"/>
        <w:gridCol w:w="2226"/>
      </w:tblGrid>
      <w:tr>
        <w:trPr>
          <w:tblHeader/>
        </w:trPr>
        <w:tc>
          <w:tcPr>
            <w:tcW w:type="dxa" w:w="2800"/>
            <w:tcBorders>
              <w:top w:val="single" w:color="BBBBBB" w:sz="1"/>
              <w:left w:val="single" w:color="BBBBBB" w:sz="1"/>
              <w:bottom w:val="single" w:color="BBBBBB" w:sz="1"/>
              <w:right w:val="single" w:color="BBBBBB"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Kombinasi Kondisi</w:t>
            </w:r>
          </w:p>
        </w:tc>
        <w:tc>
          <w:tcPr>
            <w:tcW w:type="dxa" w:w="2200"/>
            <w:tcBorders>
              <w:top w:val="single" w:color="BBBBBB" w:sz="1"/>
              <w:left w:val="single" w:color="BBBBBB" w:sz="1"/>
              <w:bottom w:val="single" w:color="BBBBBB" w:sz="1"/>
              <w:right w:val="single" w:color="BBBBBB"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Intervensi</w:t>
            </w:r>
          </w:p>
        </w:tc>
        <w:tc>
          <w:tcPr>
            <w:tcW w:type="dxa" w:w="1800"/>
            <w:tcBorders>
              <w:top w:val="single" w:color="BBBBBB" w:sz="1"/>
              <w:left w:val="single" w:color="BBBBBB" w:sz="1"/>
              <w:bottom w:val="single" w:color="BBBBBB" w:sz="1"/>
              <w:right w:val="single" w:color="BBBBBB"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Lag Efek</w:t>
            </w:r>
          </w:p>
        </w:tc>
        <w:tc>
          <w:tcPr>
            <w:tcW w:type="dxa" w:w="2226"/>
            <w:tcBorders>
              <w:top w:val="single" w:color="BBBBBB" w:sz="1"/>
              <w:left w:val="single" w:color="BBBBBB" w:sz="1"/>
              <w:bottom w:val="single" w:color="BBBBBB" w:sz="1"/>
              <w:right w:val="single" w:color="BBBBBB"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Literatur Acuan</w:t>
            </w:r>
          </w:p>
        </w:tc>
      </w:tr>
      <w:tr>
        <w:tc>
          <w:tcPr>
            <w:tcW w:type="dxa" w:w="2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NDVI↓ + Curah hujan↓</w:t>
            </w:r>
          </w:p>
        </w:tc>
        <w:tc>
          <w:tcPr>
            <w:tcW w:type="dxa" w:w="22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Irigasi suplemen / mulching</w:t>
            </w:r>
          </w:p>
        </w:tc>
        <w:tc>
          <w:tcPr>
            <w:tcW w:type="dxa" w:w="1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4–8 minggu</w:t>
            </w:r>
          </w:p>
        </w:tc>
        <w:tc>
          <w:tcPr>
            <w:tcW w:type="dxa" w:w="2226"/>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Corley &amp; Tinker, 2003</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NDVI↓ + SOC rendah + N rendah</w:t>
            </w:r>
          </w:p>
        </w:tc>
        <w:tc>
          <w:tcPr>
            <w:tcW w:type="dxa" w:w="2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Pupuk N top-dress (Urea/ZA)</w:t>
            </w:r>
          </w:p>
        </w:tc>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3–6 bulan</w:t>
            </w:r>
          </w:p>
        </w:tc>
        <w:tc>
          <w:tcPr>
            <w:tcW w:type="dxa" w:w="22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Goh et al., 1999</w:t>
            </w:r>
          </w:p>
        </w:tc>
      </w:tr>
      <w:tr>
        <w:tc>
          <w:tcPr>
            <w:tcW w:type="dxa" w:w="2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NDVI↓ + pH tanah rendah (&lt;4,5)</w:t>
            </w:r>
          </w:p>
        </w:tc>
        <w:tc>
          <w:tcPr>
            <w:tcW w:type="dxa" w:w="22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Pengapuran dolomit</w:t>
            </w:r>
          </w:p>
        </w:tc>
        <w:tc>
          <w:tcPr>
            <w:tcW w:type="dxa" w:w="1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3–4 bulan</w:t>
            </w:r>
          </w:p>
        </w:tc>
        <w:tc>
          <w:tcPr>
            <w:tcW w:type="dxa" w:w="2226"/>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Fairhurst &amp; Härdter, 2003</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LST↑ + Riwayat Ganoderma</w:t>
            </w:r>
          </w:p>
        </w:tc>
        <w:tc>
          <w:tcPr>
            <w:tcW w:type="dxa" w:w="2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Hexaconazole + fumigasi</w:t>
            </w:r>
          </w:p>
        </w:tc>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2–4 bulan</w:t>
            </w:r>
          </w:p>
        </w:tc>
        <w:tc>
          <w:tcPr>
            <w:tcW w:type="dxa" w:w="22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Idris et al., 2004</w:t>
            </w:r>
          </w:p>
        </w:tc>
      </w:tr>
      <w:tr>
        <w:tc>
          <w:tcPr>
            <w:tcW w:type="dxa" w:w="2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LAI↓ + Umur tanaman &gt;25 thn</w:t>
            </w:r>
          </w:p>
        </w:tc>
        <w:tc>
          <w:tcPr>
            <w:tcW w:type="dxa" w:w="22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Replanting / gap infill</w:t>
            </w:r>
          </w:p>
        </w:tc>
        <w:tc>
          <w:tcPr>
            <w:tcW w:type="dxa" w:w="1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3–4 tahun</w:t>
            </w:r>
          </w:p>
        </w:tc>
        <w:tc>
          <w:tcPr>
            <w:tcW w:type="dxa" w:w="2226"/>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Hartley, 1988</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TWI tinggi + ETP rendah</w:t>
            </w:r>
          </w:p>
        </w:tc>
        <w:tc>
          <w:tcPr>
            <w:tcW w:type="dxa" w:w="2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Perbaikan sistem drainase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1–3 bulan</w:t>
            </w:r>
          </w:p>
        </w:tc>
        <w:tc>
          <w:tcPr>
            <w:tcW w:type="dxa" w:w="22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8"/>
                <w:sz w:val="19"/>
                <w:szCs w:val="19"/>
              </w:rPr>
              <w:t xml:space="preserve">Paramananthan, 2000</w:t>
            </w:r>
          </w:p>
        </w:tc>
      </w:tr>
      <w:tr>
        <w:tc>
          <w:tcPr>
            <w:tcW w:type="dxa" w:w="2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EVI↓ + Jarak tanam rapat</w:t>
            </w:r>
          </w:p>
        </w:tc>
        <w:tc>
          <w:tcPr>
            <w:tcW w:type="dxa" w:w="22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Prunning + penjarangan</w:t>
            </w:r>
          </w:p>
        </w:tc>
        <w:tc>
          <w:tcPr>
            <w:tcW w:type="dxa" w:w="1800"/>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2–3 bulan</w:t>
            </w:r>
          </w:p>
        </w:tc>
        <w:tc>
          <w:tcPr>
            <w:tcW w:type="dxa" w:w="2226"/>
            <w:tcBorders>
              <w:top w:val="single" w:color="DDDDDD" w:sz="1"/>
              <w:left w:val="single" w:color="DDDDDD" w:sz="1"/>
              <w:bottom w:val="single" w:color="DDDDDD" w:sz="1"/>
              <w:right w:val="single" w:color="DDDDDD" w:sz="1"/>
            </w:tcBorders>
            <w:shd w:fill="F1EFE8" w:val="clear"/>
            <w:tcMar>
              <w:top w:type="dxa" w:w="80"/>
              <w:left w:type="dxa" w:w="140"/>
              <w:bottom w:type="dxa" w:w="80"/>
              <w:right w:type="dxa" w:w="140"/>
            </w:tcMar>
          </w:tcPr>
          <w:p>
            <w:r>
              <w:rPr>
                <w:rFonts w:ascii="Arial" w:cs="Arial" w:eastAsia="Arial" w:hAnsi="Arial"/>
                <w:color w:val="1A1A18"/>
                <w:sz w:val="19"/>
                <w:szCs w:val="19"/>
              </w:rPr>
              <w:t xml:space="preserve">Breure, 2003</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5. Key Performance Indicators (KPI)</w:t>
      </w:r>
    </w:p>
    <w:p>
      <w:pPr>
        <w:spacing w:after="120"/>
      </w:pPr>
      <w:r>
        <w:rPr>
          <w:rFonts w:ascii="Arial" w:cs="Arial" w:eastAsia="Arial" w:hAnsi="Arial"/>
          <w:color w:val="1A1A18"/>
          <w:sz w:val="22"/>
          <w:szCs w:val="22"/>
        </w:rPr>
        <w:t xml:space="preserve">KPI dikelompokkan dalam tiga dimensi: produk &amp; teknologi, bisnis &amp; pertumbuhan, dan dampak agronomis.</w:t>
      </w:r>
    </w:p>
    <w:p>
      <w:r>
        <w:t xml:space="preserve"/>
      </w:r>
    </w:p>
    <w:p>
      <w:pPr>
        <w:pStyle w:val="Heading2"/>
        <w:spacing w:after="80" w:before="260"/>
      </w:pPr>
      <w:r>
        <w:rPr>
          <w:rFonts w:ascii="Arial" w:cs="Arial" w:eastAsia="Arial" w:hAnsi="Arial"/>
          <w:b/>
          <w:bCs/>
          <w:color w:val="0F6E56"/>
          <w:sz w:val="26"/>
          <w:szCs w:val="26"/>
        </w:rPr>
        <w:t xml:space="preserve">5.1 KPI Produk &amp; Teknologi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63"/>
        <w:gridCol w:w="4663"/>
      </w:tblGrid>
      <w:tr>
        <w:tc>
          <w:tcPr>
            <w:tcW w:type="dxa" w:w="4363"/>
            <w:tcBorders>
              <w:top w:val="none" w:color="FFFFFF" w:sz="0"/>
              <w:left w:val="none" w:color="FFFFFF" w:sz="0"/>
              <w:bottom w:val="none" w:color="FFFFFF" w:sz="0"/>
              <w:right w:val="none" w:color="FFFFFF" w:sz="0"/>
            </w:tcBorders>
            <w:shd w:fill="E8F5EE" w:val="clear"/>
            <w:tcMar>
              <w:top w:type="dxa" w:w="160"/>
              <w:left w:type="dxa" w:w="200"/>
              <w:bottom w:type="dxa" w:w="160"/>
              <w:right w:type="dxa" w:w="200"/>
            </w:tcMar>
          </w:tcPr>
          <w:p>
            <w:pPr>
              <w:spacing w:after="30"/>
            </w:pPr>
            <w:r>
              <w:rPr>
                <w:rFonts w:ascii="Arial" w:cs="Arial" w:eastAsia="Arial" w:hAnsi="Arial"/>
                <w:b/>
                <w:bCs/>
                <w:color w:val="1A6B3C"/>
                <w:sz w:val="48"/>
                <w:szCs w:val="48"/>
              </w:rPr>
              <w:t xml:space="preserve">≥ 0,65</w:t>
            </w:r>
          </w:p>
          <w:p>
            <w:pPr>
              <w:spacing w:after="20"/>
            </w:pPr>
            <w:r>
              <w:rPr>
                <w:rFonts w:ascii="Arial" w:cs="Arial" w:eastAsia="Arial" w:hAnsi="Arial"/>
                <w:color w:val="1A6B3C"/>
                <w:sz w:val="18"/>
                <w:szCs w:val="18"/>
              </w:rPr>
              <w:t xml:space="preserve">target model akhir</w:t>
            </w:r>
          </w:p>
          <w:p>
            <w:r>
              <w:rPr>
                <w:rFonts w:ascii="Arial" w:cs="Arial" w:eastAsia="Arial" w:hAnsi="Arial"/>
                <w:color w:val="444441"/>
                <w:sz w:val="20"/>
                <w:szCs w:val="20"/>
              </w:rPr>
              <w:t xml:space="preserve">Akurasi prediksi yield (R²)</w:t>
            </w:r>
          </w:p>
        </w:tc>
        <w:tc>
          <w:tcPr>
            <w:tcW w:type="dxa" w:w="4363"/>
            <w:tcBorders>
              <w:top w:val="none" w:color="FFFFFF" w:sz="0"/>
              <w:left w:val="none" w:color="FFFFFF" w:sz="0"/>
              <w:bottom w:val="none" w:color="FFFFFF" w:sz="0"/>
              <w:right w:val="none" w:color="FFFFFF" w:sz="0"/>
            </w:tcBorders>
            <w:shd w:fill="E6F1FB" w:val="clear"/>
            <w:tcMar>
              <w:top w:type="dxa" w:w="160"/>
              <w:left w:type="dxa" w:w="200"/>
              <w:bottom w:type="dxa" w:w="160"/>
              <w:right w:type="dxa" w:w="200"/>
            </w:tcMar>
          </w:tcPr>
          <w:p>
            <w:pPr>
              <w:spacing w:after="30"/>
            </w:pPr>
            <w:r>
              <w:rPr>
                <w:rFonts w:ascii="Arial" w:cs="Arial" w:eastAsia="Arial" w:hAnsi="Arial"/>
                <w:b/>
                <w:bCs/>
                <w:color w:val="185FA5"/>
                <w:sz w:val="48"/>
                <w:szCs w:val="48"/>
              </w:rPr>
              <w:t xml:space="preserve">&lt; 48 jam</w:t>
            </w:r>
          </w:p>
          <w:p>
            <w:pPr>
              <w:spacing w:after="20"/>
            </w:pPr>
            <w:r>
              <w:rPr>
                <w:rFonts w:ascii="Arial" w:cs="Arial" w:eastAsia="Arial" w:hAnsi="Arial"/>
                <w:color w:val="185FA5"/>
                <w:sz w:val="18"/>
                <w:szCs w:val="18"/>
              </w:rPr>
              <w:t xml:space="preserve">dari tanggal akuisisi satelit</w:t>
            </w:r>
          </w:p>
          <w:p>
            <w:r>
              <w:rPr>
                <w:rFonts w:ascii="Arial" w:cs="Arial" w:eastAsia="Arial" w:hAnsi="Arial"/>
                <w:color w:val="444441"/>
                <w:sz w:val="20"/>
                <w:szCs w:val="20"/>
              </w:rPr>
              <w:t xml:space="preserve">Latensi update data PJ</w:t>
            </w:r>
          </w:p>
        </w:tc>
      </w:tr>
      <w:tr>
        <w:tc>
          <w:tcPr>
            <w:tcW w:type="dxa" w:w="9026"/>
            <w:gridSpan w:val="2"/>
            <w:tcBorders>
              <w:top w:val="none" w:color="FFFFFF" w:sz="0"/>
              <w:left w:val="none" w:color="FFFFFF" w:sz="0"/>
              <w:bottom w:val="none" w:color="FFFFFF" w:sz="0"/>
              <w:right w:val="none" w:color="FFFFFF" w:sz="0"/>
            </w:tcBorders>
          </w:tcPr>
          <w:p>
            <w:r>
              <w:t xml:space="preserve"/>
            </w:r>
          </w:p>
        </w:tc>
      </w:tr>
      <w:tr>
        <w:tc>
          <w:tcPr>
            <w:tcW w:type="dxa" w:w="4363"/>
            <w:tcBorders>
              <w:top w:val="none" w:color="FFFFFF" w:sz="0"/>
              <w:left w:val="none" w:color="FFFFFF" w:sz="0"/>
              <w:bottom w:val="none" w:color="FFFFFF" w:sz="0"/>
              <w:right w:val="none" w:color="FFFFFF" w:sz="0"/>
            </w:tcBorders>
            <w:shd w:fill="E1F5EE" w:val="clear"/>
            <w:tcMar>
              <w:top w:type="dxa" w:w="160"/>
              <w:left w:type="dxa" w:w="200"/>
              <w:bottom w:type="dxa" w:w="160"/>
              <w:right w:type="dxa" w:w="200"/>
            </w:tcMar>
          </w:tcPr>
          <w:p>
            <w:pPr>
              <w:spacing w:after="30"/>
            </w:pPr>
            <w:r>
              <w:rPr>
                <w:rFonts w:ascii="Arial" w:cs="Arial" w:eastAsia="Arial" w:hAnsi="Arial"/>
                <w:b/>
                <w:bCs/>
                <w:color w:val="0F6E56"/>
                <w:sz w:val="48"/>
                <w:szCs w:val="48"/>
              </w:rPr>
              <w:t xml:space="preserve">500 rb ha</w:t>
            </w:r>
          </w:p>
          <w:p>
            <w:pPr>
              <w:spacing w:after="20"/>
            </w:pPr>
            <w:r>
              <w:rPr>
                <w:rFonts w:ascii="Arial" w:cs="Arial" w:eastAsia="Arial" w:hAnsi="Arial"/>
                <w:color w:val="0F6E56"/>
                <w:sz w:val="18"/>
                <w:szCs w:val="18"/>
              </w:rPr>
              <w:t xml:space="preserve">target akhir tahun ke-2</w:t>
            </w:r>
          </w:p>
          <w:p>
            <w:r>
              <w:rPr>
                <w:rFonts w:ascii="Arial" w:cs="Arial" w:eastAsia="Arial" w:hAnsi="Arial"/>
                <w:color w:val="444441"/>
                <w:sz w:val="20"/>
                <w:szCs w:val="20"/>
              </w:rPr>
              <w:t xml:space="preserve">Coverage area aktif</w:t>
            </w:r>
          </w:p>
        </w:tc>
        <w:tc>
          <w:tcPr>
            <w:tcW w:type="dxa" w:w="4363"/>
            <w:tcBorders>
              <w:top w:val="none" w:color="FFFFFF" w:sz="0"/>
              <w:left w:val="none" w:color="FFFFFF" w:sz="0"/>
              <w:bottom w:val="none" w:color="FFFFFF" w:sz="0"/>
              <w:right w:val="none" w:color="FFFFFF" w:sz="0"/>
            </w:tcBorders>
            <w:shd w:fill="EEEDFE" w:val="clear"/>
            <w:tcMar>
              <w:top w:type="dxa" w:w="160"/>
              <w:left w:type="dxa" w:w="200"/>
              <w:bottom w:type="dxa" w:w="160"/>
              <w:right w:type="dxa" w:w="200"/>
            </w:tcMar>
          </w:tcPr>
          <w:p>
            <w:pPr>
              <w:spacing w:after="30"/>
            </w:pPr>
            <w:r>
              <w:rPr>
                <w:rFonts w:ascii="Arial" w:cs="Arial" w:eastAsia="Arial" w:hAnsi="Arial"/>
                <w:b/>
                <w:bCs/>
                <w:color w:val="3C3489"/>
                <w:sz w:val="48"/>
                <w:szCs w:val="48"/>
              </w:rPr>
              <w:t xml:space="preserve">≥ 99,5%</w:t>
            </w:r>
          </w:p>
          <w:p>
            <w:pPr>
              <w:spacing w:after="20"/>
            </w:pPr>
            <w:r>
              <w:rPr>
                <w:rFonts w:ascii="Arial" w:cs="Arial" w:eastAsia="Arial" w:hAnsi="Arial"/>
                <w:color w:val="3C3489"/>
                <w:sz w:val="18"/>
                <w:szCs w:val="18"/>
              </w:rPr>
              <w:t xml:space="preserve">per bulan</w:t>
            </w:r>
          </w:p>
          <w:p>
            <w:r>
              <w:rPr>
                <w:rFonts w:ascii="Arial" w:cs="Arial" w:eastAsia="Arial" w:hAnsi="Arial"/>
                <w:color w:val="444441"/>
                <w:sz w:val="20"/>
                <w:szCs w:val="20"/>
              </w:rPr>
              <w:t xml:space="preserve">Uptime platform web</w:t>
            </w:r>
          </w:p>
        </w:tc>
      </w:tr>
    </w:tbl>
    <w:p>
      <w:r>
        <w:t xml:space="preserve"/>
      </w:r>
    </w:p>
    <w:p>
      <w:pPr>
        <w:pStyle w:val="Heading2"/>
        <w:spacing w:after="80" w:before="260"/>
      </w:pPr>
      <w:r>
        <w:rPr>
          <w:rFonts w:ascii="Arial" w:cs="Arial" w:eastAsia="Arial" w:hAnsi="Arial"/>
          <w:b/>
          <w:bCs/>
          <w:color w:val="0F6E56"/>
          <w:sz w:val="26"/>
          <w:szCs w:val="26"/>
        </w:rPr>
        <w:t xml:space="preserve">5.2 KPI Bisnis &amp; Pertumbuhan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63"/>
        <w:gridCol w:w="4663"/>
      </w:tblGrid>
      <w:tr>
        <w:tc>
          <w:tcPr>
            <w:tcW w:type="dxa" w:w="4363"/>
            <w:tcBorders>
              <w:top w:val="none" w:color="FFFFFF" w:sz="0"/>
              <w:left w:val="none" w:color="FFFFFF" w:sz="0"/>
              <w:bottom w:val="none" w:color="FFFFFF" w:sz="0"/>
              <w:right w:val="none" w:color="FFFFFF" w:sz="0"/>
            </w:tcBorders>
            <w:shd w:fill="E8F5EE" w:val="clear"/>
            <w:tcMar>
              <w:top w:type="dxa" w:w="160"/>
              <w:left w:type="dxa" w:w="200"/>
              <w:bottom w:type="dxa" w:w="160"/>
              <w:right w:type="dxa" w:w="200"/>
            </w:tcMar>
          </w:tcPr>
          <w:p>
            <w:pPr>
              <w:spacing w:after="30"/>
            </w:pPr>
            <w:r>
              <w:rPr>
                <w:rFonts w:ascii="Arial" w:cs="Arial" w:eastAsia="Arial" w:hAnsi="Arial"/>
                <w:b/>
                <w:bCs/>
                <w:color w:val="1A6B3C"/>
                <w:sz w:val="48"/>
                <w:szCs w:val="48"/>
              </w:rPr>
              <w:t xml:space="preserve">Rp 5 M</w:t>
            </w:r>
          </w:p>
          <w:p>
            <w:pPr>
              <w:spacing w:after="20"/>
            </w:pPr>
            <w:r>
              <w:rPr>
                <w:rFonts w:ascii="Arial" w:cs="Arial" w:eastAsia="Arial" w:hAnsi="Arial"/>
                <w:color w:val="1A6B3C"/>
                <w:sz w:val="18"/>
                <w:szCs w:val="18"/>
              </w:rPr>
              <w:t xml:space="preserve">target akhir tahun ke-2</w:t>
            </w:r>
          </w:p>
          <w:p>
            <w:r>
              <w:rPr>
                <w:rFonts w:ascii="Arial" w:cs="Arial" w:eastAsia="Arial" w:hAnsi="Arial"/>
                <w:color w:val="444441"/>
                <w:sz w:val="20"/>
                <w:szCs w:val="20"/>
              </w:rPr>
              <w:t xml:space="preserve">Annual Recurring Revenue (ARR)</w:t>
            </w:r>
          </w:p>
        </w:tc>
        <w:tc>
          <w:tcPr>
            <w:tcW w:type="dxa" w:w="4363"/>
            <w:tcBorders>
              <w:top w:val="none" w:color="FFFFFF" w:sz="0"/>
              <w:left w:val="none" w:color="FFFFFF" w:sz="0"/>
              <w:bottom w:val="none" w:color="FFFFFF" w:sz="0"/>
              <w:right w:val="none" w:color="FFFFFF" w:sz="0"/>
            </w:tcBorders>
            <w:shd w:fill="E6F1FB" w:val="clear"/>
            <w:tcMar>
              <w:top w:type="dxa" w:w="160"/>
              <w:left w:type="dxa" w:w="200"/>
              <w:bottom w:type="dxa" w:w="160"/>
              <w:right w:type="dxa" w:w="200"/>
            </w:tcMar>
          </w:tcPr>
          <w:p>
            <w:pPr>
              <w:spacing w:after="30"/>
            </w:pPr>
            <w:r>
              <w:rPr>
                <w:rFonts w:ascii="Arial" w:cs="Arial" w:eastAsia="Arial" w:hAnsi="Arial"/>
                <w:b/>
                <w:bCs/>
                <w:color w:val="185FA5"/>
                <w:sz w:val="48"/>
                <w:szCs w:val="48"/>
              </w:rPr>
              <w:t xml:space="preserve">25+</w:t>
            </w:r>
          </w:p>
          <w:p>
            <w:pPr>
              <w:spacing w:after="20"/>
            </w:pPr>
            <w:r>
              <w:rPr>
                <w:rFonts w:ascii="Arial" w:cs="Arial" w:eastAsia="Arial" w:hAnsi="Arial"/>
                <w:color w:val="185FA5"/>
                <w:sz w:val="18"/>
                <w:szCs w:val="18"/>
              </w:rPr>
              <w:t xml:space="preserve">target tahun ke-2</w:t>
            </w:r>
          </w:p>
          <w:p>
            <w:r>
              <w:rPr>
                <w:rFonts w:ascii="Arial" w:cs="Arial" w:eastAsia="Arial" w:hAnsi="Arial"/>
                <w:color w:val="444441"/>
                <w:sz w:val="20"/>
                <w:szCs w:val="20"/>
              </w:rPr>
              <w:t xml:space="preserve">Pelanggan aktif (perusahaan/koperasi)</w:t>
            </w:r>
          </w:p>
        </w:tc>
      </w:tr>
      <w:tr>
        <w:tc>
          <w:tcPr>
            <w:tcW w:type="dxa" w:w="9026"/>
            <w:gridSpan w:val="2"/>
            <w:tcBorders>
              <w:top w:val="none" w:color="FFFFFF" w:sz="0"/>
              <w:left w:val="none" w:color="FFFFFF" w:sz="0"/>
              <w:bottom w:val="none" w:color="FFFFFF" w:sz="0"/>
              <w:right w:val="none" w:color="FFFFFF" w:sz="0"/>
            </w:tcBorders>
          </w:tcPr>
          <w:p>
            <w:r>
              <w:t xml:space="preserve"/>
            </w:r>
          </w:p>
        </w:tc>
      </w:tr>
      <w:tr>
        <w:tc>
          <w:tcPr>
            <w:tcW w:type="dxa" w:w="4363"/>
            <w:tcBorders>
              <w:top w:val="none" w:color="FFFFFF" w:sz="0"/>
              <w:left w:val="none" w:color="FFFFFF" w:sz="0"/>
              <w:bottom w:val="none" w:color="FFFFFF" w:sz="0"/>
              <w:right w:val="none" w:color="FFFFFF" w:sz="0"/>
            </w:tcBorders>
            <w:shd w:fill="E1F5EE" w:val="clear"/>
            <w:tcMar>
              <w:top w:type="dxa" w:w="160"/>
              <w:left w:type="dxa" w:w="200"/>
              <w:bottom w:type="dxa" w:w="160"/>
              <w:right w:type="dxa" w:w="200"/>
            </w:tcMar>
          </w:tcPr>
          <w:p>
            <w:pPr>
              <w:spacing w:after="30"/>
            </w:pPr>
            <w:r>
              <w:rPr>
                <w:rFonts w:ascii="Arial" w:cs="Arial" w:eastAsia="Arial" w:hAnsi="Arial"/>
                <w:b/>
                <w:bCs/>
                <w:color w:val="0F6E56"/>
                <w:sz w:val="48"/>
                <w:szCs w:val="48"/>
              </w:rPr>
              <w:t xml:space="preserve">&lt; 10%</w:t>
            </w:r>
          </w:p>
          <w:p>
            <w:pPr>
              <w:spacing w:after="20"/>
            </w:pPr>
            <w:r>
              <w:rPr>
                <w:rFonts w:ascii="Arial" w:cs="Arial" w:eastAsia="Arial" w:hAnsi="Arial"/>
                <w:color w:val="0F6E56"/>
                <w:sz w:val="18"/>
                <w:szCs w:val="18"/>
              </w:rPr>
              <w:t xml:space="preserve">target steady-state</w:t>
            </w:r>
          </w:p>
          <w:p>
            <w:r>
              <w:rPr>
                <w:rFonts w:ascii="Arial" w:cs="Arial" w:eastAsia="Arial" w:hAnsi="Arial"/>
                <w:color w:val="444441"/>
                <w:sz w:val="20"/>
                <w:szCs w:val="20"/>
              </w:rPr>
              <w:t xml:space="preserve">Churn rate tahunan</w:t>
            </w:r>
          </w:p>
        </w:tc>
        <w:tc>
          <w:tcPr>
            <w:tcW w:type="dxa" w:w="4363"/>
            <w:tcBorders>
              <w:top w:val="none" w:color="FFFFFF" w:sz="0"/>
              <w:left w:val="none" w:color="FFFFFF" w:sz="0"/>
              <w:bottom w:val="none" w:color="FFFFFF" w:sz="0"/>
              <w:right w:val="none" w:color="FFFFFF" w:sz="0"/>
            </w:tcBorders>
            <w:shd w:fill="FAEEDA" w:val="clear"/>
            <w:tcMar>
              <w:top w:type="dxa" w:w="160"/>
              <w:left w:type="dxa" w:w="200"/>
              <w:bottom w:type="dxa" w:w="160"/>
              <w:right w:type="dxa" w:w="200"/>
            </w:tcMar>
          </w:tcPr>
          <w:p>
            <w:pPr>
              <w:spacing w:after="30"/>
            </w:pPr>
            <w:r>
              <w:rPr>
                <w:rFonts w:ascii="Arial" w:cs="Arial" w:eastAsia="Arial" w:hAnsi="Arial"/>
                <w:b/>
                <w:bCs/>
                <w:color w:val="854F0B"/>
                <w:sz w:val="48"/>
                <w:szCs w:val="48"/>
              </w:rPr>
              <w:t xml:space="preserve">&lt; Rp 50 jt</w:t>
            </w:r>
          </w:p>
          <w:p>
            <w:pPr>
              <w:spacing w:after="20"/>
            </w:pPr>
            <w:r>
              <w:rPr>
                <w:rFonts w:ascii="Arial" w:cs="Arial" w:eastAsia="Arial" w:hAnsi="Arial"/>
                <w:color w:val="854F0B"/>
                <w:sz w:val="18"/>
                <w:szCs w:val="18"/>
              </w:rPr>
              <w:t xml:space="preserve">per pelanggan korporat</w:t>
            </w:r>
          </w:p>
          <w:p>
            <w:r>
              <w:rPr>
                <w:rFonts w:ascii="Arial" w:cs="Arial" w:eastAsia="Arial" w:hAnsi="Arial"/>
                <w:color w:val="444441"/>
                <w:sz w:val="20"/>
                <w:szCs w:val="20"/>
              </w:rPr>
              <w:t xml:space="preserve">Customer Acquisition Cost (CAC)</w:t>
            </w:r>
          </w:p>
        </w:tc>
      </w:tr>
    </w:tbl>
    <w:p>
      <w:r>
        <w:t xml:space="preserve"/>
      </w:r>
    </w:p>
    <w:p>
      <w:pPr>
        <w:pStyle w:val="Heading2"/>
        <w:spacing w:after="80" w:before="260"/>
      </w:pPr>
      <w:r>
        <w:rPr>
          <w:rFonts w:ascii="Arial" w:cs="Arial" w:eastAsia="Arial" w:hAnsi="Arial"/>
          <w:b/>
          <w:bCs/>
          <w:color w:val="0F6E56"/>
          <w:sz w:val="26"/>
          <w:szCs w:val="26"/>
        </w:rPr>
        <w:t xml:space="preserve">5.3 KPI Dampak Agronomis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63"/>
        <w:gridCol w:w="4663"/>
      </w:tblGrid>
      <w:tr>
        <w:tc>
          <w:tcPr>
            <w:tcW w:type="dxa" w:w="4363"/>
            <w:tcBorders>
              <w:top w:val="none" w:color="FFFFFF" w:sz="0"/>
              <w:left w:val="none" w:color="FFFFFF" w:sz="0"/>
              <w:bottom w:val="none" w:color="FFFFFF" w:sz="0"/>
              <w:right w:val="none" w:color="FFFFFF" w:sz="0"/>
            </w:tcBorders>
            <w:shd w:fill="E8F5EE" w:val="clear"/>
            <w:tcMar>
              <w:top w:type="dxa" w:w="160"/>
              <w:left w:type="dxa" w:w="200"/>
              <w:bottom w:type="dxa" w:w="160"/>
              <w:right w:type="dxa" w:w="200"/>
            </w:tcMar>
          </w:tcPr>
          <w:p>
            <w:pPr>
              <w:spacing w:after="30"/>
            </w:pPr>
            <w:r>
              <w:rPr>
                <w:rFonts w:ascii="Arial" w:cs="Arial" w:eastAsia="Arial" w:hAnsi="Arial"/>
                <w:b/>
                <w:bCs/>
                <w:color w:val="1A6B3C"/>
                <w:sz w:val="48"/>
                <w:szCs w:val="48"/>
              </w:rPr>
              <w:t xml:space="preserve">+15%</w:t>
            </w:r>
          </w:p>
          <w:p>
            <w:pPr>
              <w:spacing w:after="20"/>
            </w:pPr>
            <w:r>
              <w:rPr>
                <w:rFonts w:ascii="Arial" w:cs="Arial" w:eastAsia="Arial" w:hAnsi="Arial"/>
                <w:color w:val="1A6B3C"/>
                <w:sz w:val="18"/>
                <w:szCs w:val="18"/>
              </w:rPr>
              <w:t xml:space="preserve">vs baseline (ton TBS/ha)</w:t>
            </w:r>
          </w:p>
          <w:p>
            <w:r>
              <w:rPr>
                <w:rFonts w:ascii="Arial" w:cs="Arial" w:eastAsia="Arial" w:hAnsi="Arial"/>
                <w:color w:val="444441"/>
                <w:sz w:val="20"/>
                <w:szCs w:val="20"/>
              </w:rPr>
              <w:t xml:space="preserve">Peningkatan produktivitas blok intervensi</w:t>
            </w:r>
          </w:p>
        </w:tc>
        <w:tc>
          <w:tcPr>
            <w:tcW w:type="dxa" w:w="4363"/>
            <w:tcBorders>
              <w:top w:val="none" w:color="FFFFFF" w:sz="0"/>
              <w:left w:val="none" w:color="FFFFFF" w:sz="0"/>
              <w:bottom w:val="none" w:color="FFFFFF" w:sz="0"/>
              <w:right w:val="none" w:color="FFFFFF" w:sz="0"/>
            </w:tcBorders>
            <w:shd w:fill="FAECE7" w:val="clear"/>
            <w:tcMar>
              <w:top w:type="dxa" w:w="160"/>
              <w:left w:type="dxa" w:w="200"/>
              <w:bottom w:type="dxa" w:w="160"/>
              <w:right w:type="dxa" w:w="200"/>
            </w:tcMar>
          </w:tcPr>
          <w:p>
            <w:pPr>
              <w:spacing w:after="30"/>
            </w:pPr>
            <w:r>
              <w:rPr>
                <w:rFonts w:ascii="Arial" w:cs="Arial" w:eastAsia="Arial" w:hAnsi="Arial"/>
                <w:b/>
                <w:bCs/>
                <w:color w:val="993C1D"/>
                <w:sz w:val="48"/>
                <w:szCs w:val="48"/>
              </w:rPr>
              <w:t xml:space="preserve">−20%</w:t>
            </w:r>
          </w:p>
          <w:p>
            <w:pPr>
              <w:spacing w:after="20"/>
            </w:pPr>
            <w:r>
              <w:rPr>
                <w:rFonts w:ascii="Arial" w:cs="Arial" w:eastAsia="Arial" w:hAnsi="Arial"/>
                <w:color w:val="993C1D"/>
                <w:sz w:val="18"/>
                <w:szCs w:val="18"/>
              </w:rPr>
              <w:t xml:space="preserve">per hektar per tahun</w:t>
            </w:r>
          </w:p>
          <w:p>
            <w:r>
              <w:rPr>
                <w:rFonts w:ascii="Arial" w:cs="Arial" w:eastAsia="Arial" w:hAnsi="Arial"/>
                <w:color w:val="444441"/>
                <w:sz w:val="20"/>
                <w:szCs w:val="20"/>
              </w:rPr>
              <w:t xml:space="preserve">Pengurangan biaya input (pupuk/pestisida)</w:t>
            </w:r>
          </w:p>
        </w:tc>
      </w:tr>
      <w:tr>
        <w:tc>
          <w:tcPr>
            <w:tcW w:type="dxa" w:w="9026"/>
            <w:gridSpan w:val="2"/>
            <w:tcBorders>
              <w:top w:val="none" w:color="FFFFFF" w:sz="0"/>
              <w:left w:val="none" w:color="FFFFFF" w:sz="0"/>
              <w:bottom w:val="none" w:color="FFFFFF" w:sz="0"/>
              <w:right w:val="none" w:color="FFFFFF" w:sz="0"/>
            </w:tcBorders>
          </w:tcPr>
          <w:p>
            <w:r>
              <w:t xml:space="preserve"/>
            </w:r>
          </w:p>
        </w:tc>
      </w:tr>
      <w:tr>
        <w:tc>
          <w:tcPr>
            <w:tcW w:type="dxa" w:w="4363"/>
            <w:tcBorders>
              <w:top w:val="none" w:color="FFFFFF" w:sz="0"/>
              <w:left w:val="none" w:color="FFFFFF" w:sz="0"/>
              <w:bottom w:val="none" w:color="FFFFFF" w:sz="0"/>
              <w:right w:val="none" w:color="FFFFFF" w:sz="0"/>
            </w:tcBorders>
            <w:shd w:fill="E6F1FB" w:val="clear"/>
            <w:tcMar>
              <w:top w:type="dxa" w:w="160"/>
              <w:left w:type="dxa" w:w="200"/>
              <w:bottom w:type="dxa" w:w="160"/>
              <w:right w:type="dxa" w:w="200"/>
            </w:tcMar>
          </w:tcPr>
          <w:p>
            <w:pPr>
              <w:spacing w:after="30"/>
            </w:pPr>
            <w:r>
              <w:rPr>
                <w:rFonts w:ascii="Arial" w:cs="Arial" w:eastAsia="Arial" w:hAnsi="Arial"/>
                <w:b/>
                <w:bCs/>
                <w:color w:val="185FA5"/>
                <w:sz w:val="48"/>
                <w:szCs w:val="48"/>
              </w:rPr>
              <w:t xml:space="preserve">≥ 85%</w:t>
            </w:r>
          </w:p>
          <w:p>
            <w:pPr>
              <w:spacing w:after="20"/>
            </w:pPr>
            <w:r>
              <w:rPr>
                <w:rFonts w:ascii="Arial" w:cs="Arial" w:eastAsia="Arial" w:hAnsi="Arial"/>
                <w:color w:val="185FA5"/>
                <w:sz w:val="18"/>
                <w:szCs w:val="18"/>
              </w:rPr>
              <w:t xml:space="preserve">presisi deteksi stres tanaman</w:t>
            </w:r>
          </w:p>
          <w:p>
            <w:r>
              <w:rPr>
                <w:rFonts w:ascii="Arial" w:cs="Arial" w:eastAsia="Arial" w:hAnsi="Arial"/>
                <w:color w:val="444441"/>
                <w:sz w:val="20"/>
                <w:szCs w:val="20"/>
              </w:rPr>
              <w:t xml:space="preserve">Akurasi alert kondisi kritis</w:t>
            </w:r>
          </w:p>
        </w:tc>
        <w:tc>
          <w:tcPr>
            <w:tcW w:type="dxa" w:w="4363"/>
            <w:tcBorders>
              <w:top w:val="none" w:color="FFFFFF" w:sz="0"/>
              <w:left w:val="none" w:color="FFFFFF" w:sz="0"/>
              <w:bottom w:val="none" w:color="FFFFFF" w:sz="0"/>
              <w:right w:val="none" w:color="FFFFFF" w:sz="0"/>
            </w:tcBorders>
            <w:shd w:fill="EEEDFE" w:val="clear"/>
            <w:tcMar>
              <w:top w:type="dxa" w:w="160"/>
              <w:left w:type="dxa" w:w="200"/>
              <w:bottom w:type="dxa" w:w="160"/>
              <w:right w:type="dxa" w:w="200"/>
            </w:tcMar>
          </w:tcPr>
          <w:p>
            <w:pPr>
              <w:spacing w:after="30"/>
            </w:pPr>
            <w:r>
              <w:rPr>
                <w:rFonts w:ascii="Arial" w:cs="Arial" w:eastAsia="Arial" w:hAnsi="Arial"/>
                <w:b/>
                <w:bCs/>
                <w:color w:val="3C3489"/>
                <w:sz w:val="48"/>
                <w:szCs w:val="48"/>
              </w:rPr>
              <w:t xml:space="preserve">&lt; 5 hari</w:t>
            </w:r>
          </w:p>
          <w:p>
            <w:pPr>
              <w:spacing w:after="20"/>
            </w:pPr>
            <w:r>
              <w:rPr>
                <w:rFonts w:ascii="Arial" w:cs="Arial" w:eastAsia="Arial" w:hAnsi="Arial"/>
                <w:color w:val="3C3489"/>
                <w:sz w:val="18"/>
                <w:szCs w:val="18"/>
              </w:rPr>
              <w:t xml:space="preserve">dari data satelit tersedia</w:t>
            </w:r>
          </w:p>
          <w:p>
            <w:r>
              <w:rPr>
                <w:rFonts w:ascii="Arial" w:cs="Arial" w:eastAsia="Arial" w:hAnsi="Arial"/>
                <w:color w:val="444441"/>
                <w:sz w:val="20"/>
                <w:szCs w:val="20"/>
              </w:rPr>
              <w:t xml:space="preserve">Waktu deteksi anomali ke rekomendasi</w:t>
            </w:r>
          </w:p>
        </w:tc>
      </w:tr>
    </w:tbl>
    <w:p>
      <w:r>
        <w:t xml:space="preserve"/>
      </w:r>
    </w:p>
    <w:p>
      <w:pPr>
        <w:pStyle w:val="Heading2"/>
        <w:spacing w:after="80" w:before="260"/>
      </w:pPr>
      <w:r>
        <w:rPr>
          <w:rFonts w:ascii="Arial" w:cs="Arial" w:eastAsia="Arial" w:hAnsi="Arial"/>
          <w:b/>
          <w:bCs/>
          <w:color w:val="0F6E56"/>
          <w:sz w:val="26"/>
          <w:szCs w:val="26"/>
        </w:rPr>
        <w:t xml:space="preserve">5.4 KPI Operasional Tim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DDDDD" w:sz="1"/>
              <w:left w:val="single" w:color="DDDDDD" w:sz="1"/>
              <w:bottom w:val="single" w:color="DDDDDD" w:sz="1"/>
              <w:right w:val="single" w:color="DDDDDD" w:sz="1"/>
            </w:tcBorders>
            <w:shd w:fill="0F6E56" w:val="clear"/>
            <w:tcMar>
              <w:top w:type="dxa" w:w="100"/>
              <w:left w:type="dxa" w:w="140"/>
              <w:bottom w:type="dxa" w:w="100"/>
              <w:right w:type="dxa" w:w="140"/>
            </w:tcMar>
          </w:tcPr>
          <w:p>
            <w:r>
              <w:rPr>
                <w:rFonts w:ascii="Arial" w:cs="Arial" w:eastAsia="Arial" w:hAnsi="Arial"/>
                <w:b/>
                <w:bCs/>
                <w:color w:val="FFFFFF"/>
                <w:sz w:val="20"/>
                <w:szCs w:val="20"/>
              </w:rPr>
              <w:t xml:space="preserve">KPI</w:t>
            </w:r>
          </w:p>
        </w:tc>
        <w:tc>
          <w:tcPr>
            <w:tcW w:type="dxa" w:w="3000"/>
            <w:tcBorders>
              <w:top w:val="single" w:color="DDDDDD" w:sz="1"/>
              <w:left w:val="single" w:color="DDDDDD" w:sz="1"/>
              <w:bottom w:val="single" w:color="DDDDDD" w:sz="1"/>
              <w:right w:val="single" w:color="DDDDDD" w:sz="1"/>
            </w:tcBorders>
            <w:shd w:fill="0F6E56" w:val="clear"/>
            <w:tcMar>
              <w:top w:type="dxa" w:w="100"/>
              <w:left w:type="dxa" w:w="140"/>
              <w:bottom w:type="dxa" w:w="100"/>
              <w:right w:type="dxa" w:w="140"/>
            </w:tcMar>
          </w:tcPr>
          <w:p>
            <w:r>
              <w:rPr>
                <w:rFonts w:ascii="Arial" w:cs="Arial" w:eastAsia="Arial" w:hAnsi="Arial"/>
                <w:b/>
                <w:bCs/>
                <w:color w:val="FFFFFF"/>
                <w:sz w:val="20"/>
                <w:szCs w:val="20"/>
              </w:rPr>
              <w:t xml:space="preserve">Target</w:t>
            </w:r>
          </w:p>
        </w:tc>
        <w:tc>
          <w:tcPr>
            <w:tcW w:type="dxa" w:w="3026"/>
            <w:tcBorders>
              <w:top w:val="single" w:color="DDDDDD" w:sz="1"/>
              <w:left w:val="single" w:color="DDDDDD" w:sz="1"/>
              <w:bottom w:val="single" w:color="DDDDDD" w:sz="1"/>
              <w:right w:val="single" w:color="DDDDDD" w:sz="1"/>
            </w:tcBorders>
            <w:shd w:fill="0F6E56" w:val="clear"/>
            <w:tcMar>
              <w:top w:type="dxa" w:w="100"/>
              <w:left w:type="dxa" w:w="140"/>
              <w:bottom w:type="dxa" w:w="100"/>
              <w:right w:type="dxa" w:w="140"/>
            </w:tcMar>
          </w:tcPr>
          <w:p>
            <w:r>
              <w:rPr>
                <w:rFonts w:ascii="Arial" w:cs="Arial" w:eastAsia="Arial" w:hAnsi="Arial"/>
                <w:b/>
                <w:bCs/>
                <w:color w:val="FFFFFF"/>
                <w:sz w:val="20"/>
                <w:szCs w:val="20"/>
              </w:rPr>
              <w:t xml:space="preserve">Periode</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Data pipeline uptime (GEE → PostGIS)</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 99%</w:t>
            </w:r>
          </w:p>
        </w:tc>
        <w:tc>
          <w:tcPr>
            <w:tcW w:type="dxa" w:w="3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Bulanan</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Waktu onboarding pelanggan baru</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&lt; 2 minggu</w:t>
            </w:r>
          </w:p>
        </w:tc>
        <w:tc>
          <w:tcPr>
            <w:tcW w:type="dxa" w:w="3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Per klien</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Ground truth sample per kuartal</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 50 titik</w:t>
            </w:r>
          </w:p>
        </w:tc>
        <w:tc>
          <w:tcPr>
            <w:tcW w:type="dxa" w:w="3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Per lokasi aktif</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Jumlah literatur acuan tervalidasi</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 30 paper</w:t>
            </w:r>
          </w:p>
        </w:tc>
        <w:tc>
          <w:tcPr>
            <w:tcW w:type="dxa" w:w="3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Tahun ke-1</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NPS (Net Promoter Score)</w:t>
            </w:r>
          </w:p>
        </w:tc>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 50</w:t>
            </w:r>
          </w:p>
        </w:tc>
        <w:tc>
          <w:tcPr>
            <w:tcW w:type="dxa" w:w="3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Semester</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6. Sumber Daya yang Dibutuhkan</w:t>
      </w:r>
    </w:p>
    <w:p>
      <w:pPr>
        <w:pStyle w:val="Heading2"/>
        <w:spacing w:after="80" w:before="260"/>
      </w:pPr>
      <w:r>
        <w:rPr>
          <w:rFonts w:ascii="Arial" w:cs="Arial" w:eastAsia="Arial" w:hAnsi="Arial"/>
          <w:b/>
          <w:bCs/>
          <w:color w:val="0F6E56"/>
          <w:sz w:val="26"/>
          <w:szCs w:val="26"/>
        </w:rPr>
        <w:t xml:space="preserve">6.1 Tim Inti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26"/>
      </w:tblGrid>
      <w:tr>
        <w:trPr>
          <w:tblHeader/>
        </w:trPr>
        <w:tc>
          <w:tcPr>
            <w:tcW w:type="dxa" w:w="2800"/>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Peran</w:t>
            </w:r>
          </w:p>
        </w:tc>
        <w:tc>
          <w:tcPr>
            <w:tcW w:type="dxa" w:w="2200"/>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Kompetensi Utama</w:t>
            </w:r>
          </w:p>
        </w:tc>
        <w:tc>
          <w:tcPr>
            <w:tcW w:type="dxa" w:w="2000"/>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Jumlah</w:t>
            </w:r>
          </w:p>
        </w:tc>
        <w:tc>
          <w:tcPr>
            <w:tcW w:type="dxa" w:w="2026"/>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Prioritas</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Geospatial Engineer</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GEE, PostGIS, Python, raster analysis</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1–2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Kritis – Fase 1</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Data Scientist / Statistisi</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Regresi spasial, GWR, R/Python</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Kritis – Fase 2</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Agronomis Sawit</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Domain expertise, lapangan, literatur</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Kritis – Fase 3</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Full-stack Developer</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React, FastAPI, MapLibre, PostGIS API</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2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Kritis – Fase 5</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GIS Analyst</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QGIS, overlay analysis, data cleaning</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Penting</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Product Manager</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Roadmap, riset pengguna, agri-tech UX</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Penting</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Field Coordinator</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Koordinasi ground truth, pelatihan petani</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1–2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Fase 3+</w:t>
            </w:r>
          </w:p>
        </w:tc>
      </w:tr>
      <w:tr>
        <w:trPr>
          <w:tblHeader w:val="false"/>
        </w:trPr>
        <w:tc>
          <w:tcPr>
            <w:tcW w:type="dxa" w:w="28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Business Dev / Sales</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Agri industry network, korporasi sawit</w:t>
            </w:r>
          </w:p>
        </w:tc>
        <w:tc>
          <w:tcPr>
            <w:tcW w:type="dxa" w:w="2000"/>
            <w:tcBorders>
              <w:top w:val="single" w:color="DDDDDD" w:sz="1"/>
              <w:left w:val="single" w:color="DDDDDD" w:sz="1"/>
              <w:bottom w:val="single" w:color="DDDDDD" w:sz="1"/>
              <w:right w:val="single" w:color="DDDDDD" w:sz="1"/>
            </w:tcBorders>
            <w:shd w:fill="EEEDFE" w:val="clear"/>
            <w:tcMar>
              <w:top w:type="dxa" w:w="100"/>
              <w:left w:type="dxa" w:w="140"/>
              <w:bottom w:type="dxa" w:w="100"/>
              <w:right w:type="dxa" w:w="140"/>
            </w:tcMar>
          </w:tcPr>
          <w:p>
            <w:r>
              <w:rPr>
                <w:rFonts w:ascii="Arial" w:cs="Arial" w:eastAsia="Arial" w:hAnsi="Arial"/>
                <w:b w:val="false"/>
                <w:bCs w:val="false"/>
                <w:color w:val="1A1A18"/>
                <w:sz w:val="20"/>
                <w:szCs w:val="20"/>
              </w:rPr>
              <w:t xml:space="preserve">1 orang</w:t>
            </w:r>
          </w:p>
        </w:tc>
        <w:tc>
          <w:tcPr>
            <w:tcW w:type="dxa" w:w="20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Fase 2+</w:t>
            </w:r>
          </w:p>
        </w:tc>
      </w:tr>
    </w:tbl>
    <w:p>
      <w:r>
        <w:t xml:space="preserve"/>
      </w:r>
    </w:p>
    <w:p>
      <w:pPr>
        <w:pStyle w:val="Heading2"/>
        <w:spacing w:after="80" w:before="260"/>
      </w:pPr>
      <w:r>
        <w:rPr>
          <w:rFonts w:ascii="Arial" w:cs="Arial" w:eastAsia="Arial" w:hAnsi="Arial"/>
          <w:b/>
          <w:bCs/>
          <w:color w:val="0F6E56"/>
          <w:sz w:val="26"/>
          <w:szCs w:val="26"/>
        </w:rPr>
        <w:t xml:space="preserve">6.2 Infrastruktur Teknologi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Komponen</w:t>
            </w:r>
          </w:p>
        </w:tc>
        <w:tc>
          <w:tcPr>
            <w:tcW w:type="dxa" w:w="5826"/>
            <w:tcBorders>
              <w:top w:val="single" w:color="DDDDDD" w:sz="1"/>
              <w:left w:val="single" w:color="DDDDDD" w:sz="1"/>
              <w:bottom w:val="single" w:color="DDDDDD" w:sz="1"/>
              <w:right w:val="single" w:color="DDDDDD" w:sz="1"/>
            </w:tcBorders>
            <w:shd w:fill="3C3489" w:val="clear"/>
            <w:tcMar>
              <w:top w:type="dxa" w:w="100"/>
              <w:left w:type="dxa" w:w="140"/>
              <w:bottom w:type="dxa" w:w="100"/>
              <w:right w:type="dxa" w:w="140"/>
            </w:tcMar>
          </w:tcPr>
          <w:p>
            <w:r>
              <w:rPr>
                <w:rFonts w:ascii="Arial" w:cs="Arial" w:eastAsia="Arial" w:hAnsi="Arial"/>
                <w:b/>
                <w:bCs/>
                <w:color w:val="FFFFFF"/>
                <w:sz w:val="20"/>
                <w:szCs w:val="20"/>
              </w:rPr>
              <w:t xml:space="preserve">Spesifikasi &amp; Biaya Estimasi</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Google Earth Engine (GEE)</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Commercial licence: ~USD 2.000–5.000/thn untuk akses API intensif</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Cloud server (GCP/AWS)</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2× instance medium + object storage: ~USD 200–400/bln</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PostgreSQL + PostGIS</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Managed DB (Cloud SQL / RDS): ~USD 100–200/bln</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Satellite data (opsional komersial)</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Sentinel-2 &amp; Landsat gratis via GEE; Planet/SPOT jika butuh resolusi &gt;10m</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SoilGrids / CHIRPS / MODIS</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Gratis, via API atau download bulk</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Tile server (PMTiles / GeoServer)</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Self-hosted atau Protomaps Cloud: ~USD 50–100/bln</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CI/CD &amp; monitoring</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GitHub Actions + Sentry + Grafana: ~USD 50/bln</w:t>
            </w:r>
          </w:p>
        </w:tc>
      </w:tr>
    </w:tbl>
    <w:p>
      <w:r>
        <w:t xml:space="preserve"/>
      </w:r>
    </w:p>
    <w:p>
      <w:pPr>
        <w:pStyle w:val="Heading2"/>
        <w:spacing w:after="80" w:before="260"/>
      </w:pPr>
      <w:r>
        <w:rPr>
          <w:rFonts w:ascii="Arial" w:cs="Arial" w:eastAsia="Arial" w:hAnsi="Arial"/>
          <w:b/>
          <w:bCs/>
          <w:color w:val="0F6E56"/>
          <w:sz w:val="26"/>
          <w:szCs w:val="26"/>
        </w:rPr>
        <w:t xml:space="preserve">6.3 Data &amp; Kemitraan Strategis</w:t>
      </w:r>
    </w:p>
    <w:p>
      <w:pPr>
        <w:pStyle w:val="ListParagraph"/>
        <w:numPr>
          <w:ilvl w:val="0"/>
          <w:numId w:val="2"/>
        </w:numPr>
        <w:spacing w:after="80"/>
      </w:pPr>
      <w:r>
        <w:rPr>
          <w:rFonts w:ascii="Arial" w:cs="Arial" w:eastAsia="Arial" w:hAnsi="Arial"/>
          <w:color w:val="1A1A18"/>
          <w:sz w:val="22"/>
          <w:szCs w:val="22"/>
        </w:rPr>
        <w:t xml:space="preserve">Akses data blok panen dari mitra perusahaan perkebunan (sebagai pilot partner), disertai NDA dan data sharing agreement.</w:t>
      </w:r>
    </w:p>
    <w:p>
      <w:pPr>
        <w:pStyle w:val="ListParagraph"/>
        <w:numPr>
          <w:ilvl w:val="0"/>
          <w:numId w:val="2"/>
        </w:numPr>
        <w:spacing w:after="80"/>
      </w:pPr>
      <w:r>
        <w:rPr>
          <w:rFonts w:ascii="Arial" w:cs="Arial" w:eastAsia="Arial" w:hAnsi="Arial"/>
          <w:color w:val="1A1A18"/>
          <w:sz w:val="22"/>
          <w:szCs w:val="22"/>
        </w:rPr>
        <w:t xml:space="preserve">Kemitraan penelitian dengan Institut Pertanian Bogor (IPB) atau PPKS (Pusat Penelitian Kelapa Sawit Medan) untuk validasi model agronomis.</w:t>
      </w:r>
    </w:p>
    <w:p>
      <w:pPr>
        <w:pStyle w:val="ListParagraph"/>
        <w:numPr>
          <w:ilvl w:val="0"/>
          <w:numId w:val="2"/>
        </w:numPr>
        <w:spacing w:after="80"/>
      </w:pPr>
      <w:r>
        <w:rPr>
          <w:rFonts w:ascii="Arial" w:cs="Arial" w:eastAsia="Arial" w:hAnsi="Arial"/>
          <w:color w:val="1A1A18"/>
          <w:sz w:val="22"/>
          <w:szCs w:val="22"/>
        </w:rPr>
        <w:t xml:space="preserve">Kolaborasi BRIN / LAPAN untuk akses data satelit nasional (LAPAN-A3, dataset Sentinel Indonesia).</w:t>
      </w:r>
    </w:p>
    <w:p>
      <w:pPr>
        <w:pStyle w:val="ListParagraph"/>
        <w:numPr>
          <w:ilvl w:val="0"/>
          <w:numId w:val="2"/>
        </w:numPr>
        <w:spacing w:after="80"/>
      </w:pPr>
      <w:r>
        <w:rPr>
          <w:rFonts w:ascii="Arial" w:cs="Arial" w:eastAsia="Arial" w:hAnsi="Arial"/>
          <w:color w:val="1A1A18"/>
          <w:sz w:val="22"/>
          <w:szCs w:val="22"/>
        </w:rPr>
        <w:t xml:space="preserve">Jaringan Asosiasi Petani Kelapa Sawit (APKASINDO) untuk pilot petani plasma.</w:t>
      </w:r>
    </w:p>
    <w:p>
      <w:r>
        <w:t xml:space="preserve"/>
      </w:r>
    </w:p>
    <w:p>
      <w:pPr>
        <w:pStyle w:val="Heading2"/>
        <w:spacing w:after="80" w:before="260"/>
      </w:pPr>
      <w:r>
        <w:rPr>
          <w:rFonts w:ascii="Arial" w:cs="Arial" w:eastAsia="Arial" w:hAnsi="Arial"/>
          <w:b/>
          <w:bCs/>
          <w:color w:val="0F6E56"/>
          <w:sz w:val="26"/>
          <w:szCs w:val="26"/>
        </w:rPr>
        <w:t xml:space="preserve">6.4 Anggaran Estimasi Fase 1 (12 Bulan Pertama)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DDDDDD" w:sz="1"/>
              <w:left w:val="single" w:color="DDDDDD" w:sz="1"/>
              <w:bottom w:val="single" w:color="DDDDDD" w:sz="1"/>
              <w:right w:val="single" w:color="DDDDDD" w:sz="1"/>
            </w:tcBorders>
            <w:shd w:fill="854F0B" w:val="clear"/>
            <w:tcMar>
              <w:top w:type="dxa" w:w="100"/>
              <w:left w:type="dxa" w:w="140"/>
              <w:bottom w:type="dxa" w:w="100"/>
              <w:right w:type="dxa" w:w="140"/>
            </w:tcMar>
          </w:tcPr>
          <w:p>
            <w:r>
              <w:rPr>
                <w:rFonts w:ascii="Arial" w:cs="Arial" w:eastAsia="Arial" w:hAnsi="Arial"/>
                <w:b/>
                <w:bCs/>
                <w:color w:val="FFFFFF"/>
                <w:sz w:val="20"/>
                <w:szCs w:val="20"/>
              </w:rPr>
              <w:t xml:space="preserve">Kategori</w:t>
            </w:r>
          </w:p>
        </w:tc>
        <w:tc>
          <w:tcPr>
            <w:tcW w:type="dxa" w:w="5526"/>
            <w:tcBorders>
              <w:top w:val="single" w:color="DDDDDD" w:sz="1"/>
              <w:left w:val="single" w:color="DDDDDD" w:sz="1"/>
              <w:bottom w:val="single" w:color="DDDDDD" w:sz="1"/>
              <w:right w:val="single" w:color="DDDDDD" w:sz="1"/>
            </w:tcBorders>
            <w:shd w:fill="854F0B" w:val="clear"/>
            <w:tcMar>
              <w:top w:type="dxa" w:w="100"/>
              <w:left w:type="dxa" w:w="140"/>
              <w:bottom w:type="dxa" w:w="100"/>
              <w:right w:type="dxa" w:w="140"/>
            </w:tcMar>
          </w:tcPr>
          <w:p>
            <w:r>
              <w:rPr>
                <w:rFonts w:ascii="Arial" w:cs="Arial" w:eastAsia="Arial" w:hAnsi="Arial"/>
                <w:b/>
                <w:bCs/>
                <w:color w:val="FFFFFF"/>
                <w:sz w:val="20"/>
                <w:szCs w:val="20"/>
              </w:rPr>
              <w:t xml:space="preserve">Estimasi (IDR)</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Gaji tim inti (6 orang × 12 bulan)</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1,44 M – 2,16 M</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Infrastruktur cloud + GEE</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60–90 jt</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Ground truth lapangan (transport, sensor)</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80–120 jt</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Pengembangan produk &amp; lisensi software</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50–80 jt</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Pemasaran &amp; business development</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100–150 jt</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Operasional &amp; legal</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50–80 jt</w:t>
            </w:r>
          </w:p>
        </w:tc>
      </w:tr>
      <w:tr>
        <w:trPr>
          <w:tblHeader w:val="false"/>
        </w:trPr>
        <w:tc>
          <w:tcPr>
            <w:tcW w:type="dxa" w:w="35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TOTAL ESTIMASI TAHUN KE-1</w:t>
            </w:r>
          </w:p>
        </w:tc>
        <w:tc>
          <w:tcPr>
            <w:tcW w:type="dxa" w:w="55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1,78 M – 2,68 M</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7. Skala &amp; Roadmap Pertumbuhan</w:t>
      </w:r>
    </w:p>
    <w:p>
      <w:pPr>
        <w:pStyle w:val="Heading2"/>
        <w:spacing w:after="80" w:before="260"/>
      </w:pPr>
      <w:r>
        <w:rPr>
          <w:rFonts w:ascii="Arial" w:cs="Arial" w:eastAsia="Arial" w:hAnsi="Arial"/>
          <w:b/>
          <w:bCs/>
          <w:color w:val="0F6E56"/>
          <w:sz w:val="26"/>
          <w:szCs w:val="26"/>
        </w:rPr>
        <w:t xml:space="preserve">7.1 Fase Pertumbuhan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EFE8" w:val="clear"/>
            <w:tcMar>
              <w:top w:type="dxa" w:w="160"/>
              <w:left w:type="dxa" w:w="240"/>
              <w:bottom w:type="dxa" w:w="180"/>
              <w:right w:type="dxa" w:w="240"/>
            </w:tcMar>
          </w:tcPr>
          <w:p>
            <w:pPr>
              <w:spacing w:after="60"/>
            </w:pPr>
            <w:r>
              <w:rPr>
                <w:rFonts w:ascii="Arial" w:cs="Arial" w:eastAsia="Arial" w:hAnsi="Arial"/>
                <w:b/>
                <w:bCs/>
                <w:caps/>
                <w:color w:val="444441"/>
                <w:sz w:val="18"/>
                <w:szCs w:val="18"/>
              </w:rPr>
              <w:t xml:space="preserve">FASE 1  </w:t>
            </w:r>
            <w:r>
              <w:rPr>
                <w:rFonts w:ascii="Arial" w:cs="Arial" w:eastAsia="Arial" w:hAnsi="Arial"/>
                <w:i/>
                <w:iCs/>
                <w:color w:val="444441"/>
                <w:sz w:val="18"/>
                <w:szCs w:val="18"/>
              </w:rPr>
              <w:t xml:space="preserve">Bulan 1–6</w:t>
            </w:r>
          </w:p>
          <w:p>
            <w:pPr>
              <w:spacing w:after="100"/>
            </w:pPr>
            <w:r>
              <w:rPr>
                <w:rFonts w:ascii="Arial" w:cs="Arial" w:eastAsia="Arial" w:hAnsi="Arial"/>
                <w:b/>
                <w:bCs/>
                <w:color w:val="444441"/>
                <w:sz w:val="26"/>
                <w:szCs w:val="26"/>
              </w:rPr>
              <w:t xml:space="preserve">MVP &amp; Validasi Ilmiah</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Pipeline GEE → PostGIS live untuk 1 lokasi pilot (50.000–100.000 ha)</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Integrasi data blok panen dari 1 mitra perusahaan</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Validasi regresi: identifikasi ≥ 3 variabel prediktor signifikan (R² ≥ 0,50)</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Prototype dashboard web (read-only): peta + time-series NDVI vs panen</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Ground truth pertama: ≥ 30 titik sampel lapangan</w:t>
            </w:r>
          </w:p>
          <w:p>
            <w:pPr>
              <w:spacing w:after="60"/>
            </w:pPr>
            <w:r>
              <w:rPr>
                <w:rFonts w:ascii="Arial" w:cs="Arial" w:eastAsia="Arial" w:hAnsi="Arial"/>
                <w:b/>
                <w:bCs/>
                <w:color w:val="444441"/>
                <w:sz w:val="20"/>
                <w:szCs w:val="20"/>
              </w:rPr>
              <w:t xml:space="preserve">▸ </w:t>
            </w:r>
            <w:r>
              <w:rPr>
                <w:rFonts w:ascii="Arial" w:cs="Arial" w:eastAsia="Arial" w:hAnsi="Arial"/>
                <w:color w:val="444441"/>
                <w:sz w:val="20"/>
                <w:szCs w:val="20"/>
              </w:rPr>
              <w:t xml:space="preserve">Output: paper internal / white paper untuk akuisisi investor</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8F5EE" w:val="clear"/>
            <w:tcMar>
              <w:top w:type="dxa" w:w="160"/>
              <w:left w:type="dxa" w:w="240"/>
              <w:bottom w:type="dxa" w:w="180"/>
              <w:right w:type="dxa" w:w="240"/>
            </w:tcMar>
          </w:tcPr>
          <w:p>
            <w:pPr>
              <w:spacing w:after="60"/>
            </w:pPr>
            <w:r>
              <w:rPr>
                <w:rFonts w:ascii="Arial" w:cs="Arial" w:eastAsia="Arial" w:hAnsi="Arial"/>
                <w:b/>
                <w:bCs/>
                <w:caps/>
                <w:color w:val="0F6E56"/>
                <w:sz w:val="18"/>
                <w:szCs w:val="18"/>
              </w:rPr>
              <w:t xml:space="preserve">FASE 2  </w:t>
            </w:r>
            <w:r>
              <w:rPr>
                <w:rFonts w:ascii="Arial" w:cs="Arial" w:eastAsia="Arial" w:hAnsi="Arial"/>
                <w:i/>
                <w:iCs/>
                <w:color w:val="0F6E56"/>
                <w:sz w:val="18"/>
                <w:szCs w:val="18"/>
              </w:rPr>
              <w:t xml:space="preserve">Bulan 7–12</w:t>
            </w:r>
          </w:p>
          <w:p>
            <w:pPr>
              <w:spacing w:after="100"/>
            </w:pPr>
            <w:r>
              <w:rPr>
                <w:rFonts w:ascii="Arial" w:cs="Arial" w:eastAsia="Arial" w:hAnsi="Arial"/>
                <w:b/>
                <w:bCs/>
                <w:color w:val="0F6E56"/>
                <w:sz w:val="26"/>
                <w:szCs w:val="26"/>
              </w:rPr>
              <w:t xml:space="preserve">Produk Beta &amp; Pilot Berbayar</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Dashboard interaktif penuh: overlay, intervensi, lag prediction, alert</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Form mobile lapangan (PWA offline) untuk field team</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Onboarding 3–5 klien pilot berbayar (model freemium atau pilot contract)</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Model regresi multi-variabel + GWR per lokasi aktif</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Laporan PDF otomatis per periode panen</w:t>
            </w:r>
          </w:p>
          <w:p>
            <w:pPr>
              <w:spacing w:after="60"/>
            </w:pPr>
            <w:r>
              <w:rPr>
                <w:rFonts w:ascii="Arial" w:cs="Arial" w:eastAsia="Arial" w:hAnsi="Arial"/>
                <w:b/>
                <w:bCs/>
                <w:color w:val="0F6E56"/>
                <w:sz w:val="20"/>
                <w:szCs w:val="20"/>
              </w:rPr>
              <w:t xml:space="preserve">▸ </w:t>
            </w:r>
            <w:r>
              <w:rPr>
                <w:rFonts w:ascii="Arial" w:cs="Arial" w:eastAsia="Arial" w:hAnsi="Arial"/>
                <w:color w:val="0F6E56"/>
                <w:sz w:val="20"/>
                <w:szCs w:val="20"/>
              </w:rPr>
              <w:t xml:space="preserve">Target ARR akhir tahun ke-1: Rp 500 jt – 1 M</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6F1FB" w:val="clear"/>
            <w:tcMar>
              <w:top w:type="dxa" w:w="160"/>
              <w:left w:type="dxa" w:w="240"/>
              <w:bottom w:type="dxa" w:w="180"/>
              <w:right w:type="dxa" w:w="240"/>
            </w:tcMar>
          </w:tcPr>
          <w:p>
            <w:pPr>
              <w:spacing w:after="60"/>
            </w:pPr>
            <w:r>
              <w:rPr>
                <w:rFonts w:ascii="Arial" w:cs="Arial" w:eastAsia="Arial" w:hAnsi="Arial"/>
                <w:b/>
                <w:bCs/>
                <w:caps/>
                <w:color w:val="185FA5"/>
                <w:sz w:val="18"/>
                <w:szCs w:val="18"/>
              </w:rPr>
              <w:t xml:space="preserve">FASE 3  </w:t>
            </w:r>
            <w:r>
              <w:rPr>
                <w:rFonts w:ascii="Arial" w:cs="Arial" w:eastAsia="Arial" w:hAnsi="Arial"/>
                <w:i/>
                <w:iCs/>
                <w:color w:val="185FA5"/>
                <w:sz w:val="18"/>
                <w:szCs w:val="18"/>
              </w:rPr>
              <w:t xml:space="preserve">Tahun ke-2 (Bulan 13–24)</w:t>
            </w:r>
          </w:p>
          <w:p>
            <w:pPr>
              <w:spacing w:after="100"/>
            </w:pPr>
            <w:r>
              <w:rPr>
                <w:rFonts w:ascii="Arial" w:cs="Arial" w:eastAsia="Arial" w:hAnsi="Arial"/>
                <w:b/>
                <w:bCs/>
                <w:color w:val="185FA5"/>
                <w:sz w:val="26"/>
                <w:szCs w:val="26"/>
              </w:rPr>
              <w:t xml:space="preserve">Scaling Regional</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Ekspansi ke 15–25 klien; cakupan ~500.000 ha aktif</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Multi-tenancy penuh: setiap klien memiliki workspace terisolasi</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Integrasi API dua arah dengan sistem ERP perusahaan (SAP, custom)</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Model ML prediktif (Random Forest / XGBoost) menggantikan OLS sederhana</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Modul sertifikasi: export data untuk RSPO / ISPO compliance report</w:t>
            </w:r>
          </w:p>
          <w:p>
            <w:pPr>
              <w:spacing w:after="60"/>
            </w:pPr>
            <w:r>
              <w:rPr>
                <w:rFonts w:ascii="Arial" w:cs="Arial" w:eastAsia="Arial" w:hAnsi="Arial"/>
                <w:b/>
                <w:bCs/>
                <w:color w:val="185FA5"/>
                <w:sz w:val="20"/>
                <w:szCs w:val="20"/>
              </w:rPr>
              <w:t xml:space="preserve">▸ </w:t>
            </w:r>
            <w:r>
              <w:rPr>
                <w:rFonts w:ascii="Arial" w:cs="Arial" w:eastAsia="Arial" w:hAnsi="Arial"/>
                <w:color w:val="185FA5"/>
                <w:sz w:val="20"/>
                <w:szCs w:val="20"/>
              </w:rPr>
              <w:t xml:space="preserve">Target ARR akhir tahun ke-2: Rp 3–5 M</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AEEDA" w:val="clear"/>
            <w:tcMar>
              <w:top w:type="dxa" w:w="160"/>
              <w:left w:type="dxa" w:w="240"/>
              <w:bottom w:type="dxa" w:w="180"/>
              <w:right w:type="dxa" w:w="240"/>
            </w:tcMar>
          </w:tcPr>
          <w:p>
            <w:pPr>
              <w:spacing w:after="60"/>
            </w:pPr>
            <w:r>
              <w:rPr>
                <w:rFonts w:ascii="Arial" w:cs="Arial" w:eastAsia="Arial" w:hAnsi="Arial"/>
                <w:b/>
                <w:bCs/>
                <w:caps/>
                <w:color w:val="854F0B"/>
                <w:sz w:val="18"/>
                <w:szCs w:val="18"/>
              </w:rPr>
              <w:t xml:space="preserve">FASE 4  </w:t>
            </w:r>
            <w:r>
              <w:rPr>
                <w:rFonts w:ascii="Arial" w:cs="Arial" w:eastAsia="Arial" w:hAnsi="Arial"/>
                <w:i/>
                <w:iCs/>
                <w:color w:val="854F0B"/>
                <w:sz w:val="18"/>
                <w:szCs w:val="18"/>
              </w:rPr>
              <w:t xml:space="preserve">Tahun ke-3 s/d 5</w:t>
            </w:r>
          </w:p>
          <w:p>
            <w:pPr>
              <w:spacing w:after="100"/>
            </w:pPr>
            <w:r>
              <w:rPr>
                <w:rFonts w:ascii="Arial" w:cs="Arial" w:eastAsia="Arial" w:hAnsi="Arial"/>
                <w:b/>
                <w:bCs/>
                <w:color w:val="854F0B"/>
                <w:sz w:val="26"/>
                <w:szCs w:val="26"/>
              </w:rPr>
              <w:t xml:space="preserve">Ekspansi &amp; Platform Ekosistem</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Ekspansi ke Malaysia, Papua Nugini, dan Afrika Barat (Pantai Gading, Ghana)</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Marketplace intervensi: rekomendasi terhubung ke supplier pupuk &amp; jasa agronomi</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Modul asuransi agri &amp; kredit: risk scoring berbasis kondisi fisik kebun</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Layanan data agronomis untuk penelitian akademik &amp; kebijakan pemerintah</w:t>
            </w:r>
          </w:p>
          <w:p>
            <w:pPr>
              <w:spacing w:after="60"/>
            </w:pPr>
            <w:r>
              <w:rPr>
                <w:rFonts w:ascii="Arial" w:cs="Arial" w:eastAsia="Arial" w:hAnsi="Arial"/>
                <w:b/>
                <w:bCs/>
                <w:color w:val="854F0B"/>
                <w:sz w:val="20"/>
                <w:szCs w:val="20"/>
              </w:rPr>
              <w:t xml:space="preserve">▸ </w:t>
            </w:r>
            <w:r>
              <w:rPr>
                <w:rFonts w:ascii="Arial" w:cs="Arial" w:eastAsia="Arial" w:hAnsi="Arial"/>
                <w:color w:val="854F0B"/>
                <w:sz w:val="20"/>
                <w:szCs w:val="20"/>
              </w:rPr>
              <w:t xml:space="preserve">Target ARR tahun ke-5: USD 5–10 juta; cakupan &gt; 2 juta ha aktif</w:t>
            </w:r>
          </w:p>
        </w:tc>
      </w:tr>
    </w:tbl>
    <w:p>
      <w:r>
        <w:t xml:space="preserve"/>
      </w:r>
    </w:p>
    <w:p>
      <w:pPr>
        <w:pStyle w:val="Heading2"/>
        <w:spacing w:after="80" w:before="260"/>
      </w:pPr>
      <w:r>
        <w:rPr>
          <w:rFonts w:ascii="Arial" w:cs="Arial" w:eastAsia="Arial" w:hAnsi="Arial"/>
          <w:b/>
          <w:bCs/>
          <w:color w:val="0F6E56"/>
          <w:sz w:val="26"/>
          <w:szCs w:val="26"/>
        </w:rPr>
        <w:t xml:space="preserve">7.2 Model Monetisasi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DDDDD" w:sz="1"/>
              <w:left w:val="single" w:color="DDDDDD" w:sz="1"/>
              <w:bottom w:val="single" w:color="DDDDDD" w:sz="1"/>
              <w:right w:val="single" w:color="DDDDDD"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Model</w:t>
            </w:r>
          </w:p>
        </w:tc>
        <w:tc>
          <w:tcPr>
            <w:tcW w:type="dxa" w:w="5826"/>
            <w:tcBorders>
              <w:top w:val="single" w:color="DDDDDD" w:sz="1"/>
              <w:left w:val="single" w:color="DDDDDD" w:sz="1"/>
              <w:bottom w:val="single" w:color="DDDDDD" w:sz="1"/>
              <w:right w:val="single" w:color="DDDDDD" w:sz="1"/>
            </w:tcBorders>
            <w:shd w:fill="1A6B3C" w:val="clear"/>
            <w:tcMar>
              <w:top w:type="dxa" w:w="100"/>
              <w:left w:type="dxa" w:w="140"/>
              <w:bottom w:type="dxa" w:w="100"/>
              <w:right w:type="dxa" w:w="140"/>
            </w:tcMar>
          </w:tcPr>
          <w:p>
            <w:r>
              <w:rPr>
                <w:rFonts w:ascii="Arial" w:cs="Arial" w:eastAsia="Arial" w:hAnsi="Arial"/>
                <w:b/>
                <w:bCs/>
                <w:color w:val="FFFFFF"/>
                <w:sz w:val="20"/>
                <w:szCs w:val="20"/>
              </w:rPr>
              <w:t xml:space="preserve">Deskripsi &amp; Target Harga</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SaaS per-hektar</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15.000–40.000/ha/tahun (tergantung fitur); model utama korporat</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SaaS per-blok (koperasi)</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500–1.500/blok/bulan untuk petani plasma &amp; koperasi kecil</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Pilot contract berbayar</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150–300 jt/proyek untuk implementasi awal + onboarding 6 bulan</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API data &amp; analytics</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USD 500–2.000/bulan untuk akses data agronomis terstandarisasi</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Konsultasi &amp; laporan khusus</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Rp 50–150 jt per engagement (RSPO audit support, studi kelayakan)</w:t>
            </w:r>
          </w:p>
        </w:tc>
      </w:tr>
      <w:tr>
        <w:trPr>
          <w:tblHeader w:val="false"/>
        </w:trPr>
        <w:tc>
          <w:tcPr>
            <w:tcW w:type="dxa" w:w="3200"/>
            <w:tcBorders>
              <w:top w:val="single" w:color="DDDDDD" w:sz="1"/>
              <w:left w:val="single" w:color="DDDDDD" w:sz="1"/>
              <w:bottom w:val="single" w:color="DDDDDD" w:sz="1"/>
              <w:right w:val="single" w:color="DDDDDD" w:sz="1"/>
            </w:tcBorders>
            <w:shd w:fill="F1EFE8"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Revenue share dengan input supplier</w:t>
            </w:r>
          </w:p>
        </w:tc>
        <w:tc>
          <w:tcPr>
            <w:tcW w:type="dxa" w:w="58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Komisi 1–3% dari transaksi pupuk/pestisida yang direkomendasikan platform</w:t>
            </w:r>
          </w:p>
        </w:tc>
      </w:tr>
    </w:tbl>
    <w:p>
      <w:r>
        <w:t xml:space="preserve"/>
      </w:r>
    </w:p>
    <w:p>
      <w:pPr>
        <w:pStyle w:val="Heading2"/>
        <w:spacing w:after="80" w:before="260"/>
      </w:pPr>
      <w:r>
        <w:rPr>
          <w:rFonts w:ascii="Arial" w:cs="Arial" w:eastAsia="Arial" w:hAnsi="Arial"/>
          <w:b/>
          <w:bCs/>
          <w:color w:val="0F6E56"/>
          <w:sz w:val="26"/>
          <w:szCs w:val="26"/>
        </w:rPr>
        <w:t xml:space="preserve">7.3 Strategi Go-to-Market</w:t>
      </w:r>
    </w:p>
    <w:p>
      <w:pPr>
        <w:pStyle w:val="ListParagraph"/>
        <w:numPr>
          <w:ilvl w:val="0"/>
          <w:numId w:val="2"/>
        </w:numPr>
        <w:spacing w:after="80"/>
      </w:pPr>
      <w:r>
        <w:rPr>
          <w:rFonts w:ascii="Arial" w:cs="Arial" w:eastAsia="Arial" w:hAnsi="Arial"/>
          <w:color w:val="1A1A18"/>
          <w:sz w:val="22"/>
          <w:szCs w:val="22"/>
        </w:rPr>
        <w:t xml:space="preserve">Land and expand: masuk via 1 divisi perusahaan besar sebagai pilot, buktikan ROI, lalu expand ke seluruh lahan.</w:t>
      </w:r>
    </w:p>
    <w:p>
      <w:pPr>
        <w:pStyle w:val="ListParagraph"/>
        <w:numPr>
          <w:ilvl w:val="0"/>
          <w:numId w:val="2"/>
        </w:numPr>
        <w:spacing w:after="80"/>
      </w:pPr>
      <w:r>
        <w:rPr>
          <w:rFonts w:ascii="Arial" w:cs="Arial" w:eastAsia="Arial" w:hAnsi="Arial"/>
          <w:color w:val="1A1A18"/>
          <w:sz w:val="22"/>
          <w:szCs w:val="22"/>
        </w:rPr>
        <w:t xml:space="preserve">Anchor partnership: kemitraan strategis dengan PPKS Medan atau IPB sebagai validasi ilmiah dan akses ke network industri.</w:t>
      </w:r>
    </w:p>
    <w:p>
      <w:pPr>
        <w:pStyle w:val="ListParagraph"/>
        <w:numPr>
          <w:ilvl w:val="0"/>
          <w:numId w:val="2"/>
        </w:numPr>
        <w:spacing w:after="80"/>
      </w:pPr>
      <w:r>
        <w:rPr>
          <w:rFonts w:ascii="Arial" w:cs="Arial" w:eastAsia="Arial" w:hAnsi="Arial"/>
          <w:color w:val="1A1A18"/>
          <w:sz w:val="22"/>
          <w:szCs w:val="22"/>
        </w:rPr>
        <w:t xml:space="preserve">Event industri: presentasi di GAPKI (Gabungan Pengusaha Kelapa Sawit Indonesia) expo dan konferensi pertanian presisi.</w:t>
      </w:r>
    </w:p>
    <w:p>
      <w:pPr>
        <w:pStyle w:val="ListParagraph"/>
        <w:numPr>
          <w:ilvl w:val="0"/>
          <w:numId w:val="2"/>
        </w:numPr>
        <w:spacing w:after="80"/>
      </w:pPr>
      <w:r>
        <w:rPr>
          <w:rFonts w:ascii="Arial" w:cs="Arial" w:eastAsia="Arial" w:hAnsi="Arial"/>
          <w:color w:val="1A1A18"/>
          <w:sz w:val="22"/>
          <w:szCs w:val="22"/>
        </w:rPr>
        <w:t xml:space="preserve">Content marketing: white paper dan studi kasus ROI intervensi berbasis data sebagai referensi komunitas agronomi sawit.</w:t>
      </w:r>
    </w:p>
    <w:p>
      <w:pPr>
        <w:pStyle w:val="ListParagraph"/>
        <w:numPr>
          <w:ilvl w:val="0"/>
          <w:numId w:val="2"/>
        </w:numPr>
        <w:spacing w:after="80"/>
      </w:pPr>
      <w:r>
        <w:rPr>
          <w:rFonts w:ascii="Arial" w:cs="Arial" w:eastAsia="Arial" w:hAnsi="Arial"/>
          <w:color w:val="1A1A18"/>
          <w:sz w:val="22"/>
          <w:szCs w:val="22"/>
        </w:rPr>
        <w:t xml:space="preserve">Pilot gratis 3 bulan dengan data sharing agreement: kumpulkan data panen sebagai imbalan akses platform penuh.</w:t>
      </w:r>
    </w:p>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8. Analisis Risiko &amp; Mitigasi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Risiko</w:t>
            </w:r>
          </w:p>
        </w:tc>
        <w:tc>
          <w:tcPr>
            <w:tcW w:type="dxa" w:w="1800"/>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Tingkat</w:t>
            </w:r>
          </w:p>
        </w:tc>
        <w:tc>
          <w:tcPr>
            <w:tcW w:type="dxa" w:w="4226"/>
            <w:tcBorders>
              <w:top w:val="single" w:color="DDDDDD" w:sz="1"/>
              <w:left w:val="single" w:color="DDDDDD" w:sz="1"/>
              <w:bottom w:val="single" w:color="DDDDDD" w:sz="1"/>
              <w:right w:val="single" w:color="DDDDDD" w:sz="1"/>
            </w:tcBorders>
            <w:shd w:fill="993C1D" w:val="clear"/>
            <w:tcMar>
              <w:top w:type="dxa" w:w="100"/>
              <w:left w:type="dxa" w:w="140"/>
              <w:bottom w:type="dxa" w:w="100"/>
              <w:right w:type="dxa" w:w="140"/>
            </w:tcMar>
          </w:tcPr>
          <w:p>
            <w:r>
              <w:rPr>
                <w:rFonts w:ascii="Arial" w:cs="Arial" w:eastAsia="Arial" w:hAnsi="Arial"/>
                <w:b/>
                <w:bCs/>
                <w:color w:val="FFFFFF"/>
                <w:sz w:val="20"/>
                <w:szCs w:val="20"/>
              </w:rPr>
              <w:t xml:space="preserve">Strategi Mitigasi</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Akses data blok panen perusahaan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Tinggi</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NDA + data sharing agreement; mulai dengan data sintetis untuk validasi awal</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Keandalan data satelit (cloud cover)</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Sedang</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Kombinasi Sentinel + Landsat + MODIS; SAR (Sentinel-1) untuk kondisi berawan</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Resistensi adopsi di lapangan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Sedang</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UX ultra-sederhana; versi SMS/WhatsApp bot untuk petani non-smartphone</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Persaingan dengan Google/Microsoft agri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Rendah</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Fokus hiperspesifik sawit; keunggulan lokal dan domain expertise</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Model regresi tidak valid (R² rendah)</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Sedang</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Gate validasi ketat; fallback ke rekomendasi generik agronomis jika model gagal</w:t>
            </w:r>
          </w:p>
        </w:tc>
      </w:tr>
      <w:tr>
        <w:trPr>
          <w:tblHeader w:val="false"/>
        </w:trPr>
        <w:tc>
          <w:tcPr>
            <w:tcW w:type="dxa" w:w="30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Skalabilitas pipeline GEE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Sedang</w:t>
            </w:r>
          </w:p>
        </w:tc>
        <w:tc>
          <w:tcPr>
            <w:tcW w:type="dxa" w:w="4226"/>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8"/>
                <w:sz w:val="20"/>
                <w:szCs w:val="20"/>
              </w:rPr>
              <w:t xml:space="preserve">Caching hasil ZS di PostGIS; batch processing malam hari</w:t>
            </w:r>
          </w:p>
        </w:tc>
      </w:tr>
    </w:tbl>
    <w:p>
      <w:r>
        <w:t xml:space="preserve"/>
      </w:r>
    </w:p>
    <w:p>
      <w:r>
        <w:br w:type="page"/>
      </w:r>
    </w:p>
    <w:p>
      <w:pPr>
        <w:pStyle w:val="Heading1"/>
        <w:pBdr>
          <w:bottom w:val="single" w:color="1A6B3C" w:sz="8" w:space="4"/>
        </w:pBdr>
        <w:spacing w:after="120" w:before="340"/>
      </w:pPr>
      <w:r>
        <w:rPr>
          <w:rFonts w:ascii="Arial" w:cs="Arial" w:eastAsia="Arial" w:hAnsi="Arial"/>
          <w:b/>
          <w:bCs/>
          <w:color w:val="1A6B3C"/>
          <w:sz w:val="32"/>
          <w:szCs w:val="32"/>
        </w:rPr>
        <w:t xml:space="preserve">9. Penutup &amp; Langkah Selanjutnya</w:t>
      </w:r>
    </w:p>
    <w:p>
      <w:pPr>
        <w:spacing w:after="120"/>
      </w:pPr>
      <w:r>
        <w:rPr>
          <w:rFonts w:ascii="Arial" w:cs="Arial" w:eastAsia="Arial" w:hAnsi="Arial"/>
          <w:color w:val="1A1A18"/>
          <w:sz w:val="22"/>
          <w:szCs w:val="22"/>
        </w:rPr>
        <w:t xml:space="preserve">PalmWatch bukan sekadar alat monitoring. Ini adalah sistem intelligence berbasis bukti yang mengubah cara perkebunan sawit membuat keputusan. Keunggulan kompetitif terletak pada tiga hal yang sulit ditiru: validasi kausal sebelum intervensi, spesifisitas domain sawit yang mendalam, dan loop umpan balik antara data PJ dan hasil panen nyata.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8F5EE" w:val="clear"/>
            <w:tcMar>
              <w:top w:type="dxa" w:w="160"/>
              <w:left w:type="dxa" w:w="240"/>
              <w:bottom w:type="dxa" w:w="160"/>
              <w:right w:type="dxa" w:w="240"/>
            </w:tcMar>
          </w:tcPr>
          <w:p>
            <w:pPr>
              <w:spacing w:after="40"/>
            </w:pPr>
            <w:r>
              <w:rPr>
                <w:rFonts w:ascii="Arial" w:cs="Arial" w:eastAsia="Arial" w:hAnsi="Arial"/>
                <w:b/>
                <w:bCs/>
                <w:color w:val="1A6B3C"/>
                <w:sz w:val="24"/>
                <w:szCs w:val="24"/>
              </w:rPr>
              <w:t xml:space="preserve">Tiga langkah pertama yang harus dilakukan</w:t>
            </w:r>
          </w:p>
          <w:p>
            <w:r>
              <w:rPr>
                <w:rFonts w:ascii="Arial" w:cs="Arial" w:eastAsia="Arial" w:hAnsi="Arial"/>
                <w:color w:val="1A6B3C"/>
                <w:sz w:val="20"/>
                <w:szCs w:val="20"/>
              </w:rPr>
              <w:t xml:space="preserve">1. Amankan satu mitra pilot perusahaan + akses data blok panen (target: Q1). 2. Bangun pipeline GEE → PostGIS untuk lokasi pilot dan validasi regresi pertama (target: Q2). 3. Publish white paper hasil validasi sebagai bukti konsep untuk investor seed (target: Q3).</w:t>
            </w:r>
          </w:p>
        </w:tc>
      </w:tr>
    </w:tbl>
    <w:p>
      <w:r>
        <w:t xml:space="preserve"/>
      </w:r>
    </w:p>
    <w:p>
      <w:r>
        <w:t xml:space="preserve"/>
      </w:r>
    </w:p>
    <w:p>
      <w:pPr>
        <w:spacing w:before="200"/>
        <w:jc w:val="center"/>
      </w:pPr>
      <w:r>
        <w:rPr>
          <w:rFonts w:ascii="Arial" w:cs="Arial" w:eastAsia="Arial" w:hAnsi="Arial"/>
          <w:i/>
          <w:iCs/>
          <w:color w:val="D3D1C7"/>
          <w:sz w:val="18"/>
          <w:szCs w:val="18"/>
        </w:rPr>
        <w:t xml:space="preserve">Dokumen ini adalah living document. Versi selanjutnya akan menyertakan arsitektur teknis detail, wireframe produk, dan financial model 3 tahun.</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3D1C7" w:sz="4" w:space="4"/>
      </w:pBdr>
      <w:spacing w:before="80"/>
    </w:pPr>
    <w:r>
      <w:rPr>
        <w:rFonts w:ascii="Arial" w:cs="Arial" w:eastAsia="Arial" w:hAnsi="Arial"/>
        <w:color w:val="D3D1C7"/>
        <w:sz w:val="18"/>
        <w:szCs w:val="18"/>
      </w:rPr>
      <w:t xml:space="preserve">© 2025 PalmWatch  |  Dokumen internal – tidak untuk distribusi publik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3C" w:sz="4" w:space="4"/>
      </w:pBdr>
      <w:spacing w:after="0"/>
    </w:pPr>
    <w:r>
      <w:rPr>
        <w:rFonts w:ascii="Arial" w:cs="Arial" w:eastAsia="Arial" w:hAnsi="Arial"/>
        <w:color w:val="444441"/>
        <w:sz w:val="18"/>
        <w:szCs w:val="18"/>
      </w:rPr>
      <w:t xml:space="preserve">PalmWatch  |  Blueprint Konsep Startup</w:t>
    </w:r>
    <w:r>
      <w:rPr>
        <w:rFonts w:ascii="Arial" w:cs="Arial" w:eastAsia="Arial" w:hAnsi="Arial"/>
        <w:i/>
        <w:iCs/>
        <w:color w:val="D3D1C7"/>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bullet"/>
      <w:lvlText w:val="◦"/>
      <w:lvlJc w:val="left"/>
      <w:pPr>
        <w:ind w:left="90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40"/>
      <w:outlineLvl w:val="0"/>
    </w:pPr>
    <w:rPr>
      <w:rFonts w:ascii="Arial" w:cs="Arial" w:eastAsia="Arial" w:hAnsi="Arial"/>
      <w:b/>
      <w:bCs/>
      <w:color w:val="1A6B3C"/>
      <w:sz w:val="32"/>
      <w:szCs w:val="32"/>
    </w:rPr>
  </w:style>
  <w:style w:type="paragraph" w:styleId="Heading2">
    <w:name w:val="Heading 2"/>
    <w:basedOn w:val="Normal"/>
    <w:next w:val="Normal"/>
    <w:qFormat/>
    <w:pPr>
      <w:spacing w:after="80" w:before="26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44444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2026-06-10T04:39:36.869Z</dcterms:created>
  <dcterms:modified xsi:type="dcterms:W3CDTF">2026-06-10T04:39:36.870Z</dcterms:modified>
</cp:coreProperties>
</file>

<file path=docProps/custom.xml><?xml version="1.0" encoding="utf-8"?>
<Properties xmlns="http://schemas.openxmlformats.org/officeDocument/2006/custom-properties" xmlns:vt="http://schemas.openxmlformats.org/officeDocument/2006/docPropsVTypes"/>
</file>