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4A2B" w:val="clear"/>
            <w:tcMar>
              <w:top w:type="dxa" w:w="180"/>
              <w:left w:type="dxa" w:w="320"/>
              <w:bottom w:type="dxa" w:w="200"/>
              <w:right w:type="dxa" w:w="320"/>
            </w:tcMar>
          </w:tcPr>
          <w:p>
            <w:pPr>
              <w:spacing w:after="20" w:before="0"/>
              <w:jc w:val="center"/>
            </w:pPr>
            <w:r>
              <w:rPr>
                <w:rFonts w:ascii="Calibri" w:cs="Calibri" w:eastAsia="Calibri" w:hAnsi="Calibri"/>
                <w:b/>
                <w:bCs/>
                <w:caps/>
                <w:color w:val="C4952A"/>
                <w:sz w:val="18"/>
                <w:szCs w:val="18"/>
              </w:rPr>
              <w:t xml:space="preserve">PRECISION INTELLIGENCE FOR SUSTAINABLE PALM OIL</w:t>
            </w:r>
          </w:p>
        </w:tc>
      </w:tr>
    </w:tbl>
    <w:p>
      <w:r>
        <w:t xml:space="preserve"/>
      </w:r>
    </w:p>
    <w:p>
      <w:r>
        <w:t xml:space="preserve"/>
      </w:r>
    </w:p>
    <w:p>
      <w:r>
        <w:t xml:space="preserve"/>
      </w:r>
    </w:p>
    <w:p>
      <w:r>
        <w:t xml:space="preserve"/>
      </w:r>
    </w:p>
    <w:p>
      <w:pPr>
        <w:spacing w:after="0" w:before="0"/>
        <w:jc w:val="center"/>
      </w:pPr>
      <w:r>
        <w:rPr>
          <w:rFonts w:ascii="Calibri" w:cs="Calibri" w:eastAsia="Calibri" w:hAnsi="Calibri"/>
          <w:b/>
          <w:bCs/>
          <w:color w:val="0D4A2B"/>
          <w:sz w:val="96"/>
          <w:szCs w:val="96"/>
        </w:rPr>
        <w:t xml:space="preserve">PRANATA BHUMI</w:t>
      </w:r>
    </w:p>
    <w:p>
      <w:pPr>
        <w:spacing w:after="60" w:before="0"/>
        <w:jc w:val="center"/>
      </w:pPr>
      <w:r>
        <w:rPr>
          <w:rFonts w:ascii="Calibri" w:cs="Calibri" w:eastAsia="Calibri" w:hAnsi="Calibri"/>
          <w:b/>
          <w:bCs/>
          <w:color w:val="0D4A2B"/>
          <w:sz w:val="96"/>
          <w:szCs w:val="96"/>
        </w:rPr>
        <w:t xml:space="preserve">CONSULTING</w:t>
      </w:r>
    </w:p>
    <w:p>
      <w:pPr>
        <w:spacing w:after="40" w:before="0"/>
        <w:jc w:val="center"/>
      </w:pPr>
      <w:r>
        <w:rPr>
          <w:rFonts w:ascii="Calibri" w:cs="Calibri" w:eastAsia="Calibri" w:hAnsi="Calibri"/>
          <w:color w:val="5A5A56"/>
          <w:sz w:val="22"/>
          <w:szCs w:val="22"/>
        </w:rPr>
        <w:t xml:space="preserve">PT Pranata Bhumi Konsultindo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000"/>
      </w:tblGrid>
      <w:tr>
        <w:tc>
          <w:tcPr>
            <w:tcW w:type="dxa" w:w="2000"/>
            <w:tcBorders>
              <w:top w:val="none" w:color="FFFFFF" w:sz="0"/>
              <w:left w:val="none" w:color="FFFFFF" w:sz="0"/>
              <w:bottom w:val="none" w:color="FFFFFF" w:sz="0"/>
              <w:right w:val="none" w:color="FFFFFF" w:sz="0"/>
            </w:tcBorders>
          </w:tcPr>
          <w:p>
            <w:r>
              <w:t xml:space="preserve"/>
            </w:r>
          </w:p>
        </w:tc>
        <w:tc>
          <w:tcPr>
            <w:tcW w:type="dxa" w:w="5200"/>
            <w:tcBorders>
              <w:top w:val="none" w:color="FFFFFF" w:sz="0"/>
              <w:left w:val="none" w:color="FFFFFF" w:sz="0"/>
              <w:bottom w:val="single" w:color="C4952A" w:sz="12"/>
              <w:right w:val="none" w:color="FFFFFF" w:sz="0"/>
            </w:tcBorders>
          </w:tcPr>
          <w:p>
            <w:r>
              <w:t xml:space="preserve"/>
            </w:r>
          </w:p>
        </w:tc>
        <w:tc>
          <w:tcPr>
            <w:tcW w:type="dxa" w:w="2000"/>
            <w:tcBorders>
              <w:top w:val="none" w:color="FFFFFF" w:sz="0"/>
              <w:left w:val="none" w:color="FFFFFF" w:sz="0"/>
              <w:bottom w:val="none" w:color="FFFFFF" w:sz="0"/>
              <w:right w:val="none" w:color="FFFFFF" w:sz="0"/>
            </w:tcBorders>
          </w:tcPr>
          <w:p>
            <w:r>
              <w:t xml:space="preserve"/>
            </w:r>
          </w:p>
        </w:tc>
      </w:tr>
    </w:tbl>
    <w:p>
      <w:r>
        <w:t xml:space="preserve"/>
      </w:r>
    </w:p>
    <w:p>
      <w:r>
        <w:t xml:space="preserve"/>
      </w:r>
    </w:p>
    <w:p>
      <w:pPr>
        <w:spacing w:after="20" w:before="0"/>
        <w:jc w:val="center"/>
      </w:pPr>
      <w:r>
        <w:rPr>
          <w:rFonts w:ascii="Calibri" w:cs="Calibri" w:eastAsia="Calibri" w:hAnsi="Calibri"/>
          <w:color w:val="5A5A56"/>
          <w:sz w:val="22"/>
          <w:szCs w:val="22"/>
        </w:rPr>
        <w:t xml:space="preserve">Geospatial Intelligence  |  Precision Agronomy  |  Sustainable Land Intelligence</w:t>
      </w:r>
    </w:p>
    <w:p>
      <w:pPr>
        <w:spacing w:after="0" w:before="0"/>
        <w:jc w:val="center"/>
      </w:pPr>
      <w:r>
        <w:rPr>
          <w:rFonts w:ascii="Calibri" w:cs="Calibri" w:eastAsia="Calibri" w:hAnsi="Calibri"/>
          <w:i/>
          <w:iCs/>
          <w:color w:val="5A5A56"/>
          <w:sz w:val="20"/>
          <w:szCs w:val="20"/>
        </w:rPr>
        <w:t xml:space="preserve">Mapping  |  Remote Sensing  |  Yield Optimisation  |  Strategic Replanting</w:t>
      </w:r>
    </w:p>
    <w:p>
      <w:r>
        <w:t xml:space="preserve"/>
      </w:r>
    </w:p>
    <w:p>
      <w:r>
        <w:t xml:space="preserve"/>
      </w:r>
    </w:p>
    <w:p>
      <w:r>
        <w:t xml:space="preserve"/>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W w:type="dxa" w:w="2300"/>
            <w:tcBorders>
              <w:top w:val="none" w:color="FFFFFF" w:sz="0"/>
              <w:left w:val="none" w:color="FFFFFF" w:sz="0"/>
              <w:bottom w:val="none" w:color="FFFFFF" w:sz="0"/>
              <w:right w:val="none" w:color="FFFFFF" w:sz="0"/>
            </w:tcBorders>
            <w:shd w:fill="EAF5EE" w:val="clear"/>
            <w:tcMar>
              <w:top w:type="dxa" w:w="160"/>
              <w:left w:type="dxa" w:w="200"/>
              <w:bottom w:type="dxa" w:w="160"/>
              <w:right w:type="dxa" w:w="200"/>
            </w:tcMar>
            <w:vAlign w:val="center"/>
          </w:tcPr>
          <w:p>
            <w:pPr>
              <w:spacing w:after="20" w:before="0"/>
            </w:pPr>
            <w:r>
              <w:rPr>
                <w:rFonts w:ascii="Calibri" w:cs="Calibri" w:eastAsia="Calibri" w:hAnsi="Calibri"/>
                <w:b/>
                <w:bCs/>
                <w:color w:val="0D4A2B"/>
                <w:sz w:val="44"/>
                <w:szCs w:val="44"/>
              </w:rPr>
              <w:t xml:space="preserve">2025</w:t>
            </w:r>
          </w:p>
          <w:p>
            <w:r>
              <w:rPr>
                <w:rFonts w:ascii="Calibri" w:cs="Calibri" w:eastAsia="Calibri" w:hAnsi="Calibri"/>
                <w:color w:val="5A5A56"/>
                <w:sz w:val="18"/>
                <w:szCs w:val="18"/>
              </w:rPr>
              <w:t xml:space="preserve">Founded</w:t>
            </w:r>
          </w:p>
        </w:tc>
        <w:tc>
          <w:tcPr>
            <w:tcW w:type="dxa" w:w="2300"/>
            <w:tcBorders>
              <w:top w:val="none" w:color="FFFFFF" w:sz="0"/>
              <w:left w:val="none" w:color="FFFFFF" w:sz="0"/>
              <w:bottom w:val="none" w:color="FFFFFF" w:sz="0"/>
              <w:right w:val="none" w:color="FFFFFF" w:sz="0"/>
            </w:tcBorders>
            <w:shd w:fill="F7F0DC" w:val="clear"/>
            <w:tcMar>
              <w:top w:type="dxa" w:w="160"/>
              <w:left w:type="dxa" w:w="200"/>
              <w:bottom w:type="dxa" w:w="160"/>
              <w:right w:type="dxa" w:w="200"/>
            </w:tcMar>
            <w:vAlign w:val="center"/>
          </w:tcPr>
          <w:p>
            <w:pPr>
              <w:spacing w:after="20" w:before="0"/>
            </w:pPr>
            <w:r>
              <w:rPr>
                <w:rFonts w:ascii="Calibri" w:cs="Calibri" w:eastAsia="Calibri" w:hAnsi="Calibri"/>
                <w:b/>
                <w:bCs/>
                <w:color w:val="0D4A2B"/>
                <w:sz w:val="44"/>
                <w:szCs w:val="44"/>
              </w:rPr>
              <w:t xml:space="preserve">16.8 jt ha</w:t>
            </w:r>
          </w:p>
          <w:p>
            <w:r>
              <w:rPr>
                <w:rFonts w:ascii="Calibri" w:cs="Calibri" w:eastAsia="Calibri" w:hAnsi="Calibri"/>
                <w:color w:val="5A5A56"/>
                <w:sz w:val="18"/>
                <w:szCs w:val="18"/>
              </w:rPr>
              <w:t xml:space="preserve">Palm estate Indonesia</w:t>
            </w:r>
          </w:p>
        </w:tc>
        <w:tc>
          <w:tcPr>
            <w:tcW w:type="dxa" w:w="2300"/>
            <w:tcBorders>
              <w:top w:val="none" w:color="FFFFFF" w:sz="0"/>
              <w:left w:val="none" w:color="FFFFFF" w:sz="0"/>
              <w:bottom w:val="none" w:color="FFFFFF" w:sz="0"/>
              <w:right w:val="none" w:color="FFFFFF" w:sz="0"/>
            </w:tcBorders>
            <w:shd w:fill="EAF5EE" w:val="clear"/>
            <w:tcMar>
              <w:top w:type="dxa" w:w="160"/>
              <w:left w:type="dxa" w:w="200"/>
              <w:bottom w:type="dxa" w:w="160"/>
              <w:right w:type="dxa" w:w="200"/>
            </w:tcMar>
            <w:vAlign w:val="center"/>
          </w:tcPr>
          <w:p>
            <w:pPr>
              <w:spacing w:after="20" w:before="0"/>
            </w:pPr>
            <w:r>
              <w:rPr>
                <w:rFonts w:ascii="Calibri" w:cs="Calibri" w:eastAsia="Calibri" w:hAnsi="Calibri"/>
                <w:b/>
                <w:bCs/>
                <w:color w:val="0D4A2B"/>
                <w:sz w:val="44"/>
                <w:szCs w:val="44"/>
              </w:rPr>
              <w:t xml:space="preserve">5 Verticals</w:t>
            </w:r>
          </w:p>
          <w:p>
            <w:r>
              <w:rPr>
                <w:rFonts w:ascii="Calibri" w:cs="Calibri" w:eastAsia="Calibri" w:hAnsi="Calibri"/>
                <w:color w:val="5A5A56"/>
                <w:sz w:val="18"/>
                <w:szCs w:val="18"/>
              </w:rPr>
              <w:t xml:space="preserve">Core services</w:t>
            </w:r>
          </w:p>
        </w:tc>
        <w:tc>
          <w:tcPr>
            <w:tcW w:type="dxa" w:w="2300"/>
            <w:tcBorders>
              <w:top w:val="none" w:color="FFFFFF" w:sz="0"/>
              <w:left w:val="none" w:color="FFFFFF" w:sz="0"/>
              <w:bottom w:val="none" w:color="FFFFFF" w:sz="0"/>
              <w:right w:val="none" w:color="FFFFFF" w:sz="0"/>
            </w:tcBorders>
            <w:shd w:fill="F7F0DC" w:val="clear"/>
            <w:tcMar>
              <w:top w:type="dxa" w:w="160"/>
              <w:left w:type="dxa" w:w="200"/>
              <w:bottom w:type="dxa" w:w="160"/>
              <w:right w:type="dxa" w:w="200"/>
            </w:tcMar>
            <w:vAlign w:val="center"/>
          </w:tcPr>
          <w:p>
            <w:pPr>
              <w:spacing w:after="20" w:before="0"/>
            </w:pPr>
            <w:r>
              <w:rPr>
                <w:rFonts w:ascii="Calibri" w:cs="Calibri" w:eastAsia="Calibri" w:hAnsi="Calibri"/>
                <w:b/>
                <w:bCs/>
                <w:color w:val="0D4A2B"/>
                <w:sz w:val="44"/>
                <w:szCs w:val="44"/>
              </w:rPr>
              <w:t xml:space="preserve">EUDR Ready</w:t>
            </w:r>
          </w:p>
          <w:p>
            <w:r>
              <w:rPr>
                <w:rFonts w:ascii="Calibri" w:cs="Calibri" w:eastAsia="Calibri" w:hAnsi="Calibri"/>
                <w:color w:val="5A5A56"/>
                <w:sz w:val="18"/>
                <w:szCs w:val="18"/>
              </w:rPr>
              <w:t xml:space="preserve">EU regulation aligned</w:t>
            </w:r>
          </w:p>
        </w:tc>
      </w:tr>
    </w:tbl>
    <w:p>
      <w:r>
        <w:t xml:space="preserve"/>
      </w:r>
    </w:p>
    <w:p>
      <w:r>
        <w:t xml:space="preserve"/>
      </w:r>
    </w:p>
    <w:p>
      <w:r>
        <w:t xml:space="preserve"/>
      </w:r>
    </w:p>
    <w:p>
      <w:r>
        <w:t xml:space="preserve"/>
      </w:r>
    </w:p>
    <w:p>
      <w:pPr>
        <w:jc w:val="center"/>
      </w:pPr>
      <w:r>
        <w:rPr>
          <w:rFonts w:ascii="Calibri" w:cs="Calibri" w:eastAsia="Calibri" w:hAnsi="Calibri"/>
          <w:color w:val="5A5A56"/>
          <w:sz w:val="20"/>
          <w:szCs w:val="20"/>
        </w:rPr>
        <w:t xml:space="preserve">Startup Profile  |  2025</w:t>
      </w:r>
    </w:p>
    <w:p>
      <w:r>
        <w:br w:type="page"/>
      </w:r>
    </w:p>
    <w:p>
      <w:pPr>
        <w:pBdr>
          <w:bottom w:val="single" w:color="1A6B3C" w:sz="10" w:space="4"/>
        </w:pBdr>
        <w:spacing w:after="80" w:before="300"/>
      </w:pPr>
      <w:r>
        <w:rPr>
          <w:rFonts w:ascii="Calibri" w:cs="Calibri" w:eastAsia="Calibri" w:hAnsi="Calibri"/>
          <w:b/>
          <w:bCs/>
          <w:color w:val="0D4A2B"/>
          <w:sz w:val="28"/>
          <w:szCs w:val="28"/>
        </w:rPr>
        <w:t xml:space="preserve">01  Who We Are</w:t>
      </w:r>
    </w:p>
    <w:p>
      <w:pPr>
        <w:spacing w:after="80" w:before="60"/>
      </w:pPr>
      <w:r>
        <w:rPr>
          <w:rFonts w:ascii="Calibri" w:cs="Calibri" w:eastAsia="Calibri" w:hAnsi="Calibri"/>
          <w:color w:val="1C1C1A"/>
          <w:sz w:val="22"/>
          <w:szCs w:val="22"/>
        </w:rPr>
        <w:t xml:space="preserve">Pranata Bhumi Consulting is a precision intelligence startup for Indonesia's oil palm sector. We combine satellite data, spatial analysis, and agronomic expertise to help plantation companies and cooperatives answer three questions they struggle to answer today:</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A6B3C" w:val="clear"/>
            <w:tcMar>
              <w:top w:type="dxa" w:w="180"/>
              <w:left w:type="dxa" w:w="320"/>
              <w:bottom w:type="dxa" w:w="200"/>
              <w:right w:type="dxa" w:w="320"/>
            </w:tcMar>
          </w:tcPr>
          <w:p>
            <w:pPr>
              <w:spacing w:after="30" w:before="0"/>
              <w:jc w:val="center"/>
            </w:pPr>
            <w:r>
              <w:rPr>
                <w:rFonts w:ascii="Calibri" w:cs="Calibri" w:eastAsia="Calibri" w:hAnsi="Calibri"/>
                <w:b/>
                <w:bCs/>
                <w:color w:val="FFFFFF"/>
                <w:sz w:val="22"/>
                <w:szCs w:val="22"/>
              </w:rPr>
              <w:t xml:space="preserve">Why is block A producing less than block B?   |   What should we do about it?   |   When will it improve?</w:t>
            </w:r>
          </w:p>
        </w:tc>
      </w:tr>
    </w:tbl>
    <w:p>
      <w:r>
        <w:t xml:space="preserve"/>
      </w:r>
    </w:p>
    <w:p>
      <w:pPr>
        <w:spacing w:after="80" w:before="60"/>
      </w:pPr>
      <w:r>
        <w:rPr>
          <w:rFonts w:ascii="Calibri" w:cs="Calibri" w:eastAsia="Calibri" w:hAnsi="Calibri"/>
          <w:color w:val="1C1C1A"/>
          <w:sz w:val="22"/>
          <w:szCs w:val="22"/>
        </w:rPr>
        <w:t xml:space="preserve">We are not a generic agri-tech platform. We are built exclusively for palm, and every tool we build is validated against real production data before reaching a client.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tcBorders>
              <w:top w:val="single" w:color="D4D1C8" w:sz="1"/>
              <w:left w:val="single" w:color="D4D1C8" w:sz="1"/>
              <w:bottom w:val="single" w:color="D4D1C8" w:sz="1"/>
              <w:right w:val="single" w:color="D4D1C8" w:sz="1"/>
            </w:tcBorders>
            <w:shd w:fill="0D4A2B" w:val="clear"/>
            <w:tcMar>
              <w:top w:type="dxa" w:w="90"/>
              <w:left w:type="dxa" w:w="160"/>
              <w:bottom w:type="dxa" w:w="90"/>
              <w:right w:type="dxa" w:w="160"/>
            </w:tcMar>
          </w:tcPr>
          <w:p>
            <w:pPr>
              <w:spacing w:after="80" w:before="60"/>
            </w:pPr>
            <w:r>
              <w:rPr>
                <w:rFonts w:ascii="Calibri" w:cs="Calibri" w:eastAsia="Calibri" w:hAnsi="Calibri"/>
                <w:b/>
                <w:bCs/>
                <w:color w:val="FFFFFF"/>
                <w:sz w:val="20"/>
                <w:szCs w:val="20"/>
              </w:rPr>
              <w:t xml:space="preserve"/>
            </w:r>
          </w:p>
        </w:tc>
        <w:tc>
          <w:tcPr>
            <w:tcW w:type="dxa" w:w="6000"/>
            <w:tcBorders>
              <w:top w:val="single" w:color="D4D1C8" w:sz="1"/>
              <w:left w:val="single" w:color="D4D1C8" w:sz="1"/>
              <w:bottom w:val="single" w:color="D4D1C8" w:sz="1"/>
              <w:right w:val="single" w:color="D4D1C8" w:sz="1"/>
            </w:tcBorders>
            <w:shd w:fill="0D4A2B" w:val="clear"/>
            <w:tcMar>
              <w:top w:type="dxa" w:w="90"/>
              <w:left w:type="dxa" w:w="160"/>
              <w:bottom w:type="dxa" w:w="90"/>
              <w:right w:type="dxa" w:w="160"/>
            </w:tcMar>
          </w:tcPr>
          <w:p>
            <w:pPr>
              <w:spacing w:after="80" w:before="60"/>
            </w:pPr>
            <w:r>
              <w:rPr>
                <w:rFonts w:ascii="Calibri" w:cs="Calibri" w:eastAsia="Calibri" w:hAnsi="Calibri"/>
                <w:b/>
                <w:bCs/>
                <w:color w:val="FFFFFF"/>
                <w:sz w:val="20"/>
                <w:szCs w:val="20"/>
              </w:rPr>
              <w:t xml:space="preserve"/>
            </w:r>
          </w:p>
        </w:tc>
      </w:tr>
      <w:tr>
        <w:trPr>
          <w:tblHeader w:val="false"/>
        </w:trPr>
        <w:tc>
          <w:tcPr>
            <w:tcW w:type="dxa" w:w="3200"/>
            <w:tcBorders>
              <w:top w:val="single" w:color="D4D1C8" w:sz="1"/>
              <w:left w:val="single" w:color="D4D1C8" w:sz="1"/>
              <w:bottom w:val="single" w:color="D4D1C8" w:sz="1"/>
              <w:right w:val="single" w:color="D4D1C8" w:sz="1"/>
            </w:tcBorders>
            <w:shd w:fill="EAF5EE"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Legal entity</w:t>
            </w:r>
          </w:p>
        </w:tc>
        <w:tc>
          <w:tcPr>
            <w:tcW w:type="dxa" w:w="6000"/>
            <w:tcBorders>
              <w:top w:val="single" w:color="D4D1C8" w:sz="1"/>
              <w:left w:val="single" w:color="D4D1C8" w:sz="1"/>
              <w:bottom w:val="single" w:color="D4D1C8" w:sz="1"/>
              <w:right w:val="single" w:color="D4D1C8" w:sz="1"/>
            </w:tcBorders>
            <w:shd w:fill="FFFFFF"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PT Pranata Bhumi Konsultindo</w:t>
            </w:r>
          </w:p>
        </w:tc>
      </w:tr>
      <w:tr>
        <w:trPr>
          <w:tblHeader w:val="false"/>
        </w:trPr>
        <w:tc>
          <w:tcPr>
            <w:tcW w:type="dxa" w:w="3200"/>
            <w:tcBorders>
              <w:top w:val="single" w:color="D4D1C8" w:sz="1"/>
              <w:left w:val="single" w:color="D4D1C8" w:sz="1"/>
              <w:bottom w:val="single" w:color="D4D1C8" w:sz="1"/>
              <w:right w:val="single" w:color="D4D1C8" w:sz="1"/>
            </w:tcBorders>
            <w:shd w:fill="EAF5EE"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Established</w:t>
            </w:r>
          </w:p>
        </w:tc>
        <w:tc>
          <w:tcPr>
            <w:tcW w:type="dxa" w:w="6000"/>
            <w:tcBorders>
              <w:top w:val="single" w:color="D4D1C8" w:sz="1"/>
              <w:left w:val="single" w:color="D4D1C8" w:sz="1"/>
              <w:bottom w:val="single" w:color="D4D1C8" w:sz="1"/>
              <w:right w:val="single" w:color="D4D1C8" w:sz="1"/>
            </w:tcBorders>
            <w:shd w:fill="FFFFFF"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2025, Jakarta</w:t>
            </w:r>
          </w:p>
        </w:tc>
      </w:tr>
      <w:tr>
        <w:trPr>
          <w:tblHeader w:val="false"/>
        </w:trPr>
        <w:tc>
          <w:tcPr>
            <w:tcW w:type="dxa" w:w="3200"/>
            <w:tcBorders>
              <w:top w:val="single" w:color="D4D1C8" w:sz="1"/>
              <w:left w:val="single" w:color="D4D1C8" w:sz="1"/>
              <w:bottom w:val="single" w:color="D4D1C8" w:sz="1"/>
              <w:right w:val="single" w:color="D4D1C8" w:sz="1"/>
            </w:tcBorders>
            <w:shd w:fill="EAF5EE"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Operating area</w:t>
            </w:r>
          </w:p>
        </w:tc>
        <w:tc>
          <w:tcPr>
            <w:tcW w:type="dxa" w:w="6000"/>
            <w:tcBorders>
              <w:top w:val="single" w:color="D4D1C8" w:sz="1"/>
              <w:left w:val="single" w:color="D4D1C8" w:sz="1"/>
              <w:bottom w:val="single" w:color="D4D1C8" w:sz="1"/>
              <w:right w:val="single" w:color="D4D1C8" w:sz="1"/>
            </w:tcBorders>
            <w:shd w:fill="FFFFFF"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Sumatera, Kalimantan, Papua</w:t>
            </w:r>
          </w:p>
        </w:tc>
      </w:tr>
      <w:tr>
        <w:trPr>
          <w:tblHeader w:val="false"/>
        </w:trPr>
        <w:tc>
          <w:tcPr>
            <w:tcW w:type="dxa" w:w="3200"/>
            <w:tcBorders>
              <w:top w:val="single" w:color="D4D1C8" w:sz="1"/>
              <w:left w:val="single" w:color="D4D1C8" w:sz="1"/>
              <w:bottom w:val="single" w:color="D4D1C8" w:sz="1"/>
              <w:right w:val="single" w:color="D4D1C8" w:sz="1"/>
            </w:tcBorders>
            <w:shd w:fill="EAF5EE"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Business model</w:t>
            </w:r>
          </w:p>
        </w:tc>
        <w:tc>
          <w:tcPr>
            <w:tcW w:type="dxa" w:w="6000"/>
            <w:tcBorders>
              <w:top w:val="single" w:color="D4D1C8" w:sz="1"/>
              <w:left w:val="single" w:color="D4D1C8" w:sz="1"/>
              <w:bottom w:val="single" w:color="D4D1C8" w:sz="1"/>
              <w:right w:val="single" w:color="D4D1C8" w:sz="1"/>
            </w:tcBorders>
            <w:shd w:fill="FFFFFF"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B2B SaaS + project consulting</w:t>
            </w:r>
          </w:p>
        </w:tc>
      </w:tr>
      <w:tr>
        <w:trPr>
          <w:tblHeader w:val="false"/>
        </w:trPr>
        <w:tc>
          <w:tcPr>
            <w:tcW w:type="dxa" w:w="3200"/>
            <w:tcBorders>
              <w:top w:val="single" w:color="D4D1C8" w:sz="1"/>
              <w:left w:val="single" w:color="D4D1C8" w:sz="1"/>
              <w:bottom w:val="single" w:color="D4D1C8" w:sz="1"/>
              <w:right w:val="single" w:color="D4D1C8" w:sz="1"/>
            </w:tcBorders>
            <w:shd w:fill="EAF5EE"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Platform</w:t>
            </w:r>
          </w:p>
        </w:tc>
        <w:tc>
          <w:tcPr>
            <w:tcW w:type="dxa" w:w="6000"/>
            <w:tcBorders>
              <w:top w:val="single" w:color="D4D1C8" w:sz="1"/>
              <w:left w:val="single" w:color="D4D1C8" w:sz="1"/>
              <w:bottom w:val="single" w:color="D4D1C8" w:sz="1"/>
              <w:right w:val="single" w:color="D4D1C8" w:sz="1"/>
            </w:tcBorders>
            <w:shd w:fill="FFFFFF"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PalmWatch (web-based GIS)</w:t>
            </w:r>
          </w:p>
        </w:tc>
      </w:tr>
    </w:tbl>
    <w:p>
      <w:r>
        <w:br w:type="page"/>
      </w:r>
    </w:p>
    <w:p>
      <w:pPr>
        <w:pBdr>
          <w:bottom w:val="single" w:color="1A6B3C" w:sz="10" w:space="4"/>
        </w:pBdr>
        <w:spacing w:after="80" w:before="300"/>
      </w:pPr>
      <w:r>
        <w:rPr>
          <w:rFonts w:ascii="Calibri" w:cs="Calibri" w:eastAsia="Calibri" w:hAnsi="Calibri"/>
          <w:b/>
          <w:bCs/>
          <w:color w:val="0D4A2B"/>
          <w:sz w:val="28"/>
          <w:szCs w:val="28"/>
        </w:rPr>
        <w:t xml:space="preserve">02  Vision &amp; Mission</w:t>
      </w:r>
    </w:p>
    <w:p>
      <w:pPr>
        <w:spacing w:after="60" w:before="200"/>
      </w:pPr>
      <w:r>
        <w:rPr>
          <w:rFonts w:ascii="Calibri" w:cs="Calibri" w:eastAsia="Calibri" w:hAnsi="Calibri"/>
          <w:b/>
          <w:bCs/>
          <w:color w:val="1A6B3C"/>
          <w:sz w:val="22"/>
          <w:szCs w:val="22"/>
        </w:rPr>
        <w:t xml:space="preserve">Vision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4A2B" w:val="clear"/>
            <w:tcMar>
              <w:top w:type="dxa" w:w="180"/>
              <w:left w:type="dxa" w:w="320"/>
              <w:bottom w:type="dxa" w:w="200"/>
              <w:right w:type="dxa" w:w="320"/>
            </w:tcMar>
          </w:tcPr>
          <w:p>
            <w:r>
              <w:rPr>
                <w:rFonts w:ascii="Calibri" w:cs="Calibri" w:eastAsia="Calibri" w:hAnsi="Calibri"/>
                <w:b/>
                <w:bCs/>
                <w:color w:val="FFFFFF"/>
                <w:sz w:val="24"/>
                <w:szCs w:val="24"/>
              </w:rPr>
              <w:t xml:space="preserve">Every oil palm estate in Southeast Asia managed with data, not guesswork.</w:t>
            </w:r>
          </w:p>
        </w:tc>
      </w:tr>
    </w:tbl>
    <w:p>
      <w:r>
        <w:t xml:space="preserve"/>
      </w:r>
    </w:p>
    <w:p>
      <w:pPr>
        <w:spacing w:after="60" w:before="200"/>
      </w:pPr>
      <w:r>
        <w:rPr>
          <w:rFonts w:ascii="Calibri" w:cs="Calibri" w:eastAsia="Calibri" w:hAnsi="Calibri"/>
          <w:b/>
          <w:bCs/>
          <w:color w:val="1A6B3C"/>
          <w:sz w:val="22"/>
          <w:szCs w:val="22"/>
        </w:rPr>
        <w:t xml:space="preserve">Mission</w:t>
      </w:r>
    </w:p>
    <w:p>
      <w:pPr>
        <w:pStyle w:val="ListParagraph"/>
        <w:numPr>
          <w:ilvl w:val="0"/>
          <w:numId w:val="2"/>
        </w:numPr>
        <w:spacing w:after="60" w:before="40"/>
      </w:pPr>
      <w:r>
        <w:rPr>
          <w:rFonts w:ascii="Calibri" w:cs="Calibri" w:eastAsia="Calibri" w:hAnsi="Calibri"/>
          <w:color w:val="1C1C1A"/>
          <w:sz w:val="22"/>
          <w:szCs w:val="22"/>
        </w:rPr>
        <w:t xml:space="preserve">Deliver satellite-powered, science-validated insights to plantation managers per block, not per estate average.</w:t>
      </w:r>
    </w:p>
    <w:p>
      <w:pPr>
        <w:pStyle w:val="ListParagraph"/>
        <w:numPr>
          <w:ilvl w:val="0"/>
          <w:numId w:val="2"/>
        </w:numPr>
        <w:spacing w:after="60" w:before="40"/>
      </w:pPr>
      <w:r>
        <w:rPr>
          <w:rFonts w:ascii="Calibri" w:cs="Calibri" w:eastAsia="Calibri" w:hAnsi="Calibri"/>
          <w:color w:val="1C1C1A"/>
          <w:sz w:val="22"/>
          <w:szCs w:val="22"/>
        </w:rPr>
        <w:t xml:space="preserve">Make precision agronomy accessible to mid-size estates and smallholder cooperatives, not just large corporations.</w:t>
      </w:r>
    </w:p>
    <w:p>
      <w:pPr>
        <w:pStyle w:val="ListParagraph"/>
        <w:numPr>
          <w:ilvl w:val="0"/>
          <w:numId w:val="2"/>
        </w:numPr>
        <w:spacing w:after="60" w:before="40"/>
      </w:pPr>
      <w:r>
        <w:rPr>
          <w:rFonts w:ascii="Calibri" w:cs="Calibri" w:eastAsia="Calibri" w:hAnsi="Calibri"/>
          <w:color w:val="1C1C1A"/>
          <w:sz w:val="22"/>
          <w:szCs w:val="22"/>
        </w:rPr>
        <w:t xml:space="preserve">Support Indonesia's palm oil sector in meeting global sustainability requirements through spatial land intelligence.</w:t>
      </w:r>
    </w:p>
    <w:p>
      <w:pPr>
        <w:pStyle w:val="ListParagraph"/>
        <w:numPr>
          <w:ilvl w:val="0"/>
          <w:numId w:val="2"/>
        </w:numPr>
        <w:spacing w:after="60" w:before="40"/>
      </w:pPr>
      <w:r>
        <w:rPr>
          <w:rFonts w:ascii="Calibri" w:cs="Calibri" w:eastAsia="Calibri" w:hAnsi="Calibri"/>
          <w:color w:val="1C1C1A"/>
          <w:sz w:val="22"/>
          <w:szCs w:val="22"/>
        </w:rPr>
        <w:t xml:space="preserve">Quantify when an intervention will yield results, not just what to do.</w:t>
      </w:r>
    </w:p>
    <w:p>
      <w:r>
        <w:t xml:space="preserve"/>
      </w:r>
    </w:p>
    <w:p>
      <w:pPr>
        <w:pBdr>
          <w:bottom w:val="single" w:color="D4D1C8" w:sz="4" w:space="0"/>
        </w:pBdr>
        <w:spacing w:after="100" w:before="100"/>
      </w:pPr>
      <w:r>
        <w:t xml:space="preserve"/>
      </w:r>
    </w:p>
    <w:p>
      <w:r>
        <w:t xml:space="preserve"/>
      </w:r>
    </w:p>
    <w:p>
      <w:pPr>
        <w:spacing w:after="60" w:before="200"/>
      </w:pPr>
      <w:r>
        <w:rPr>
          <w:rFonts w:ascii="Calibri" w:cs="Calibri" w:eastAsia="Calibri" w:hAnsi="Calibri"/>
          <w:b/>
          <w:bCs/>
          <w:color w:val="1A6B3C"/>
          <w:sz w:val="22"/>
          <w:szCs w:val="22"/>
        </w:rPr>
        <w:t xml:space="preserve">Our Values</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W w:type="dxa" w:w="2300"/>
            <w:tcBorders>
              <w:top w:val="single" w:color="1A6B3C" w:sz="2"/>
              <w:left w:val="single" w:color="1A6B3C" w:sz="2"/>
              <w:bottom w:val="single" w:color="1A6B3C" w:sz="2"/>
              <w:right w:val="single" w:color="1A6B3C" w:sz="2"/>
            </w:tcBorders>
            <w:shd w:fill="EAF5EE" w:val="clear"/>
            <w:tcMar>
              <w:top w:type="dxa" w:w="160"/>
              <w:left w:type="dxa" w:w="180"/>
              <w:bottom w:type="dxa" w:w="180"/>
              <w:right w:type="dxa" w:w="180"/>
            </w:tcMar>
            <w:vAlign w:val="center"/>
          </w:tcPr>
          <w:p>
            <w:pPr>
              <w:spacing w:after="40" w:before="0"/>
              <w:jc w:val="center"/>
            </w:pPr>
            <w:r>
              <w:rPr>
                <w:rFonts w:ascii="Calibri" w:cs="Calibri" w:eastAsia="Calibri" w:hAnsi="Calibri"/>
                <w:color w:val="1A6B3C"/>
                <w:sz w:val="28"/>
                <w:szCs w:val="28"/>
              </w:rPr>
              <w:t xml:space="preserve">[Bukti]</w:t>
            </w:r>
          </w:p>
          <w:p>
            <w:pPr>
              <w:spacing w:after="30" w:before="0"/>
              <w:jc w:val="center"/>
            </w:pPr>
            <w:r>
              <w:rPr>
                <w:rFonts w:ascii="Calibri" w:cs="Calibri" w:eastAsia="Calibri" w:hAnsi="Calibri"/>
                <w:b/>
                <w:bCs/>
                <w:color w:val="0D4A2B"/>
                <w:sz w:val="20"/>
                <w:szCs w:val="20"/>
              </w:rPr>
              <w:t xml:space="preserve">Evidence First</w:t>
            </w:r>
          </w:p>
          <w:p>
            <w:pPr>
              <w:jc w:val="center"/>
            </w:pPr>
            <w:r>
              <w:rPr>
                <w:rFonts w:ascii="Calibri" w:cs="Calibri" w:eastAsia="Calibri" w:hAnsi="Calibri"/>
                <w:color w:val="5A5A56"/>
                <w:sz w:val="18"/>
                <w:szCs w:val="18"/>
              </w:rPr>
              <w:t xml:space="preserve">Data before advice</w:t>
            </w:r>
          </w:p>
        </w:tc>
        <w:tc>
          <w:tcPr>
            <w:tcW w:type="dxa" w:w="2300"/>
            <w:tcBorders>
              <w:top w:val="single" w:color="1A6B3C" w:sz="2"/>
              <w:left w:val="single" w:color="1A6B3C" w:sz="2"/>
              <w:bottom w:val="single" w:color="1A6B3C" w:sz="2"/>
              <w:right w:val="single" w:color="1A6B3C" w:sz="2"/>
            </w:tcBorders>
            <w:shd w:fill="EAF5EE" w:val="clear"/>
            <w:tcMar>
              <w:top w:type="dxa" w:w="160"/>
              <w:left w:type="dxa" w:w="180"/>
              <w:bottom w:type="dxa" w:w="180"/>
              <w:right w:type="dxa" w:w="180"/>
            </w:tcMar>
            <w:vAlign w:val="center"/>
          </w:tcPr>
          <w:p>
            <w:pPr>
              <w:spacing w:after="40" w:before="0"/>
              <w:jc w:val="center"/>
            </w:pPr>
            <w:r>
              <w:rPr>
                <w:rFonts w:ascii="Calibri" w:cs="Calibri" w:eastAsia="Calibri" w:hAnsi="Calibri"/>
                <w:color w:val="1A6B3C"/>
                <w:sz w:val="28"/>
                <w:szCs w:val="28"/>
              </w:rPr>
              <w:t xml:space="preserve">[Presisi]</w:t>
            </w:r>
          </w:p>
          <w:p>
            <w:pPr>
              <w:spacing w:after="30" w:before="0"/>
              <w:jc w:val="center"/>
            </w:pPr>
            <w:r>
              <w:rPr>
                <w:rFonts w:ascii="Calibri" w:cs="Calibri" w:eastAsia="Calibri" w:hAnsi="Calibri"/>
                <w:b/>
                <w:bCs/>
                <w:color w:val="0D4A2B"/>
                <w:sz w:val="20"/>
                <w:szCs w:val="20"/>
              </w:rPr>
              <w:t xml:space="preserve">Spatial Precision</w:t>
            </w:r>
          </w:p>
          <w:p>
            <w:pPr>
              <w:jc w:val="center"/>
            </w:pPr>
            <w:r>
              <w:rPr>
                <w:rFonts w:ascii="Calibri" w:cs="Calibri" w:eastAsia="Calibri" w:hAnsi="Calibri"/>
                <w:color w:val="5A5A56"/>
                <w:sz w:val="18"/>
                <w:szCs w:val="18"/>
              </w:rPr>
              <w:t xml:space="preserve">Per block, not per estate</w:t>
            </w:r>
          </w:p>
        </w:tc>
        <w:tc>
          <w:tcPr>
            <w:tcW w:type="dxa" w:w="2300"/>
            <w:tcBorders>
              <w:top w:val="single" w:color="1A6B3C" w:sz="2"/>
              <w:left w:val="single" w:color="1A6B3C" w:sz="2"/>
              <w:bottom w:val="single" w:color="1A6B3C" w:sz="2"/>
              <w:right w:val="single" w:color="1A6B3C" w:sz="2"/>
            </w:tcBorders>
            <w:shd w:fill="EAF5EE" w:val="clear"/>
            <w:tcMar>
              <w:top w:type="dxa" w:w="160"/>
              <w:left w:type="dxa" w:w="180"/>
              <w:bottom w:type="dxa" w:w="180"/>
              <w:right w:type="dxa" w:w="180"/>
            </w:tcMar>
            <w:vAlign w:val="center"/>
          </w:tcPr>
          <w:p>
            <w:pPr>
              <w:spacing w:after="40" w:before="0"/>
              <w:jc w:val="center"/>
            </w:pPr>
            <w:r>
              <w:rPr>
                <w:rFonts w:ascii="Calibri" w:cs="Calibri" w:eastAsia="Calibri" w:hAnsi="Calibri"/>
                <w:color w:val="1A6B3C"/>
                <w:sz w:val="28"/>
                <w:szCs w:val="28"/>
              </w:rPr>
              <w:t xml:space="preserve">[Lestari]</w:t>
            </w:r>
          </w:p>
          <w:p>
            <w:pPr>
              <w:spacing w:after="30" w:before="0"/>
              <w:jc w:val="center"/>
            </w:pPr>
            <w:r>
              <w:rPr>
                <w:rFonts w:ascii="Calibri" w:cs="Calibri" w:eastAsia="Calibri" w:hAnsi="Calibri"/>
                <w:b/>
                <w:bCs/>
                <w:color w:val="0D4A2B"/>
                <w:sz w:val="20"/>
                <w:szCs w:val="20"/>
              </w:rPr>
              <w:t xml:space="preserve">Sustainability Core</w:t>
            </w:r>
          </w:p>
          <w:p>
            <w:pPr>
              <w:jc w:val="center"/>
            </w:pPr>
            <w:r>
              <w:rPr>
                <w:rFonts w:ascii="Calibri" w:cs="Calibri" w:eastAsia="Calibri" w:hAnsi="Calibri"/>
                <w:color w:val="5A5A56"/>
                <w:sz w:val="18"/>
                <w:szCs w:val="18"/>
              </w:rPr>
              <w:t xml:space="preserve">RSPO, ISPO, EUDR built in</w:t>
            </w:r>
          </w:p>
        </w:tc>
        <w:tc>
          <w:tcPr>
            <w:tcW w:type="dxa" w:w="2300"/>
            <w:tcBorders>
              <w:top w:val="single" w:color="1A6B3C" w:sz="2"/>
              <w:left w:val="single" w:color="1A6B3C" w:sz="2"/>
              <w:bottom w:val="single" w:color="1A6B3C" w:sz="2"/>
              <w:right w:val="single" w:color="1A6B3C" w:sz="2"/>
            </w:tcBorders>
            <w:shd w:fill="EAF5EE" w:val="clear"/>
            <w:tcMar>
              <w:top w:type="dxa" w:w="160"/>
              <w:left w:type="dxa" w:w="180"/>
              <w:bottom w:type="dxa" w:w="180"/>
              <w:right w:type="dxa" w:w="180"/>
            </w:tcMar>
            <w:vAlign w:val="center"/>
          </w:tcPr>
          <w:p>
            <w:pPr>
              <w:spacing w:after="40" w:before="0"/>
              <w:jc w:val="center"/>
            </w:pPr>
            <w:r>
              <w:rPr>
                <w:rFonts w:ascii="Calibri" w:cs="Calibri" w:eastAsia="Calibri" w:hAnsi="Calibri"/>
                <w:color w:val="1A6B3C"/>
                <w:sz w:val="28"/>
                <w:szCs w:val="28"/>
              </w:rPr>
              <w:t xml:space="preserve">[Akses]</w:t>
            </w:r>
          </w:p>
          <w:p>
            <w:pPr>
              <w:spacing w:after="30" w:before="0"/>
              <w:jc w:val="center"/>
            </w:pPr>
            <w:r>
              <w:rPr>
                <w:rFonts w:ascii="Calibri" w:cs="Calibri" w:eastAsia="Calibri" w:hAnsi="Calibri"/>
                <w:b/>
                <w:bCs/>
                <w:color w:val="0D4A2B"/>
                <w:sz w:val="20"/>
                <w:szCs w:val="20"/>
              </w:rPr>
              <w:t xml:space="preserve">Inclusive Access</w:t>
            </w:r>
          </w:p>
          <w:p>
            <w:pPr>
              <w:jc w:val="center"/>
            </w:pPr>
            <w:r>
              <w:rPr>
                <w:rFonts w:ascii="Calibri" w:cs="Calibri" w:eastAsia="Calibri" w:hAnsi="Calibri"/>
                <w:color w:val="5A5A56"/>
                <w:sz w:val="18"/>
                <w:szCs w:val="18"/>
              </w:rPr>
              <w:t xml:space="preserve">Smallholder-ready tiers</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4A2B" w:val="clear"/>
            <w:tcMar>
              <w:top w:type="dxa" w:w="180"/>
              <w:left w:type="dxa" w:w="320"/>
              <w:bottom w:type="dxa" w:w="200"/>
              <w:right w:type="dxa" w:w="320"/>
            </w:tcMar>
          </w:tcPr>
          <w:p>
            <w:pPr>
              <w:spacing w:after="40" w:before="0"/>
            </w:pPr>
            <w:r>
              <w:rPr>
                <w:rFonts w:ascii="Calibri" w:cs="Calibri" w:eastAsia="Calibri" w:hAnsi="Calibri"/>
                <w:b/>
                <w:bCs/>
                <w:color w:val="C4952A"/>
                <w:sz w:val="18"/>
                <w:szCs w:val="18"/>
              </w:rPr>
              <w:t xml:space="preserve">Filosofi Kami</w:t>
            </w:r>
          </w:p>
          <w:p>
            <w:r>
              <w:rPr>
                <w:rFonts w:ascii="Calibri" w:cs="Calibri" w:eastAsia="Calibri" w:hAnsi="Calibri"/>
                <w:i/>
                <w:iCs/>
                <w:color w:val="FFFFFF"/>
                <w:sz w:val="22"/>
                <w:szCs w:val="22"/>
              </w:rPr>
              <w:t xml:space="preserve">"Lahan yang dipahami adalah lahan yang berkembang."</w:t>
            </w:r>
            <w:r>
              <w:rPr>
                <w:rFonts w:ascii="Calibri" w:cs="Calibri" w:eastAsia="Calibri" w:hAnsi="Calibri"/>
                <w:color w:val="EAF5EE"/>
                <w:sz w:val="21"/>
                <w:szCs w:val="21"/>
              </w:rPr>
              <w:t xml:space="preserve">  Land that is understood is land that thrives. Every hectare encodes a story in its soil, canopy, and rainfall. Our job is to read that story and act on it.</w:t>
            </w:r>
          </w:p>
        </w:tc>
      </w:tr>
    </w:tbl>
    <w:p>
      <w:r>
        <w:br w:type="page"/>
      </w:r>
    </w:p>
    <w:p>
      <w:pPr>
        <w:pBdr>
          <w:bottom w:val="single" w:color="1A6B3C" w:sz="10" w:space="4"/>
        </w:pBdr>
        <w:spacing w:after="80" w:before="300"/>
      </w:pPr>
      <w:r>
        <w:rPr>
          <w:rFonts w:ascii="Calibri" w:cs="Calibri" w:eastAsia="Calibri" w:hAnsi="Calibri"/>
          <w:b/>
          <w:bCs/>
          <w:color w:val="0D4A2B"/>
          <w:sz w:val="28"/>
          <w:szCs w:val="28"/>
        </w:rPr>
        <w:t xml:space="preserve">03  The Sustainability Opportunity</w:t>
      </w:r>
    </w:p>
    <w:p>
      <w:pPr>
        <w:spacing w:after="80" w:before="60"/>
      </w:pPr>
      <w:r>
        <w:rPr>
          <w:rFonts w:ascii="Calibri" w:cs="Calibri" w:eastAsia="Calibri" w:hAnsi="Calibri"/>
          <w:color w:val="1C1C1A"/>
          <w:sz w:val="22"/>
          <w:szCs w:val="22"/>
        </w:rPr>
        <w:t xml:space="preserve">Indonesia is the world's largest palm oil producer, yet it faces an urgent and commercially valuable challenge: proving its palm oil is deforestation-free, traceable, and sustainably produced.</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200"/>
      </w:tblGrid>
      <w:tr>
        <w:trPr>
          <w:tblHeader/>
        </w:trPr>
        <w:tc>
          <w:tcPr>
            <w:tcW w:type="dxa" w:w="2400"/>
            <w:tcBorders>
              <w:top w:val="single" w:color="D4D1C8" w:sz="1"/>
              <w:left w:val="single" w:color="D4D1C8" w:sz="1"/>
              <w:bottom w:val="single" w:color="D4D1C8" w:sz="1"/>
              <w:right w:val="single" w:color="D4D1C8" w:sz="1"/>
            </w:tcBorders>
            <w:shd w:fill="1A6B3C" w:val="clear"/>
            <w:tcMar>
              <w:top w:type="dxa" w:w="90"/>
              <w:left w:type="dxa" w:w="160"/>
              <w:bottom w:type="dxa" w:w="90"/>
              <w:right w:type="dxa" w:w="160"/>
            </w:tcMar>
          </w:tcPr>
          <w:p>
            <w:pPr>
              <w:spacing w:after="80" w:before="60"/>
            </w:pPr>
            <w:r>
              <w:rPr>
                <w:rFonts w:ascii="Calibri" w:cs="Calibri" w:eastAsia="Calibri" w:hAnsi="Calibri"/>
                <w:b/>
                <w:bCs/>
                <w:color w:val="FFFFFF"/>
                <w:sz w:val="20"/>
                <w:szCs w:val="20"/>
              </w:rPr>
              <w:t xml:space="preserve">Regulation</w:t>
            </w:r>
          </w:p>
        </w:tc>
        <w:tc>
          <w:tcPr>
            <w:tcW w:type="dxa" w:w="3600"/>
            <w:tcBorders>
              <w:top w:val="single" w:color="D4D1C8" w:sz="1"/>
              <w:left w:val="single" w:color="D4D1C8" w:sz="1"/>
              <w:bottom w:val="single" w:color="D4D1C8" w:sz="1"/>
              <w:right w:val="single" w:color="D4D1C8" w:sz="1"/>
            </w:tcBorders>
            <w:shd w:fill="1A6B3C" w:val="clear"/>
            <w:tcMar>
              <w:top w:type="dxa" w:w="90"/>
              <w:left w:type="dxa" w:w="160"/>
              <w:bottom w:type="dxa" w:w="90"/>
              <w:right w:type="dxa" w:w="160"/>
            </w:tcMar>
          </w:tcPr>
          <w:p>
            <w:pPr>
              <w:spacing w:after="80" w:before="60"/>
            </w:pPr>
            <w:r>
              <w:rPr>
                <w:rFonts w:ascii="Calibri" w:cs="Calibri" w:eastAsia="Calibri" w:hAnsi="Calibri"/>
                <w:b/>
                <w:bCs/>
                <w:color w:val="FFFFFF"/>
                <w:sz w:val="20"/>
                <w:szCs w:val="20"/>
              </w:rPr>
              <w:t xml:space="preserve">What It Requires</w:t>
            </w:r>
          </w:p>
        </w:tc>
        <w:tc>
          <w:tcPr>
            <w:tcW w:type="dxa" w:w="3200"/>
            <w:tcBorders>
              <w:top w:val="single" w:color="D4D1C8" w:sz="1"/>
              <w:left w:val="single" w:color="D4D1C8" w:sz="1"/>
              <w:bottom w:val="single" w:color="D4D1C8" w:sz="1"/>
              <w:right w:val="single" w:color="D4D1C8" w:sz="1"/>
            </w:tcBorders>
            <w:shd w:fill="1A6B3C" w:val="clear"/>
            <w:tcMar>
              <w:top w:type="dxa" w:w="90"/>
              <w:left w:type="dxa" w:w="160"/>
              <w:bottom w:type="dxa" w:w="90"/>
              <w:right w:type="dxa" w:w="160"/>
            </w:tcMar>
          </w:tcPr>
          <w:p>
            <w:pPr>
              <w:spacing w:after="80" w:before="60"/>
            </w:pPr>
            <w:r>
              <w:rPr>
                <w:rFonts w:ascii="Calibri" w:cs="Calibri" w:eastAsia="Calibri" w:hAnsi="Calibri"/>
                <w:b/>
                <w:bCs/>
                <w:color w:val="FFFFFF"/>
                <w:sz w:val="20"/>
                <w:szCs w:val="20"/>
              </w:rPr>
              <w:t xml:space="preserve">Our Role</w:t>
            </w:r>
          </w:p>
        </w:tc>
      </w:tr>
      <w:tr>
        <w:trPr>
          <w:tblHeader w:val="false"/>
        </w:trPr>
        <w:tc>
          <w:tcPr>
            <w:tcW w:type="dxa" w:w="2400"/>
            <w:tcBorders>
              <w:top w:val="single" w:color="D4D1C8" w:sz="1"/>
              <w:left w:val="single" w:color="D4D1C8" w:sz="1"/>
              <w:bottom w:val="single" w:color="D4D1C8" w:sz="1"/>
              <w:right w:val="single" w:color="D4D1C8" w:sz="1"/>
            </w:tcBorders>
            <w:shd w:fill="FFFFFF"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EU Deforestation Regulation (EUDR 2024)</w:t>
            </w:r>
          </w:p>
        </w:tc>
        <w:tc>
          <w:tcPr>
            <w:tcW w:type="dxa" w:w="3600"/>
            <w:tcBorders>
              <w:top w:val="single" w:color="D4D1C8" w:sz="1"/>
              <w:left w:val="single" w:color="D4D1C8" w:sz="1"/>
              <w:bottom w:val="single" w:color="D4D1C8" w:sz="1"/>
              <w:right w:val="single" w:color="D4D1C8" w:sz="1"/>
            </w:tcBorders>
            <w:shd w:fill="FFFFFF"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Operators must prove commodities are not linked to deforestation after Dec 2020</w:t>
            </w:r>
          </w:p>
        </w:tc>
        <w:tc>
          <w:tcPr>
            <w:tcW w:type="dxa" w:w="3200"/>
            <w:tcBorders>
              <w:top w:val="single" w:color="D4D1C8" w:sz="1"/>
              <w:left w:val="single" w:color="D4D1C8" w:sz="1"/>
              <w:bottom w:val="single" w:color="D4D1C8" w:sz="1"/>
              <w:right w:val="single" w:color="D4D1C8" w:sz="1"/>
            </w:tcBorders>
            <w:shd w:fill="FFFFFF"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Spatial land history mapping, deforestation-free polygon evidence per block</w:t>
            </w:r>
          </w:p>
        </w:tc>
      </w:tr>
      <w:tr>
        <w:trPr>
          <w:tblHeader w:val="false"/>
        </w:trPr>
        <w:tc>
          <w:tcPr>
            <w:tcW w:type="dxa" w:w="2400"/>
            <w:tcBorders>
              <w:top w:val="single" w:color="D4D1C8" w:sz="1"/>
              <w:left w:val="single" w:color="D4D1C8" w:sz="1"/>
              <w:bottom w:val="single" w:color="D4D1C8" w:sz="1"/>
              <w:right w:val="single" w:color="D4D1C8" w:sz="1"/>
            </w:tcBorders>
            <w:shd w:fill="FAFAF7"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RSPO Principles and Criteria</w:t>
            </w:r>
          </w:p>
        </w:tc>
        <w:tc>
          <w:tcPr>
            <w:tcW w:type="dxa" w:w="3600"/>
            <w:tcBorders>
              <w:top w:val="single" w:color="D4D1C8" w:sz="1"/>
              <w:left w:val="single" w:color="D4D1C8" w:sz="1"/>
              <w:bottom w:val="single" w:color="D4D1C8" w:sz="1"/>
              <w:right w:val="single" w:color="D4D1C8" w:sz="1"/>
            </w:tcBorders>
            <w:shd w:fill="FAFAF7"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Traceable supply chain, no HCV/HCS clearance, documented management</w:t>
            </w:r>
          </w:p>
        </w:tc>
        <w:tc>
          <w:tcPr>
            <w:tcW w:type="dxa" w:w="3200"/>
            <w:tcBorders>
              <w:top w:val="single" w:color="D4D1C8" w:sz="1"/>
              <w:left w:val="single" w:color="D4D1C8" w:sz="1"/>
              <w:bottom w:val="single" w:color="D4D1C8" w:sz="1"/>
              <w:right w:val="single" w:color="D4D1C8" w:sz="1"/>
            </w:tcBorders>
            <w:shd w:fill="FAFAF7"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Block-level geospatial documentation, audit-ready spatial reports</w:t>
            </w:r>
          </w:p>
        </w:tc>
      </w:tr>
      <w:tr>
        <w:trPr>
          <w:tblHeader w:val="false"/>
        </w:trPr>
        <w:tc>
          <w:tcPr>
            <w:tcW w:type="dxa" w:w="2400"/>
            <w:tcBorders>
              <w:top w:val="single" w:color="D4D1C8" w:sz="1"/>
              <w:left w:val="single" w:color="D4D1C8" w:sz="1"/>
              <w:bottom w:val="single" w:color="D4D1C8" w:sz="1"/>
              <w:right w:val="single" w:color="D4D1C8" w:sz="1"/>
            </w:tcBorders>
            <w:shd w:fill="FFFFFF"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ISPO (Indonesia)</w:t>
            </w:r>
          </w:p>
        </w:tc>
        <w:tc>
          <w:tcPr>
            <w:tcW w:type="dxa" w:w="3600"/>
            <w:tcBorders>
              <w:top w:val="single" w:color="D4D1C8" w:sz="1"/>
              <w:left w:val="single" w:color="D4D1C8" w:sz="1"/>
              <w:bottom w:val="single" w:color="D4D1C8" w:sz="1"/>
              <w:right w:val="single" w:color="D4D1C8" w:sz="1"/>
            </w:tcBorders>
            <w:shd w:fill="FFFFFF"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National mandatory certification for all Indonesian palm operations</w:t>
            </w:r>
          </w:p>
        </w:tc>
        <w:tc>
          <w:tcPr>
            <w:tcW w:type="dxa" w:w="3200"/>
            <w:tcBorders>
              <w:top w:val="single" w:color="D4D1C8" w:sz="1"/>
              <w:left w:val="single" w:color="D4D1C8" w:sz="1"/>
              <w:bottom w:val="single" w:color="D4D1C8" w:sz="1"/>
              <w:right w:val="single" w:color="D4D1C8" w:sz="1"/>
            </w:tcBorders>
            <w:shd w:fill="FFFFFF"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Compliance mapping, spatial evidence for certification submissions</w:t>
            </w:r>
          </w:p>
        </w:tc>
      </w:tr>
      <w:tr>
        <w:trPr>
          <w:tblHeader w:val="false"/>
        </w:trPr>
        <w:tc>
          <w:tcPr>
            <w:tcW w:type="dxa" w:w="2400"/>
            <w:tcBorders>
              <w:top w:val="single" w:color="D4D1C8" w:sz="1"/>
              <w:left w:val="single" w:color="D4D1C8" w:sz="1"/>
              <w:bottom w:val="single" w:color="D4D1C8" w:sz="1"/>
              <w:right w:val="single" w:color="D4D1C8" w:sz="1"/>
            </w:tcBorders>
            <w:shd w:fill="FAFAF7"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NDPE Policies (buyers)</w:t>
            </w:r>
          </w:p>
        </w:tc>
        <w:tc>
          <w:tcPr>
            <w:tcW w:type="dxa" w:w="3600"/>
            <w:tcBorders>
              <w:top w:val="single" w:color="D4D1C8" w:sz="1"/>
              <w:left w:val="single" w:color="D4D1C8" w:sz="1"/>
              <w:bottom w:val="single" w:color="D4D1C8" w:sz="1"/>
              <w:right w:val="single" w:color="D4D1C8" w:sz="1"/>
            </w:tcBorders>
            <w:shd w:fill="FAFAF7"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No Deforestation, No Peat, No Exploitation requirements from global buyers</w:t>
            </w:r>
          </w:p>
        </w:tc>
        <w:tc>
          <w:tcPr>
            <w:tcW w:type="dxa" w:w="3200"/>
            <w:tcBorders>
              <w:top w:val="single" w:color="D4D1C8" w:sz="1"/>
              <w:left w:val="single" w:color="D4D1C8" w:sz="1"/>
              <w:bottom w:val="single" w:color="D4D1C8" w:sz="1"/>
              <w:right w:val="single" w:color="D4D1C8" w:sz="1"/>
            </w:tcBorders>
            <w:shd w:fill="FAFAF7"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Peat risk mapping, land cover change alerts, boundary verification</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A6B3C" w:val="clear"/>
            <w:tcMar>
              <w:top w:type="dxa" w:w="180"/>
              <w:left w:type="dxa" w:w="320"/>
              <w:bottom w:type="dxa" w:w="200"/>
              <w:right w:type="dxa" w:w="320"/>
            </w:tcMar>
          </w:tcPr>
          <w:p>
            <w:pPr>
              <w:spacing w:after="30" w:before="0"/>
            </w:pPr>
            <w:r>
              <w:rPr>
                <w:rFonts w:ascii="Calibri" w:cs="Calibri" w:eastAsia="Calibri" w:hAnsi="Calibri"/>
                <w:b/>
                <w:bCs/>
                <w:color w:val="C4952A"/>
                <w:sz w:val="22"/>
                <w:szCs w:val="22"/>
              </w:rPr>
              <w:t xml:space="preserve">Land inventory is now a trade asset.</w:t>
            </w:r>
          </w:p>
          <w:p>
            <w:r>
              <w:rPr>
                <w:rFonts w:ascii="Calibri" w:cs="Calibri" w:eastAsia="Calibri" w:hAnsi="Calibri"/>
                <w:color w:val="FFFFFF"/>
                <w:sz w:val="21"/>
                <w:szCs w:val="21"/>
              </w:rPr>
              <w:t xml:space="preserve">Estates that can prove where their land is, what it was before, and how it is managed today will have unobstructed access to European markets and premium buyers. Those that cannot will face trade barriers. Pranata Bhumi turns that spatial evidence into a managed, audit-ready system.</w:t>
            </w:r>
          </w:p>
        </w:tc>
      </w:tr>
    </w:tbl>
    <w:p>
      <w:r>
        <w:t xml:space="preserve"/>
      </w:r>
    </w:p>
    <w:p>
      <w:pPr>
        <w:spacing w:after="80" w:before="60"/>
      </w:pPr>
      <w:r>
        <w:rPr>
          <w:rFonts w:ascii="Calibri" w:cs="Calibri" w:eastAsia="Calibri" w:hAnsi="Calibri"/>
          <w:color w:val="1C1C1A"/>
          <w:sz w:val="22"/>
          <w:szCs w:val="22"/>
        </w:rPr>
        <w:t xml:space="preserve">This is not only a compliance cost. It is a differentiation asset. A spatially documented, EUDR-ready estate commands higher contract prices, easier access to green finance, and faster buyer approval than an undocumented peer.</w:t>
      </w:r>
    </w:p>
    <w:p>
      <w:r>
        <w:br w:type="page"/>
      </w:r>
    </w:p>
    <w:p>
      <w:pPr>
        <w:pBdr>
          <w:bottom w:val="single" w:color="1A6B3C" w:sz="10" w:space="4"/>
        </w:pBdr>
        <w:spacing w:after="80" w:before="300"/>
      </w:pPr>
      <w:r>
        <w:rPr>
          <w:rFonts w:ascii="Calibri" w:cs="Calibri" w:eastAsia="Calibri" w:hAnsi="Calibri"/>
          <w:b/>
          <w:bCs/>
          <w:color w:val="0D4A2B"/>
          <w:sz w:val="28"/>
          <w:szCs w:val="28"/>
        </w:rPr>
        <w:t xml:space="preserve">04  What We Do</w:t>
      </w:r>
    </w:p>
    <w:p>
      <w:pPr>
        <w:spacing w:after="80" w:before="60"/>
      </w:pPr>
      <w:r>
        <w:rPr>
          <w:rFonts w:ascii="Calibri" w:cs="Calibri" w:eastAsia="Calibri" w:hAnsi="Calibri"/>
          <w:color w:val="1C1C1A"/>
          <w:sz w:val="22"/>
          <w:szCs w:val="22"/>
        </w:rPr>
        <w:t xml:space="preserve">Five services, deployable independently or as an integrated system.</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
        <w:gridCol w:w="9120"/>
      </w:tblGrid>
      <w:tr>
        <w:tc>
          <w:tcPr>
            <w:tcW w:type="dxa" w:w="80"/>
            <w:tcBorders>
              <w:top w:val="none" w:color="FFFFFF" w:sz="0"/>
              <w:left w:val="none" w:color="FFFFFF" w:sz="0"/>
              <w:bottom w:val="none" w:color="FFFFFF" w:sz="0"/>
              <w:right w:val="none" w:color="FFFFFF" w:sz="0"/>
            </w:tcBorders>
            <w:shd w:fill="0D4A2B" w:val="clear"/>
          </w:tcPr>
          <w:p>
            <w:r>
              <w:t xml:space="preserve"/>
            </w:r>
          </w:p>
        </w:tc>
        <w:tc>
          <w:tcPr>
            <w:tcW w:type="dxa" w:w="9120"/>
            <w:tcBorders>
              <w:top w:val="none" w:color="FFFFFF" w:sz="0"/>
              <w:left w:val="single" w:color="0D4A2B" w:sz="20"/>
              <w:bottom w:val="none" w:color="FFFFFF" w:sz="0"/>
              <w:right w:val="none" w:color="FFFFFF" w:sz="0"/>
            </w:tcBorders>
            <w:shd w:fill="EAF5EE" w:val="clear"/>
            <w:tcMar>
              <w:top w:type="dxa" w:w="160"/>
              <w:left w:type="dxa" w:w="240"/>
              <w:bottom w:type="dxa" w:w="180"/>
              <w:right w:type="dxa" w:w="240"/>
            </w:tcMar>
          </w:tcPr>
          <w:p>
            <w:pPr>
              <w:spacing w:after="40" w:before="0"/>
            </w:pPr>
            <w:r>
              <w:rPr>
                <w:rFonts w:ascii="Calibri" w:cs="Calibri" w:eastAsia="Calibri" w:hAnsi="Calibri"/>
                <w:b/>
                <w:bCs/>
                <w:color w:val="C4952A"/>
                <w:sz w:val="18"/>
                <w:szCs w:val="18"/>
              </w:rPr>
              <w:t xml:space="preserve">01  </w:t>
            </w:r>
            <w:r>
              <w:rPr>
                <w:rFonts w:ascii="Calibri" w:cs="Calibri" w:eastAsia="Calibri" w:hAnsi="Calibri"/>
                <w:b/>
                <w:bCs/>
                <w:color w:val="0D4A2B"/>
                <w:sz w:val="23"/>
                <w:szCs w:val="23"/>
              </w:rPr>
              <w:t xml:space="preserve">Precision Mapping</w:t>
            </w:r>
          </w:p>
          <w:p>
            <w:pPr>
              <w:spacing w:after="100" w:before="0"/>
            </w:pPr>
            <w:r>
              <w:rPr>
                <w:rFonts w:ascii="Calibri" w:cs="Calibri" w:eastAsia="Calibri" w:hAnsi="Calibri"/>
                <w:i/>
                <w:iCs/>
                <w:color w:val="5A5A56"/>
                <w:sz w:val="20"/>
                <w:szCs w:val="20"/>
              </w:rPr>
              <w:t xml:space="preserve">Spatial foundation of the estate</w:t>
            </w:r>
          </w:p>
          <w:p>
            <w:pPr>
              <w:pStyle w:val="ListParagraph"/>
              <w:numPr>
                <w:ilvl w:val="0"/>
                <w:numId w:val="2"/>
              </w:numPr>
              <w:spacing w:after="40" w:before="30"/>
            </w:pPr>
            <w:r>
              <w:rPr>
                <w:rFonts w:ascii="Calibri" w:cs="Calibri" w:eastAsia="Calibri" w:hAnsi="Calibri"/>
                <w:color w:val="1C1C1A"/>
                <w:sz w:val="20"/>
                <w:szCs w:val="20"/>
              </w:rPr>
              <w:t xml:space="preserve">Block polygon mapping from satellite and UAV imagery (10-30m resolution)</w:t>
            </w:r>
          </w:p>
          <w:p>
            <w:pPr>
              <w:pStyle w:val="ListParagraph"/>
              <w:numPr>
                <w:ilvl w:val="0"/>
                <w:numId w:val="2"/>
              </w:numPr>
              <w:spacing w:after="40" w:before="30"/>
            </w:pPr>
            <w:r>
              <w:rPr>
                <w:rFonts w:ascii="Calibri" w:cs="Calibri" w:eastAsia="Calibri" w:hAnsi="Calibri"/>
                <w:color w:val="1C1C1A"/>
                <w:sz w:val="20"/>
                <w:szCs w:val="20"/>
              </w:rPr>
              <w:t xml:space="preserve">Legal boundary verification: HGU overlap, protected area buffers</w:t>
            </w:r>
          </w:p>
          <w:p>
            <w:pPr>
              <w:pStyle w:val="ListParagraph"/>
              <w:numPr>
                <w:ilvl w:val="0"/>
                <w:numId w:val="2"/>
              </w:numPr>
              <w:spacing w:after="40" w:before="30"/>
            </w:pPr>
            <w:r>
              <w:rPr>
                <w:rFonts w:ascii="Calibri" w:cs="Calibri" w:eastAsia="Calibri" w:hAnsi="Calibri"/>
                <w:color w:val="1C1C1A"/>
                <w:sz w:val="20"/>
                <w:szCs w:val="20"/>
              </w:rPr>
              <w:t xml:space="preserve">Land cover change history: deforestation check 2015 to present</w:t>
            </w:r>
          </w:p>
          <w:p>
            <w:pPr>
              <w:pStyle w:val="ListParagraph"/>
              <w:numPr>
                <w:ilvl w:val="0"/>
                <w:numId w:val="2"/>
              </w:numPr>
              <w:spacing w:after="40" w:before="30"/>
            </w:pPr>
            <w:r>
              <w:rPr>
                <w:rFonts w:ascii="Calibri" w:cs="Calibri" w:eastAsia="Calibri" w:hAnsi="Calibri"/>
                <w:color w:val="1C1C1A"/>
                <w:sz w:val="20"/>
                <w:szCs w:val="20"/>
              </w:rPr>
              <w:t xml:space="preserve">Soil type zoning, drainage network, and terrain analysis</w:t>
            </w:r>
          </w:p>
          <w:p>
            <w:pPr>
              <w:pStyle w:val="ListParagraph"/>
              <w:numPr>
                <w:ilvl w:val="0"/>
                <w:numId w:val="2"/>
              </w:numPr>
              <w:spacing w:after="40" w:before="30"/>
            </w:pPr>
            <w:r>
              <w:rPr>
                <w:rFonts w:ascii="Calibri" w:cs="Calibri" w:eastAsia="Calibri" w:hAnsi="Calibri"/>
                <w:color w:val="1C1C1A"/>
                <w:sz w:val="20"/>
                <w:szCs w:val="20"/>
              </w:rPr>
              <w:t xml:space="preserve">Audit-ready geodatabase for RSPO, ISPO, and EUDR submissions</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
        <w:gridCol w:w="9120"/>
      </w:tblGrid>
      <w:tr>
        <w:tc>
          <w:tcPr>
            <w:tcW w:type="dxa" w:w="80"/>
            <w:tcBorders>
              <w:top w:val="none" w:color="FFFFFF" w:sz="0"/>
              <w:left w:val="none" w:color="FFFFFF" w:sz="0"/>
              <w:bottom w:val="none" w:color="FFFFFF" w:sz="0"/>
              <w:right w:val="none" w:color="FFFFFF" w:sz="0"/>
            </w:tcBorders>
            <w:shd w:fill="3D9B6B" w:val="clear"/>
          </w:tcPr>
          <w:p>
            <w:r>
              <w:t xml:space="preserve"/>
            </w:r>
          </w:p>
        </w:tc>
        <w:tc>
          <w:tcPr>
            <w:tcW w:type="dxa" w:w="9120"/>
            <w:tcBorders>
              <w:top w:val="none" w:color="FFFFFF" w:sz="0"/>
              <w:left w:val="single" w:color="3D9B6B" w:sz="20"/>
              <w:bottom w:val="none" w:color="FFFFFF" w:sz="0"/>
              <w:right w:val="none" w:color="FFFFFF" w:sz="0"/>
            </w:tcBorders>
            <w:shd w:fill="EAF5EE" w:val="clear"/>
            <w:tcMar>
              <w:top w:type="dxa" w:w="160"/>
              <w:left w:type="dxa" w:w="240"/>
              <w:bottom w:type="dxa" w:w="180"/>
              <w:right w:type="dxa" w:w="240"/>
            </w:tcMar>
          </w:tcPr>
          <w:p>
            <w:pPr>
              <w:spacing w:after="40" w:before="0"/>
            </w:pPr>
            <w:r>
              <w:rPr>
                <w:rFonts w:ascii="Calibri" w:cs="Calibri" w:eastAsia="Calibri" w:hAnsi="Calibri"/>
                <w:b/>
                <w:bCs/>
                <w:color w:val="C4952A"/>
                <w:sz w:val="18"/>
                <w:szCs w:val="18"/>
              </w:rPr>
              <w:t xml:space="preserve">02  </w:t>
            </w:r>
            <w:r>
              <w:rPr>
                <w:rFonts w:ascii="Calibri" w:cs="Calibri" w:eastAsia="Calibri" w:hAnsi="Calibri"/>
                <w:b/>
                <w:bCs/>
                <w:color w:val="0D4A2B"/>
                <w:sz w:val="23"/>
                <w:szCs w:val="23"/>
              </w:rPr>
              <w:t xml:space="preserve">Vegetation Health Monitoring</w:t>
            </w:r>
          </w:p>
          <w:p>
            <w:pPr>
              <w:spacing w:after="100" w:before="0"/>
            </w:pPr>
            <w:r>
              <w:rPr>
                <w:rFonts w:ascii="Calibri" w:cs="Calibri" w:eastAsia="Calibri" w:hAnsi="Calibri"/>
                <w:i/>
                <w:iCs/>
                <w:color w:val="5A5A56"/>
                <w:sz w:val="20"/>
                <w:szCs w:val="20"/>
              </w:rPr>
              <w:t xml:space="preserve">Continuous canopy intelligence via satellite</w:t>
            </w:r>
          </w:p>
          <w:p>
            <w:pPr>
              <w:pStyle w:val="ListParagraph"/>
              <w:numPr>
                <w:ilvl w:val="0"/>
                <w:numId w:val="2"/>
              </w:numPr>
              <w:spacing w:after="40" w:before="30"/>
            </w:pPr>
            <w:r>
              <w:rPr>
                <w:rFonts w:ascii="Calibri" w:cs="Calibri" w:eastAsia="Calibri" w:hAnsi="Calibri"/>
                <w:color w:val="1C1C1A"/>
                <w:sz w:val="20"/>
                <w:szCs w:val="20"/>
              </w:rPr>
              <w:t xml:space="preserve">NDVI, EVI, LAI per block, updated every 10-16 days from Sentinel-2</w:t>
            </w:r>
          </w:p>
          <w:p>
            <w:pPr>
              <w:pStyle w:val="ListParagraph"/>
              <w:numPr>
                <w:ilvl w:val="0"/>
                <w:numId w:val="2"/>
              </w:numPr>
              <w:spacing w:after="40" w:before="30"/>
            </w:pPr>
            <w:r>
              <w:rPr>
                <w:rFonts w:ascii="Calibri" w:cs="Calibri" w:eastAsia="Calibri" w:hAnsi="Calibri"/>
                <w:color w:val="1C1C1A"/>
                <w:sz w:val="20"/>
                <w:szCs w:val="20"/>
              </w:rPr>
              <w:t xml:space="preserve">Health classification: optimal, suboptimal, stress, critical (palm-calibrated thresholds)</w:t>
            </w:r>
          </w:p>
          <w:p>
            <w:pPr>
              <w:pStyle w:val="ListParagraph"/>
              <w:numPr>
                <w:ilvl w:val="0"/>
                <w:numId w:val="2"/>
              </w:numPr>
              <w:spacing w:after="40" w:before="30"/>
            </w:pPr>
            <w:r>
              <w:rPr>
                <w:rFonts w:ascii="Calibri" w:cs="Calibri" w:eastAsia="Calibri" w:hAnsi="Calibri"/>
                <w:color w:val="1C1C1A"/>
                <w:sz w:val="20"/>
                <w:szCs w:val="20"/>
              </w:rPr>
              <w:t xml:space="preserve">Rainfall accumulation (30/60/90-day), evapotranspiration, and water stress index</w:t>
            </w:r>
          </w:p>
          <w:p>
            <w:pPr>
              <w:pStyle w:val="ListParagraph"/>
              <w:numPr>
                <w:ilvl w:val="0"/>
                <w:numId w:val="2"/>
              </w:numPr>
              <w:spacing w:after="40" w:before="30"/>
            </w:pPr>
            <w:r>
              <w:rPr>
                <w:rFonts w:ascii="Calibri" w:cs="Calibri" w:eastAsia="Calibri" w:hAnsi="Calibri"/>
                <w:color w:val="1C1C1A"/>
                <w:sz w:val="20"/>
                <w:szCs w:val="20"/>
              </w:rPr>
              <w:t xml:space="preserve">Automatic alerts when any block crosses a critical threshold</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
        <w:gridCol w:w="9120"/>
      </w:tblGrid>
      <w:tr>
        <w:tc>
          <w:tcPr>
            <w:tcW w:type="dxa" w:w="80"/>
            <w:tcBorders>
              <w:top w:val="none" w:color="FFFFFF" w:sz="0"/>
              <w:left w:val="none" w:color="FFFFFF" w:sz="0"/>
              <w:bottom w:val="none" w:color="FFFFFF" w:sz="0"/>
              <w:right w:val="none" w:color="FFFFFF" w:sz="0"/>
            </w:tcBorders>
            <w:shd w:fill="C4952A" w:val="clear"/>
          </w:tcPr>
          <w:p>
            <w:r>
              <w:t xml:space="preserve"/>
            </w:r>
          </w:p>
        </w:tc>
        <w:tc>
          <w:tcPr>
            <w:tcW w:type="dxa" w:w="9120"/>
            <w:tcBorders>
              <w:top w:val="none" w:color="FFFFFF" w:sz="0"/>
              <w:left w:val="single" w:color="C4952A" w:sz="20"/>
              <w:bottom w:val="none" w:color="FFFFFF" w:sz="0"/>
              <w:right w:val="none" w:color="FFFFFF" w:sz="0"/>
            </w:tcBorders>
            <w:shd w:fill="EAF5EE" w:val="clear"/>
            <w:tcMar>
              <w:top w:type="dxa" w:w="160"/>
              <w:left w:type="dxa" w:w="240"/>
              <w:bottom w:type="dxa" w:w="180"/>
              <w:right w:type="dxa" w:w="240"/>
            </w:tcMar>
          </w:tcPr>
          <w:p>
            <w:pPr>
              <w:spacing w:after="40" w:before="0"/>
            </w:pPr>
            <w:r>
              <w:rPr>
                <w:rFonts w:ascii="Calibri" w:cs="Calibri" w:eastAsia="Calibri" w:hAnsi="Calibri"/>
                <w:b/>
                <w:bCs/>
                <w:color w:val="C4952A"/>
                <w:sz w:val="18"/>
                <w:szCs w:val="18"/>
              </w:rPr>
              <w:t xml:space="preserve">03  </w:t>
            </w:r>
            <w:r>
              <w:rPr>
                <w:rFonts w:ascii="Calibri" w:cs="Calibri" w:eastAsia="Calibri" w:hAnsi="Calibri"/>
                <w:b/>
                <w:bCs/>
                <w:color w:val="0D4A2B"/>
                <w:sz w:val="23"/>
                <w:szCs w:val="23"/>
              </w:rPr>
              <w:t xml:space="preserve">Yield Intelligence</w:t>
            </w:r>
          </w:p>
          <w:p>
            <w:pPr>
              <w:spacing w:after="100" w:before="0"/>
            </w:pPr>
            <w:r>
              <w:rPr>
                <w:rFonts w:ascii="Calibri" w:cs="Calibri" w:eastAsia="Calibri" w:hAnsi="Calibri"/>
                <w:i/>
                <w:iCs/>
                <w:color w:val="5A5A56"/>
                <w:sz w:val="20"/>
                <w:szCs w:val="20"/>
              </w:rPr>
              <w:t xml:space="preserve">Closing the gap between actual and potential FFB</w:t>
            </w:r>
          </w:p>
          <w:p>
            <w:pPr>
              <w:pStyle w:val="ListParagraph"/>
              <w:numPr>
                <w:ilvl w:val="0"/>
                <w:numId w:val="2"/>
              </w:numPr>
              <w:spacing w:after="40" w:before="30"/>
            </w:pPr>
            <w:r>
              <w:rPr>
                <w:rFonts w:ascii="Calibri" w:cs="Calibri" w:eastAsia="Calibri" w:hAnsi="Calibri"/>
                <w:color w:val="1C1C1A"/>
                <w:sz w:val="20"/>
                <w:szCs w:val="20"/>
              </w:rPr>
              <w:t xml:space="preserve">Regression analysis: which field conditions are statistically linked to your production data</w:t>
            </w:r>
          </w:p>
          <w:p>
            <w:pPr>
              <w:pStyle w:val="ListParagraph"/>
              <w:numPr>
                <w:ilvl w:val="0"/>
                <w:numId w:val="2"/>
              </w:numPr>
              <w:spacing w:after="40" w:before="30"/>
            </w:pPr>
            <w:r>
              <w:rPr>
                <w:rFonts w:ascii="Calibri" w:cs="Calibri" w:eastAsia="Calibri" w:hAnsi="Calibri"/>
                <w:color w:val="1C1C1A"/>
                <w:sz w:val="20"/>
                <w:szCs w:val="20"/>
              </w:rPr>
              <w:t xml:space="preserve">Block yield forecast and underperformance diagnosis</w:t>
            </w:r>
          </w:p>
          <w:p>
            <w:pPr>
              <w:pStyle w:val="ListParagraph"/>
              <w:numPr>
                <w:ilvl w:val="0"/>
                <w:numId w:val="2"/>
              </w:numPr>
              <w:spacing w:after="40" w:before="30"/>
            </w:pPr>
            <w:r>
              <w:rPr>
                <w:rFonts w:ascii="Calibri" w:cs="Calibri" w:eastAsia="Calibri" w:hAnsi="Calibri"/>
                <w:color w:val="1C1C1A"/>
                <w:sz w:val="20"/>
                <w:szCs w:val="20"/>
              </w:rPr>
              <w:t xml:space="preserve">Effort coefficient: 'this much improvement in NDVI = this much more FFB per hectare'</w:t>
            </w:r>
          </w:p>
          <w:p>
            <w:pPr>
              <w:pStyle w:val="ListParagraph"/>
              <w:numPr>
                <w:ilvl w:val="0"/>
                <w:numId w:val="2"/>
              </w:numPr>
              <w:spacing w:after="40" w:before="30"/>
            </w:pPr>
            <w:r>
              <w:rPr>
                <w:rFonts w:ascii="Calibri" w:cs="Calibri" w:eastAsia="Calibri" w:hAnsi="Calibri"/>
                <w:color w:val="1C1C1A"/>
                <w:sz w:val="20"/>
                <w:szCs w:val="20"/>
              </w:rPr>
              <w:t xml:space="preserve">Benchmark: your blocks vs. estate best performers</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
        <w:gridCol w:w="9120"/>
      </w:tblGrid>
      <w:tr>
        <w:tc>
          <w:tcPr>
            <w:tcW w:type="dxa" w:w="80"/>
            <w:tcBorders>
              <w:top w:val="none" w:color="FFFFFF" w:sz="0"/>
              <w:left w:val="none" w:color="FFFFFF" w:sz="0"/>
              <w:bottom w:val="none" w:color="FFFFFF" w:sz="0"/>
              <w:right w:val="none" w:color="FFFFFF" w:sz="0"/>
            </w:tcBorders>
            <w:shd w:fill="8A6914" w:val="clear"/>
          </w:tcPr>
          <w:p>
            <w:r>
              <w:t xml:space="preserve"/>
            </w:r>
          </w:p>
        </w:tc>
        <w:tc>
          <w:tcPr>
            <w:tcW w:type="dxa" w:w="9120"/>
            <w:tcBorders>
              <w:top w:val="none" w:color="FFFFFF" w:sz="0"/>
              <w:left w:val="single" w:color="8A6914" w:sz="20"/>
              <w:bottom w:val="none" w:color="FFFFFF" w:sz="0"/>
              <w:right w:val="none" w:color="FFFFFF" w:sz="0"/>
            </w:tcBorders>
            <w:shd w:fill="EAF5EE" w:val="clear"/>
            <w:tcMar>
              <w:top w:type="dxa" w:w="160"/>
              <w:left w:type="dxa" w:w="240"/>
              <w:bottom w:type="dxa" w:w="180"/>
              <w:right w:type="dxa" w:w="240"/>
            </w:tcMar>
          </w:tcPr>
          <w:p>
            <w:pPr>
              <w:spacing w:after="40" w:before="0"/>
            </w:pPr>
            <w:r>
              <w:rPr>
                <w:rFonts w:ascii="Calibri" w:cs="Calibri" w:eastAsia="Calibri" w:hAnsi="Calibri"/>
                <w:b/>
                <w:bCs/>
                <w:color w:val="C4952A"/>
                <w:sz w:val="18"/>
                <w:szCs w:val="18"/>
              </w:rPr>
              <w:t xml:space="preserve">04  </w:t>
            </w:r>
            <w:r>
              <w:rPr>
                <w:rFonts w:ascii="Calibri" w:cs="Calibri" w:eastAsia="Calibri" w:hAnsi="Calibri"/>
                <w:b/>
                <w:bCs/>
                <w:color w:val="0D4A2B"/>
                <w:sz w:val="23"/>
                <w:szCs w:val="23"/>
              </w:rPr>
              <w:t xml:space="preserve">Intervention Advisory</w:t>
            </w:r>
          </w:p>
          <w:p>
            <w:pPr>
              <w:spacing w:after="100" w:before="0"/>
            </w:pPr>
            <w:r>
              <w:rPr>
                <w:rFonts w:ascii="Calibri" w:cs="Calibri" w:eastAsia="Calibri" w:hAnsi="Calibri"/>
                <w:i/>
                <w:iCs/>
                <w:color w:val="5A5A56"/>
                <w:sz w:val="20"/>
                <w:szCs w:val="20"/>
              </w:rPr>
              <w:t xml:space="preserve">What to do, where, and when</w:t>
            </w:r>
          </w:p>
          <w:p>
            <w:pPr>
              <w:pStyle w:val="ListParagraph"/>
              <w:numPr>
                <w:ilvl w:val="0"/>
                <w:numId w:val="2"/>
              </w:numPr>
              <w:spacing w:after="40" w:before="30"/>
            </w:pPr>
            <w:r>
              <w:rPr>
                <w:rFonts w:ascii="Calibri" w:cs="Calibri" w:eastAsia="Calibri" w:hAnsi="Calibri"/>
                <w:color w:val="1C1C1A"/>
                <w:sz w:val="20"/>
                <w:szCs w:val="20"/>
              </w:rPr>
              <w:t xml:space="preserve">Multi-layer overlay: vegetation + rainfall + soil + terrain per block</w:t>
            </w:r>
          </w:p>
          <w:p>
            <w:pPr>
              <w:pStyle w:val="ListParagraph"/>
              <w:numPr>
                <w:ilvl w:val="0"/>
                <w:numId w:val="2"/>
              </w:numPr>
              <w:spacing w:after="40" w:before="30"/>
            </w:pPr>
            <w:r>
              <w:rPr>
                <w:rFonts w:ascii="Calibri" w:cs="Calibri" w:eastAsia="Calibri" w:hAnsi="Calibri"/>
                <w:color w:val="1C1C1A"/>
                <w:sz w:val="20"/>
                <w:szCs w:val="20"/>
              </w:rPr>
              <w:t xml:space="preserve">Specific prescription per block: fertilisation, drainage, liming, pest management</w:t>
            </w:r>
          </w:p>
          <w:p>
            <w:pPr>
              <w:pStyle w:val="ListParagraph"/>
              <w:numPr>
                <w:ilvl w:val="0"/>
                <w:numId w:val="2"/>
              </w:numPr>
              <w:spacing w:after="40" w:before="30"/>
            </w:pPr>
            <w:r>
              <w:rPr>
                <w:rFonts w:ascii="Calibri" w:cs="Calibri" w:eastAsia="Calibri" w:hAnsi="Calibri"/>
                <w:color w:val="1C1C1A"/>
                <w:sz w:val="20"/>
                <w:szCs w:val="20"/>
              </w:rPr>
              <w:t xml:space="preserve">Lag-effect timeline: when to expect yield response after each intervention</w:t>
            </w:r>
          </w:p>
          <w:p>
            <w:pPr>
              <w:pStyle w:val="ListParagraph"/>
              <w:numPr>
                <w:ilvl w:val="0"/>
                <w:numId w:val="2"/>
              </w:numPr>
              <w:spacing w:after="40" w:before="30"/>
            </w:pPr>
            <w:r>
              <w:rPr>
                <w:rFonts w:ascii="Calibri" w:cs="Calibri" w:eastAsia="Calibri" w:hAnsi="Calibri"/>
                <w:color w:val="1C1C1A"/>
                <w:sz w:val="20"/>
                <w:szCs w:val="20"/>
              </w:rPr>
              <w:t xml:space="preserve">Priority ranking: highest-impact blocks first, with ROI projection</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
        <w:gridCol w:w="9120"/>
      </w:tblGrid>
      <w:tr>
        <w:tc>
          <w:tcPr>
            <w:tcW w:type="dxa" w:w="80"/>
            <w:tcBorders>
              <w:top w:val="none" w:color="FFFFFF" w:sz="0"/>
              <w:left w:val="none" w:color="FFFFFF" w:sz="0"/>
              <w:bottom w:val="none" w:color="FFFFFF" w:sz="0"/>
              <w:right w:val="none" w:color="FFFFFF" w:sz="0"/>
            </w:tcBorders>
            <w:shd w:fill="1A6B3C" w:val="clear"/>
          </w:tcPr>
          <w:p>
            <w:r>
              <w:t xml:space="preserve"/>
            </w:r>
          </w:p>
        </w:tc>
        <w:tc>
          <w:tcPr>
            <w:tcW w:type="dxa" w:w="9120"/>
            <w:tcBorders>
              <w:top w:val="none" w:color="FFFFFF" w:sz="0"/>
              <w:left w:val="single" w:color="1A6B3C" w:sz="20"/>
              <w:bottom w:val="none" w:color="FFFFFF" w:sz="0"/>
              <w:right w:val="none" w:color="FFFFFF" w:sz="0"/>
            </w:tcBorders>
            <w:shd w:fill="EAF5EE" w:val="clear"/>
            <w:tcMar>
              <w:top w:type="dxa" w:w="160"/>
              <w:left w:type="dxa" w:w="240"/>
              <w:bottom w:type="dxa" w:w="180"/>
              <w:right w:type="dxa" w:w="240"/>
            </w:tcMar>
          </w:tcPr>
          <w:p>
            <w:pPr>
              <w:spacing w:after="40" w:before="0"/>
            </w:pPr>
            <w:r>
              <w:rPr>
                <w:rFonts w:ascii="Calibri" w:cs="Calibri" w:eastAsia="Calibri" w:hAnsi="Calibri"/>
                <w:b/>
                <w:bCs/>
                <w:color w:val="C4952A"/>
                <w:sz w:val="18"/>
                <w:szCs w:val="18"/>
              </w:rPr>
              <w:t xml:space="preserve">05  </w:t>
            </w:r>
            <w:r>
              <w:rPr>
                <w:rFonts w:ascii="Calibri" w:cs="Calibri" w:eastAsia="Calibri" w:hAnsi="Calibri"/>
                <w:b/>
                <w:bCs/>
                <w:color w:val="0D4A2B"/>
                <w:sz w:val="23"/>
                <w:szCs w:val="23"/>
              </w:rPr>
              <w:t xml:space="preserve">Strategic Replanting</w:t>
            </w:r>
          </w:p>
          <w:p>
            <w:pPr>
              <w:spacing w:after="100" w:before="0"/>
            </w:pPr>
            <w:r>
              <w:rPr>
                <w:rFonts w:ascii="Calibri" w:cs="Calibri" w:eastAsia="Calibri" w:hAnsi="Calibri"/>
                <w:i/>
                <w:iCs/>
                <w:color w:val="5A5A56"/>
                <w:sz w:val="20"/>
                <w:szCs w:val="20"/>
              </w:rPr>
              <w:t xml:space="preserve">Long-term estate planning on evidence</w:t>
            </w:r>
          </w:p>
          <w:p>
            <w:pPr>
              <w:pStyle w:val="ListParagraph"/>
              <w:numPr>
                <w:ilvl w:val="0"/>
                <w:numId w:val="2"/>
              </w:numPr>
              <w:spacing w:after="40" w:before="30"/>
            </w:pPr>
            <w:r>
              <w:rPr>
                <w:rFonts w:ascii="Calibri" w:cs="Calibri" w:eastAsia="Calibri" w:hAnsi="Calibri"/>
                <w:color w:val="1C1C1A"/>
                <w:sz w:val="20"/>
                <w:szCs w:val="20"/>
              </w:rPr>
              <w:t xml:space="preserve">Replanting prioritisation by age cohort, LAI decline, and yield trajectory</w:t>
            </w:r>
          </w:p>
          <w:p>
            <w:pPr>
              <w:pStyle w:val="ListParagraph"/>
              <w:numPr>
                <w:ilvl w:val="0"/>
                <w:numId w:val="2"/>
              </w:numPr>
              <w:spacing w:after="40" w:before="30"/>
            </w:pPr>
            <w:r>
              <w:rPr>
                <w:rFonts w:ascii="Calibri" w:cs="Calibri" w:eastAsia="Calibri" w:hAnsi="Calibri"/>
                <w:color w:val="1C1C1A"/>
                <w:sz w:val="20"/>
                <w:szCs w:val="20"/>
              </w:rPr>
              <w:t xml:space="preserve">Variety-soil suitability analysis for new planting material selection</w:t>
            </w:r>
          </w:p>
          <w:p>
            <w:pPr>
              <w:pStyle w:val="ListParagraph"/>
              <w:numPr>
                <w:ilvl w:val="0"/>
                <w:numId w:val="2"/>
              </w:numPr>
              <w:spacing w:after="40" w:before="30"/>
            </w:pPr>
            <w:r>
              <w:rPr>
                <w:rFonts w:ascii="Calibri" w:cs="Calibri" w:eastAsia="Calibri" w:hAnsi="Calibri"/>
                <w:color w:val="1C1C1A"/>
                <w:sz w:val="20"/>
                <w:szCs w:val="20"/>
              </w:rPr>
              <w:t xml:space="preserve">5-year phased replanting masterplan with GIS-ready block maps</w:t>
            </w:r>
          </w:p>
          <w:p>
            <w:pPr>
              <w:pStyle w:val="ListParagraph"/>
              <w:numPr>
                <w:ilvl w:val="0"/>
                <w:numId w:val="2"/>
              </w:numPr>
              <w:spacing w:after="40" w:before="30"/>
            </w:pPr>
            <w:r>
              <w:rPr>
                <w:rFonts w:ascii="Calibri" w:cs="Calibri" w:eastAsia="Calibri" w:hAnsi="Calibri"/>
                <w:color w:val="1C1C1A"/>
                <w:sz w:val="20"/>
                <w:szCs w:val="20"/>
              </w:rPr>
              <w:t xml:space="preserve">RSPO and EUDR compliant replanting documentation</w:t>
            </w:r>
          </w:p>
        </w:tc>
      </w:tr>
    </w:tbl>
    <w:p>
      <w:r>
        <w:br w:type="page"/>
      </w:r>
    </w:p>
    <w:p>
      <w:pPr>
        <w:pBdr>
          <w:bottom w:val="single" w:color="1A6B3C" w:sz="10" w:space="4"/>
        </w:pBdr>
        <w:spacing w:after="80" w:before="300"/>
      </w:pPr>
      <w:r>
        <w:rPr>
          <w:rFonts w:ascii="Calibri" w:cs="Calibri" w:eastAsia="Calibri" w:hAnsi="Calibri"/>
          <w:b/>
          <w:bCs/>
          <w:color w:val="0D4A2B"/>
          <w:sz w:val="28"/>
          <w:szCs w:val="28"/>
        </w:rPr>
        <w:t xml:space="preserve">05  How We Work</w:t>
      </w:r>
    </w:p>
    <w:p>
      <w:pPr>
        <w:spacing w:after="80" w:before="60"/>
      </w:pPr>
      <w:r>
        <w:rPr>
          <w:rFonts w:ascii="Calibri" w:cs="Calibri" w:eastAsia="Calibri" w:hAnsi="Calibri"/>
          <w:color w:val="1C1C1A"/>
          <w:sz w:val="22"/>
          <w:szCs w:val="22"/>
        </w:rPr>
        <w:t xml:space="preserve">Our method is called Science-Gated Advisory. We do not recommend until the data says we should.</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400"/>
      </w:tblGrid>
      <w:tr>
        <w:trPr>
          <w:tblHeader/>
        </w:trPr>
        <w:tc>
          <w:tcPr>
            <w:tcW w:type="dxa" w:w="1600"/>
            <w:tcBorders>
              <w:top w:val="single" w:color="D4D1C8" w:sz="1"/>
              <w:left w:val="single" w:color="D4D1C8" w:sz="1"/>
              <w:bottom w:val="single" w:color="D4D1C8" w:sz="1"/>
              <w:right w:val="single" w:color="D4D1C8" w:sz="1"/>
            </w:tcBorders>
            <w:shd w:fill="1A6B3C" w:val="clear"/>
            <w:tcMar>
              <w:top w:type="dxa" w:w="90"/>
              <w:left w:type="dxa" w:w="160"/>
              <w:bottom w:type="dxa" w:w="90"/>
              <w:right w:type="dxa" w:w="160"/>
            </w:tcMar>
          </w:tcPr>
          <w:p>
            <w:pPr>
              <w:spacing w:after="80" w:before="60"/>
            </w:pPr>
            <w:r>
              <w:rPr>
                <w:rFonts w:ascii="Calibri" w:cs="Calibri" w:eastAsia="Calibri" w:hAnsi="Calibri"/>
                <w:b/>
                <w:bCs/>
                <w:color w:val="FFFFFF"/>
                <w:sz w:val="20"/>
                <w:szCs w:val="20"/>
              </w:rPr>
              <w:t xml:space="preserve">Step</w:t>
            </w:r>
          </w:p>
        </w:tc>
        <w:tc>
          <w:tcPr>
            <w:tcW w:type="dxa" w:w="4200"/>
            <w:tcBorders>
              <w:top w:val="single" w:color="D4D1C8" w:sz="1"/>
              <w:left w:val="single" w:color="D4D1C8" w:sz="1"/>
              <w:bottom w:val="single" w:color="D4D1C8" w:sz="1"/>
              <w:right w:val="single" w:color="D4D1C8" w:sz="1"/>
            </w:tcBorders>
            <w:shd w:fill="1A6B3C" w:val="clear"/>
            <w:tcMar>
              <w:top w:type="dxa" w:w="90"/>
              <w:left w:type="dxa" w:w="160"/>
              <w:bottom w:type="dxa" w:w="90"/>
              <w:right w:type="dxa" w:w="160"/>
            </w:tcMar>
          </w:tcPr>
          <w:p>
            <w:pPr>
              <w:spacing w:after="80" w:before="60"/>
            </w:pPr>
            <w:r>
              <w:rPr>
                <w:rFonts w:ascii="Calibri" w:cs="Calibri" w:eastAsia="Calibri" w:hAnsi="Calibri"/>
                <w:b/>
                <w:bCs/>
                <w:color w:val="FFFFFF"/>
                <w:sz w:val="20"/>
                <w:szCs w:val="20"/>
              </w:rPr>
              <w:t xml:space="preserve">What Happens</w:t>
            </w:r>
          </w:p>
        </w:tc>
        <w:tc>
          <w:tcPr>
            <w:tcW w:type="dxa" w:w="3400"/>
            <w:tcBorders>
              <w:top w:val="single" w:color="D4D1C8" w:sz="1"/>
              <w:left w:val="single" w:color="D4D1C8" w:sz="1"/>
              <w:bottom w:val="single" w:color="D4D1C8" w:sz="1"/>
              <w:right w:val="single" w:color="D4D1C8" w:sz="1"/>
            </w:tcBorders>
            <w:shd w:fill="1A6B3C" w:val="clear"/>
            <w:tcMar>
              <w:top w:type="dxa" w:w="90"/>
              <w:left w:type="dxa" w:w="160"/>
              <w:bottom w:type="dxa" w:w="90"/>
              <w:right w:type="dxa" w:w="160"/>
            </w:tcMar>
          </w:tcPr>
          <w:p>
            <w:pPr>
              <w:spacing w:after="80" w:before="60"/>
            </w:pPr>
            <w:r>
              <w:rPr>
                <w:rFonts w:ascii="Calibri" w:cs="Calibri" w:eastAsia="Calibri" w:hAnsi="Calibri"/>
                <w:b/>
                <w:bCs/>
                <w:color w:val="FFFFFF"/>
                <w:sz w:val="20"/>
                <w:szCs w:val="20"/>
              </w:rPr>
              <w:t xml:space="preserve">Why It Matters</w:t>
            </w:r>
          </w:p>
        </w:tc>
      </w:tr>
      <w:tr>
        <w:trPr>
          <w:tblHeader w:val="false"/>
        </w:trPr>
        <w:tc>
          <w:tcPr>
            <w:tcW w:type="dxa" w:w="1600"/>
            <w:tcBorders>
              <w:top w:val="single" w:color="D4D1C8" w:sz="1"/>
              <w:left w:val="single" w:color="D4D1C8" w:sz="1"/>
              <w:bottom w:val="single" w:color="D4D1C8" w:sz="1"/>
              <w:right w:val="single" w:color="D4D1C8" w:sz="1"/>
            </w:tcBorders>
            <w:shd w:fill="FFFFFF"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01  Map</w:t>
            </w:r>
          </w:p>
        </w:tc>
        <w:tc>
          <w:tcPr>
            <w:tcW w:type="dxa" w:w="4200"/>
            <w:tcBorders>
              <w:top w:val="single" w:color="D4D1C8" w:sz="1"/>
              <w:left w:val="single" w:color="D4D1C8" w:sz="1"/>
              <w:bottom w:val="single" w:color="D4D1C8" w:sz="1"/>
              <w:right w:val="single" w:color="D4D1C8" w:sz="1"/>
            </w:tcBorders>
            <w:shd w:fill="FFFFFF"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Block polygons loaded. Satellite data pulled automatically per block.</w:t>
            </w:r>
          </w:p>
        </w:tc>
        <w:tc>
          <w:tcPr>
            <w:tcW w:type="dxa" w:w="3400"/>
            <w:tcBorders>
              <w:top w:val="single" w:color="D4D1C8" w:sz="1"/>
              <w:left w:val="single" w:color="D4D1C8" w:sz="1"/>
              <w:bottom w:val="single" w:color="D4D1C8" w:sz="1"/>
              <w:right w:val="single" w:color="D4D1C8" w:sz="1"/>
            </w:tcBorders>
            <w:shd w:fill="FFFFFF"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Every analysis is spatially anchored.</w:t>
            </w:r>
          </w:p>
        </w:tc>
      </w:tr>
      <w:tr>
        <w:trPr>
          <w:tblHeader w:val="false"/>
        </w:trPr>
        <w:tc>
          <w:tcPr>
            <w:tcW w:type="dxa" w:w="1600"/>
            <w:tcBorders>
              <w:top w:val="single" w:color="D4D1C8" w:sz="1"/>
              <w:left w:val="single" w:color="D4D1C8" w:sz="1"/>
              <w:bottom w:val="single" w:color="D4D1C8" w:sz="1"/>
              <w:right w:val="single" w:color="D4D1C8" w:sz="1"/>
            </w:tcBorders>
            <w:shd w:fill="FAFAF7"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02  Monitor</w:t>
            </w:r>
          </w:p>
        </w:tc>
        <w:tc>
          <w:tcPr>
            <w:tcW w:type="dxa" w:w="4200"/>
            <w:tcBorders>
              <w:top w:val="single" w:color="D4D1C8" w:sz="1"/>
              <w:left w:val="single" w:color="D4D1C8" w:sz="1"/>
              <w:bottom w:val="single" w:color="D4D1C8" w:sz="1"/>
              <w:right w:val="single" w:color="D4D1C8" w:sz="1"/>
            </w:tcBorders>
            <w:shd w:fill="FAFAF7"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EO parameters (NDVI, rainfall, LST, soil moisture) updated every 10-16 days.</w:t>
            </w:r>
          </w:p>
        </w:tc>
        <w:tc>
          <w:tcPr>
            <w:tcW w:type="dxa" w:w="3400"/>
            <w:tcBorders>
              <w:top w:val="single" w:color="D4D1C8" w:sz="1"/>
              <w:left w:val="single" w:color="D4D1C8" w:sz="1"/>
              <w:bottom w:val="single" w:color="D4D1C8" w:sz="1"/>
              <w:right w:val="single" w:color="D4D1C8" w:sz="1"/>
            </w:tcBorders>
            <w:shd w:fill="FAFAF7"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Continuous, not annual.</w:t>
            </w:r>
          </w:p>
        </w:tc>
      </w:tr>
      <w:tr>
        <w:trPr>
          <w:tblHeader w:val="false"/>
        </w:trPr>
        <w:tc>
          <w:tcPr>
            <w:tcW w:type="dxa" w:w="1600"/>
            <w:tcBorders>
              <w:top w:val="single" w:color="D4D1C8" w:sz="1"/>
              <w:left w:val="single" w:color="D4D1C8" w:sz="1"/>
              <w:bottom w:val="single" w:color="D4D1C8" w:sz="1"/>
              <w:right w:val="single" w:color="D4D1C8" w:sz="1"/>
            </w:tcBorders>
            <w:shd w:fill="FFFFFF"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03  Validate</w:t>
            </w:r>
          </w:p>
        </w:tc>
        <w:tc>
          <w:tcPr>
            <w:tcW w:type="dxa" w:w="4200"/>
            <w:tcBorders>
              <w:top w:val="single" w:color="D4D1C8" w:sz="1"/>
              <w:left w:val="single" w:color="D4D1C8" w:sz="1"/>
              <w:bottom w:val="single" w:color="D4D1C8" w:sz="1"/>
              <w:right w:val="single" w:color="D4D1C8" w:sz="1"/>
            </w:tcBorders>
            <w:shd w:fill="FFFFFF"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Regression of EO parameters vs. your FFB production records. Gate: R2 above 0.40.</w:t>
            </w:r>
          </w:p>
        </w:tc>
        <w:tc>
          <w:tcPr>
            <w:tcW w:type="dxa" w:w="3400"/>
            <w:tcBorders>
              <w:top w:val="single" w:color="D4D1C8" w:sz="1"/>
              <w:left w:val="single" w:color="D4D1C8" w:sz="1"/>
              <w:bottom w:val="single" w:color="D4D1C8" w:sz="1"/>
              <w:right w:val="single" w:color="D4D1C8" w:sz="1"/>
            </w:tcBorders>
            <w:shd w:fill="FFFFFF"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We only recommend what the data supports.</w:t>
            </w:r>
          </w:p>
        </w:tc>
      </w:tr>
      <w:tr>
        <w:trPr>
          <w:tblHeader w:val="false"/>
        </w:trPr>
        <w:tc>
          <w:tcPr>
            <w:tcW w:type="dxa" w:w="1600"/>
            <w:tcBorders>
              <w:top w:val="single" w:color="D4D1C8" w:sz="1"/>
              <w:left w:val="single" w:color="D4D1C8" w:sz="1"/>
              <w:bottom w:val="single" w:color="D4D1C8" w:sz="1"/>
              <w:right w:val="single" w:color="D4D1C8" w:sz="1"/>
            </w:tcBorders>
            <w:shd w:fill="FAFAF7"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04  Prescribe</w:t>
            </w:r>
          </w:p>
        </w:tc>
        <w:tc>
          <w:tcPr>
            <w:tcW w:type="dxa" w:w="4200"/>
            <w:tcBorders>
              <w:top w:val="single" w:color="D4D1C8" w:sz="1"/>
              <w:left w:val="single" w:color="D4D1C8" w:sz="1"/>
              <w:bottom w:val="single" w:color="D4D1C8" w:sz="1"/>
              <w:right w:val="single" w:color="D4D1C8" w:sz="1"/>
            </w:tcBorders>
            <w:shd w:fill="FAFAF7"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Blocks with validated conditions receive specific, prioritised interventions.</w:t>
            </w:r>
          </w:p>
        </w:tc>
        <w:tc>
          <w:tcPr>
            <w:tcW w:type="dxa" w:w="3400"/>
            <w:tcBorders>
              <w:top w:val="single" w:color="D4D1C8" w:sz="1"/>
              <w:left w:val="single" w:color="D4D1C8" w:sz="1"/>
              <w:bottom w:val="single" w:color="D4D1C8" w:sz="1"/>
              <w:right w:val="single" w:color="D4D1C8" w:sz="1"/>
            </w:tcBorders>
            <w:shd w:fill="FAFAF7"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Targeted action, not estate-wide guessing.</w:t>
            </w:r>
          </w:p>
        </w:tc>
      </w:tr>
      <w:tr>
        <w:trPr>
          <w:tblHeader w:val="false"/>
        </w:trPr>
        <w:tc>
          <w:tcPr>
            <w:tcW w:type="dxa" w:w="1600"/>
            <w:tcBorders>
              <w:top w:val="single" w:color="D4D1C8" w:sz="1"/>
              <w:left w:val="single" w:color="D4D1C8" w:sz="1"/>
              <w:bottom w:val="single" w:color="D4D1C8" w:sz="1"/>
              <w:right w:val="single" w:color="D4D1C8" w:sz="1"/>
            </w:tcBorders>
            <w:shd w:fill="FFFFFF"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05  Verify</w:t>
            </w:r>
          </w:p>
        </w:tc>
        <w:tc>
          <w:tcPr>
            <w:tcW w:type="dxa" w:w="4200"/>
            <w:tcBorders>
              <w:top w:val="single" w:color="D4D1C8" w:sz="1"/>
              <w:left w:val="single" w:color="D4D1C8" w:sz="1"/>
              <w:bottom w:val="single" w:color="D4D1C8" w:sz="1"/>
              <w:right w:val="single" w:color="D4D1C8" w:sz="1"/>
            </w:tcBorders>
            <w:shd w:fill="FFFFFF"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Next harvest cycle compared to pre-intervention baseline.</w:t>
            </w:r>
          </w:p>
        </w:tc>
        <w:tc>
          <w:tcPr>
            <w:tcW w:type="dxa" w:w="3400"/>
            <w:tcBorders>
              <w:top w:val="single" w:color="D4D1C8" w:sz="1"/>
              <w:left w:val="single" w:color="D4D1C8" w:sz="1"/>
              <w:bottom w:val="single" w:color="D4D1C8" w:sz="1"/>
              <w:right w:val="single" w:color="D4D1C8" w:sz="1"/>
            </w:tcBorders>
            <w:shd w:fill="FFFFFF"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Clients see the return on every action.</w:t>
            </w:r>
          </w:p>
        </w:tc>
      </w:tr>
    </w:tbl>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4A2B" w:val="clear"/>
            <w:tcMar>
              <w:top w:type="dxa" w:w="180"/>
              <w:left w:type="dxa" w:w="320"/>
              <w:bottom w:type="dxa" w:w="200"/>
              <w:right w:type="dxa" w:w="320"/>
            </w:tcMar>
          </w:tcPr>
          <w:p>
            <w:r>
              <w:rPr>
                <w:rFonts w:ascii="Calibri" w:cs="Calibri" w:eastAsia="Calibri" w:hAnsi="Calibri"/>
                <w:b/>
                <w:bCs/>
                <w:color w:val="C4952A"/>
                <w:sz w:val="21"/>
                <w:szCs w:val="21"/>
              </w:rPr>
              <w:t xml:space="preserve">Output clients receive: </w:t>
            </w:r>
            <w:r>
              <w:rPr>
                <w:rFonts w:ascii="Calibri" w:cs="Calibri" w:eastAsia="Calibri" w:hAnsi="Calibri"/>
                <w:color w:val="FFFFFF"/>
                <w:sz w:val="21"/>
                <w:szCs w:val="21"/>
              </w:rPr>
              <w:t xml:space="preserve">Interactive web map with per-block status. Monthly monitoring report. Block prescription PDF. Alert notifications. EUDR-ready spatial documentation.</w:t>
            </w:r>
          </w:p>
        </w:tc>
      </w:tr>
    </w:tbl>
    <w:p>
      <w:r>
        <w:t xml:space="preserve"/>
      </w:r>
    </w:p>
    <w:p>
      <w:pPr>
        <w:pBdr>
          <w:bottom w:val="single" w:color="D4D1C8" w:sz="4" w:space="0"/>
        </w:pBdr>
        <w:spacing w:after="100" w:before="100"/>
      </w:pPr>
      <w:r>
        <w:t xml:space="preserve"/>
      </w:r>
    </w:p>
    <w:p>
      <w:r>
        <w:t xml:space="preserve"/>
      </w:r>
    </w:p>
    <w:p>
      <w:pPr>
        <w:pBdr>
          <w:bottom w:val="single" w:color="1A6B3C" w:sz="10" w:space="4"/>
        </w:pBdr>
        <w:spacing w:after="80" w:before="300"/>
      </w:pPr>
      <w:r>
        <w:rPr>
          <w:rFonts w:ascii="Calibri" w:cs="Calibri" w:eastAsia="Calibri" w:hAnsi="Calibri"/>
          <w:b/>
          <w:bCs/>
          <w:color w:val="0D4A2B"/>
          <w:sz w:val="28"/>
          <w:szCs w:val="28"/>
        </w:rPr>
        <w:t xml:space="preserve">06  Who We Serve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200"/>
      </w:tblGrid>
      <w:tr>
        <w:trPr>
          <w:tblHeader/>
        </w:trPr>
        <w:tc>
          <w:tcPr>
            <w:tcW w:type="dxa" w:w="2400"/>
            <w:tcBorders>
              <w:top w:val="single" w:color="D4D1C8" w:sz="1"/>
              <w:left w:val="single" w:color="D4D1C8" w:sz="1"/>
              <w:bottom w:val="single" w:color="D4D1C8" w:sz="1"/>
              <w:right w:val="single" w:color="D4D1C8" w:sz="1"/>
            </w:tcBorders>
            <w:shd w:fill="1A6B3C" w:val="clear"/>
            <w:tcMar>
              <w:top w:type="dxa" w:w="90"/>
              <w:left w:type="dxa" w:w="160"/>
              <w:bottom w:type="dxa" w:w="90"/>
              <w:right w:type="dxa" w:w="160"/>
            </w:tcMar>
          </w:tcPr>
          <w:p>
            <w:pPr>
              <w:spacing w:after="80" w:before="60"/>
            </w:pPr>
            <w:r>
              <w:rPr>
                <w:rFonts w:ascii="Calibri" w:cs="Calibri" w:eastAsia="Calibri" w:hAnsi="Calibri"/>
                <w:b/>
                <w:bCs/>
                <w:color w:val="FFFFFF"/>
                <w:sz w:val="20"/>
                <w:szCs w:val="20"/>
              </w:rPr>
              <w:t xml:space="preserve">Client Type</w:t>
            </w:r>
          </w:p>
        </w:tc>
        <w:tc>
          <w:tcPr>
            <w:tcW w:type="dxa" w:w="3600"/>
            <w:tcBorders>
              <w:top w:val="single" w:color="D4D1C8" w:sz="1"/>
              <w:left w:val="single" w:color="D4D1C8" w:sz="1"/>
              <w:bottom w:val="single" w:color="D4D1C8" w:sz="1"/>
              <w:right w:val="single" w:color="D4D1C8" w:sz="1"/>
            </w:tcBorders>
            <w:shd w:fill="1A6B3C" w:val="clear"/>
            <w:tcMar>
              <w:top w:type="dxa" w:w="90"/>
              <w:left w:type="dxa" w:w="160"/>
              <w:bottom w:type="dxa" w:w="90"/>
              <w:right w:type="dxa" w:w="160"/>
            </w:tcMar>
          </w:tcPr>
          <w:p>
            <w:pPr>
              <w:spacing w:after="80" w:before="60"/>
            </w:pPr>
            <w:r>
              <w:rPr>
                <w:rFonts w:ascii="Calibri" w:cs="Calibri" w:eastAsia="Calibri" w:hAnsi="Calibri"/>
                <w:b/>
                <w:bCs/>
                <w:color w:val="FFFFFF"/>
                <w:sz w:val="20"/>
                <w:szCs w:val="20"/>
              </w:rPr>
              <w:t xml:space="preserve">Their Challenge</w:t>
            </w:r>
          </w:p>
        </w:tc>
        <w:tc>
          <w:tcPr>
            <w:tcW w:type="dxa" w:w="3200"/>
            <w:tcBorders>
              <w:top w:val="single" w:color="D4D1C8" w:sz="1"/>
              <w:left w:val="single" w:color="D4D1C8" w:sz="1"/>
              <w:bottom w:val="single" w:color="D4D1C8" w:sz="1"/>
              <w:right w:val="single" w:color="D4D1C8" w:sz="1"/>
            </w:tcBorders>
            <w:shd w:fill="1A6B3C" w:val="clear"/>
            <w:tcMar>
              <w:top w:type="dxa" w:w="90"/>
              <w:left w:type="dxa" w:w="160"/>
              <w:bottom w:type="dxa" w:w="90"/>
              <w:right w:type="dxa" w:w="160"/>
            </w:tcMar>
          </w:tcPr>
          <w:p>
            <w:pPr>
              <w:spacing w:after="80" w:before="60"/>
            </w:pPr>
            <w:r>
              <w:rPr>
                <w:rFonts w:ascii="Calibri" w:cs="Calibri" w:eastAsia="Calibri" w:hAnsi="Calibri"/>
                <w:b/>
                <w:bCs/>
                <w:color w:val="FFFFFF"/>
                <w:sz w:val="20"/>
                <w:szCs w:val="20"/>
              </w:rPr>
              <w:t xml:space="preserve">What We Deliver</w:t>
            </w:r>
          </w:p>
        </w:tc>
      </w:tr>
      <w:tr>
        <w:trPr>
          <w:tblHeader w:val="false"/>
        </w:trPr>
        <w:tc>
          <w:tcPr>
            <w:tcW w:type="dxa" w:w="2400"/>
            <w:tcBorders>
              <w:top w:val="single" w:color="D4D1C8" w:sz="1"/>
              <w:left w:val="single" w:color="D4D1C8" w:sz="1"/>
              <w:bottom w:val="single" w:color="D4D1C8" w:sz="1"/>
              <w:right w:val="single" w:color="D4D1C8" w:sz="1"/>
            </w:tcBorders>
            <w:shd w:fill="FFFFFF"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Corporate estates (5,000+ ha)</w:t>
            </w:r>
          </w:p>
        </w:tc>
        <w:tc>
          <w:tcPr>
            <w:tcW w:type="dxa" w:w="3600"/>
            <w:tcBorders>
              <w:top w:val="single" w:color="D4D1C8" w:sz="1"/>
              <w:left w:val="single" w:color="D4D1C8" w:sz="1"/>
              <w:bottom w:val="single" w:color="D4D1C8" w:sz="1"/>
              <w:right w:val="single" w:color="D4D1C8" w:sz="1"/>
            </w:tcBorders>
            <w:shd w:fill="FFFFFF"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Inefficient resource allocation; RSPO and EUDR compliance pressure</w:t>
            </w:r>
          </w:p>
        </w:tc>
        <w:tc>
          <w:tcPr>
            <w:tcW w:type="dxa" w:w="3200"/>
            <w:tcBorders>
              <w:top w:val="single" w:color="D4D1C8" w:sz="1"/>
              <w:left w:val="single" w:color="D4D1C8" w:sz="1"/>
              <w:bottom w:val="single" w:color="D4D1C8" w:sz="1"/>
              <w:right w:val="single" w:color="D4D1C8" w:sz="1"/>
            </w:tcBorders>
            <w:shd w:fill="FFFFFF"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Full monitoring system, compliance documentation, intervention prescriptions</w:t>
            </w:r>
          </w:p>
        </w:tc>
      </w:tr>
      <w:tr>
        <w:trPr>
          <w:tblHeader w:val="false"/>
        </w:trPr>
        <w:tc>
          <w:tcPr>
            <w:tcW w:type="dxa" w:w="2400"/>
            <w:tcBorders>
              <w:top w:val="single" w:color="D4D1C8" w:sz="1"/>
              <w:left w:val="single" w:color="D4D1C8" w:sz="1"/>
              <w:bottom w:val="single" w:color="D4D1C8" w:sz="1"/>
              <w:right w:val="single" w:color="D4D1C8" w:sz="1"/>
            </w:tcBorders>
            <w:shd w:fill="FAFAF7"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Mid-size companies (1,000-5,000 ha)</w:t>
            </w:r>
          </w:p>
        </w:tc>
        <w:tc>
          <w:tcPr>
            <w:tcW w:type="dxa" w:w="3600"/>
            <w:tcBorders>
              <w:top w:val="single" w:color="D4D1C8" w:sz="1"/>
              <w:left w:val="single" w:color="D4D1C8" w:sz="1"/>
              <w:bottom w:val="single" w:color="D4D1C8" w:sz="1"/>
              <w:right w:val="single" w:color="D4D1C8" w:sz="1"/>
            </w:tcBorders>
            <w:shd w:fill="FAFAF7"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No dedicated GIS or data team; want better yields without more staff</w:t>
            </w:r>
          </w:p>
        </w:tc>
        <w:tc>
          <w:tcPr>
            <w:tcW w:type="dxa" w:w="3200"/>
            <w:tcBorders>
              <w:top w:val="single" w:color="D4D1C8" w:sz="1"/>
              <w:left w:val="single" w:color="D4D1C8" w:sz="1"/>
              <w:bottom w:val="single" w:color="D4D1C8" w:sz="1"/>
              <w:right w:val="single" w:color="D4D1C8" w:sz="1"/>
            </w:tcBorders>
            <w:shd w:fill="FAFAF7"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Managed analytics service with monthly reporting and alert system</w:t>
            </w:r>
          </w:p>
        </w:tc>
      </w:tr>
      <w:tr>
        <w:trPr>
          <w:tblHeader w:val="false"/>
        </w:trPr>
        <w:tc>
          <w:tcPr>
            <w:tcW w:type="dxa" w:w="2400"/>
            <w:tcBorders>
              <w:top w:val="single" w:color="D4D1C8" w:sz="1"/>
              <w:left w:val="single" w:color="D4D1C8" w:sz="1"/>
              <w:bottom w:val="single" w:color="D4D1C8" w:sz="1"/>
              <w:right w:val="single" w:color="D4D1C8" w:sz="1"/>
            </w:tcBorders>
            <w:shd w:fill="FFFFFF"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Smallholder cooperatives</w:t>
            </w:r>
          </w:p>
        </w:tc>
        <w:tc>
          <w:tcPr>
            <w:tcW w:type="dxa" w:w="3600"/>
            <w:tcBorders>
              <w:top w:val="single" w:color="D4D1C8" w:sz="1"/>
              <w:left w:val="single" w:color="D4D1C8" w:sz="1"/>
              <w:bottom w:val="single" w:color="D4D1C8" w:sz="1"/>
              <w:right w:val="single" w:color="D4D1C8" w:sz="1"/>
            </w:tcBorders>
            <w:shd w:fill="FFFFFF"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No access to precision tools; facing exclusion from certified supply chains</w:t>
            </w:r>
          </w:p>
        </w:tc>
        <w:tc>
          <w:tcPr>
            <w:tcW w:type="dxa" w:w="3200"/>
            <w:tcBorders>
              <w:top w:val="single" w:color="D4D1C8" w:sz="1"/>
              <w:left w:val="single" w:color="D4D1C8" w:sz="1"/>
              <w:bottom w:val="single" w:color="D4D1C8" w:sz="1"/>
              <w:right w:val="single" w:color="D4D1C8" w:sz="1"/>
            </w:tcBorders>
            <w:shd w:fill="FFFFFF"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Cooperative-tier access to monitoring and RSPO documentation support</w:t>
            </w:r>
          </w:p>
        </w:tc>
      </w:tr>
      <w:tr>
        <w:trPr>
          <w:tblHeader w:val="false"/>
        </w:trPr>
        <w:tc>
          <w:tcPr>
            <w:tcW w:type="dxa" w:w="2400"/>
            <w:tcBorders>
              <w:top w:val="single" w:color="D4D1C8" w:sz="1"/>
              <w:left w:val="single" w:color="D4D1C8" w:sz="1"/>
              <w:bottom w:val="single" w:color="D4D1C8" w:sz="1"/>
              <w:right w:val="single" w:color="D4D1C8" w:sz="1"/>
            </w:tcBorders>
            <w:shd w:fill="FAFAF7"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Agri-finance and insurers</w:t>
            </w:r>
          </w:p>
        </w:tc>
        <w:tc>
          <w:tcPr>
            <w:tcW w:type="dxa" w:w="3600"/>
            <w:tcBorders>
              <w:top w:val="single" w:color="D4D1C8" w:sz="1"/>
              <w:left w:val="single" w:color="D4D1C8" w:sz="1"/>
              <w:bottom w:val="single" w:color="D4D1C8" w:sz="1"/>
              <w:right w:val="single" w:color="D4D1C8" w:sz="1"/>
            </w:tcBorders>
            <w:shd w:fill="FAFAF7"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Need spatial risk data to underwrite plantation loans or crop insurance</w:t>
            </w:r>
          </w:p>
        </w:tc>
        <w:tc>
          <w:tcPr>
            <w:tcW w:type="dxa" w:w="3200"/>
            <w:tcBorders>
              <w:top w:val="single" w:color="D4D1C8" w:sz="1"/>
              <w:left w:val="single" w:color="D4D1C8" w:sz="1"/>
              <w:bottom w:val="single" w:color="D4D1C8" w:sz="1"/>
              <w:right w:val="single" w:color="D4D1C8" w:sz="1"/>
            </w:tcBorders>
            <w:shd w:fill="FAFAF7"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Block-level risk scoring and spatial condition reports via API</w:t>
            </w:r>
          </w:p>
        </w:tc>
      </w:tr>
    </w:tbl>
    <w:p>
      <w:r>
        <w:br w:type="page"/>
      </w:r>
    </w:p>
    <w:p>
      <w:pPr>
        <w:pBdr>
          <w:bottom w:val="single" w:color="1A6B3C" w:sz="10" w:space="4"/>
        </w:pBdr>
        <w:spacing w:after="80" w:before="300"/>
      </w:pPr>
      <w:r>
        <w:rPr>
          <w:rFonts w:ascii="Calibri" w:cs="Calibri" w:eastAsia="Calibri" w:hAnsi="Calibri"/>
          <w:b/>
          <w:bCs/>
          <w:color w:val="0D4A2B"/>
          <w:sz w:val="28"/>
          <w:szCs w:val="28"/>
        </w:rPr>
        <w:t xml:space="preserve">07  Business Model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D4D1C8" w:sz="1"/>
              <w:left w:val="single" w:color="D4D1C8" w:sz="1"/>
              <w:bottom w:val="single" w:color="D4D1C8" w:sz="1"/>
              <w:right w:val="single" w:color="D4D1C8" w:sz="1"/>
            </w:tcBorders>
            <w:shd w:fill="0D4A2B" w:val="clear"/>
            <w:tcMar>
              <w:top w:type="dxa" w:w="90"/>
              <w:left w:type="dxa" w:w="160"/>
              <w:bottom w:type="dxa" w:w="90"/>
              <w:right w:type="dxa" w:w="160"/>
            </w:tcMar>
          </w:tcPr>
          <w:p>
            <w:pPr>
              <w:spacing w:after="80" w:before="60"/>
            </w:pPr>
            <w:r>
              <w:rPr>
                <w:rFonts w:ascii="Calibri" w:cs="Calibri" w:eastAsia="Calibri" w:hAnsi="Calibri"/>
                <w:b/>
                <w:bCs/>
                <w:color w:val="FFFFFF"/>
                <w:sz w:val="20"/>
                <w:szCs w:val="20"/>
              </w:rPr>
              <w:t xml:space="preserve">Revenue Stream</w:t>
            </w:r>
          </w:p>
        </w:tc>
        <w:tc>
          <w:tcPr>
            <w:tcW w:type="dxa" w:w="5600"/>
            <w:tcBorders>
              <w:top w:val="single" w:color="D4D1C8" w:sz="1"/>
              <w:left w:val="single" w:color="D4D1C8" w:sz="1"/>
              <w:bottom w:val="single" w:color="D4D1C8" w:sz="1"/>
              <w:right w:val="single" w:color="D4D1C8" w:sz="1"/>
            </w:tcBorders>
            <w:shd w:fill="0D4A2B" w:val="clear"/>
            <w:tcMar>
              <w:top w:type="dxa" w:w="90"/>
              <w:left w:type="dxa" w:w="160"/>
              <w:bottom w:type="dxa" w:w="90"/>
              <w:right w:type="dxa" w:w="160"/>
            </w:tcMar>
          </w:tcPr>
          <w:p>
            <w:pPr>
              <w:spacing w:after="80" w:before="60"/>
            </w:pPr>
            <w:r>
              <w:rPr>
                <w:rFonts w:ascii="Calibri" w:cs="Calibri" w:eastAsia="Calibri" w:hAnsi="Calibri"/>
                <w:b/>
                <w:bCs/>
                <w:color w:val="FFFFFF"/>
                <w:sz w:val="20"/>
                <w:szCs w:val="20"/>
              </w:rPr>
              <w:t xml:space="preserve">Structure</w:t>
            </w:r>
          </w:p>
        </w:tc>
      </w:tr>
      <w:tr>
        <w:trPr>
          <w:tblHeader w:val="false"/>
        </w:trPr>
        <w:tc>
          <w:tcPr>
            <w:tcW w:type="dxa" w:w="3600"/>
            <w:tcBorders>
              <w:top w:val="single" w:color="D4D1C8" w:sz="1"/>
              <w:left w:val="single" w:color="D4D1C8" w:sz="1"/>
              <w:bottom w:val="single" w:color="D4D1C8" w:sz="1"/>
              <w:right w:val="single" w:color="D4D1C8" w:sz="1"/>
            </w:tcBorders>
            <w:shd w:fill="EAF5EE"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SaaS subscription (corporate)</w:t>
            </w:r>
          </w:p>
        </w:tc>
        <w:tc>
          <w:tcPr>
            <w:tcW w:type="dxa" w:w="5600"/>
            <w:tcBorders>
              <w:top w:val="single" w:color="D4D1C8" w:sz="1"/>
              <w:left w:val="single" w:color="D4D1C8" w:sz="1"/>
              <w:bottom w:val="single" w:color="D4D1C8" w:sz="1"/>
              <w:right w:val="single" w:color="D4D1C8" w:sz="1"/>
            </w:tcBorders>
            <w:shd w:fill="FFFFFF"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Rp 15,000-40,000 per hectare per year</w:t>
            </w:r>
          </w:p>
        </w:tc>
      </w:tr>
      <w:tr>
        <w:trPr>
          <w:tblHeader w:val="false"/>
        </w:trPr>
        <w:tc>
          <w:tcPr>
            <w:tcW w:type="dxa" w:w="3600"/>
            <w:tcBorders>
              <w:top w:val="single" w:color="D4D1C8" w:sz="1"/>
              <w:left w:val="single" w:color="D4D1C8" w:sz="1"/>
              <w:bottom w:val="single" w:color="D4D1C8" w:sz="1"/>
              <w:right w:val="single" w:color="D4D1C8" w:sz="1"/>
            </w:tcBorders>
            <w:shd w:fill="EAF5EE"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SaaS subscription (cooperative)</w:t>
            </w:r>
          </w:p>
        </w:tc>
        <w:tc>
          <w:tcPr>
            <w:tcW w:type="dxa" w:w="5600"/>
            <w:tcBorders>
              <w:top w:val="single" w:color="D4D1C8" w:sz="1"/>
              <w:left w:val="single" w:color="D4D1C8" w:sz="1"/>
              <w:bottom w:val="single" w:color="D4D1C8" w:sz="1"/>
              <w:right w:val="single" w:color="D4D1C8" w:sz="1"/>
            </w:tcBorders>
            <w:shd w:fill="FFFFFF"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Rp 500-1,500 per block per month</w:t>
            </w:r>
          </w:p>
        </w:tc>
      </w:tr>
      <w:tr>
        <w:trPr>
          <w:tblHeader w:val="false"/>
        </w:trPr>
        <w:tc>
          <w:tcPr>
            <w:tcW w:type="dxa" w:w="3600"/>
            <w:tcBorders>
              <w:top w:val="single" w:color="D4D1C8" w:sz="1"/>
              <w:left w:val="single" w:color="D4D1C8" w:sz="1"/>
              <w:bottom w:val="single" w:color="D4D1C8" w:sz="1"/>
              <w:right w:val="single" w:color="D4D1C8" w:sz="1"/>
            </w:tcBorders>
            <w:shd w:fill="EAF5EE"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Pilot contract (entry engagement)</w:t>
            </w:r>
          </w:p>
        </w:tc>
        <w:tc>
          <w:tcPr>
            <w:tcW w:type="dxa" w:w="5600"/>
            <w:tcBorders>
              <w:top w:val="single" w:color="D4D1C8" w:sz="1"/>
              <w:left w:val="single" w:color="D4D1C8" w:sz="1"/>
              <w:bottom w:val="single" w:color="D4D1C8" w:sz="1"/>
              <w:right w:val="single" w:color="D4D1C8" w:sz="1"/>
            </w:tcBorders>
            <w:shd w:fill="FFFFFF"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Rp 150-300 M for 6-month implementation</w:t>
            </w:r>
          </w:p>
        </w:tc>
      </w:tr>
      <w:tr>
        <w:trPr>
          <w:tblHeader w:val="false"/>
        </w:trPr>
        <w:tc>
          <w:tcPr>
            <w:tcW w:type="dxa" w:w="3600"/>
            <w:tcBorders>
              <w:top w:val="single" w:color="D4D1C8" w:sz="1"/>
              <w:left w:val="single" w:color="D4D1C8" w:sz="1"/>
              <w:bottom w:val="single" w:color="D4D1C8" w:sz="1"/>
              <w:right w:val="single" w:color="D4D1C8" w:sz="1"/>
            </w:tcBorders>
            <w:shd w:fill="EAF5EE"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Project consulting</w:t>
            </w:r>
          </w:p>
        </w:tc>
        <w:tc>
          <w:tcPr>
            <w:tcW w:type="dxa" w:w="5600"/>
            <w:tcBorders>
              <w:top w:val="single" w:color="D4D1C8" w:sz="1"/>
              <w:left w:val="single" w:color="D4D1C8" w:sz="1"/>
              <w:bottom w:val="single" w:color="D4D1C8" w:sz="1"/>
              <w:right w:val="single" w:color="D4D1C8" w:sz="1"/>
            </w:tcBorders>
            <w:shd w:fill="FFFFFF"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Rp 50-200 M per engagement (replanting, EUDR, RSPO)</w:t>
            </w:r>
          </w:p>
        </w:tc>
      </w:tr>
      <w:tr>
        <w:trPr>
          <w:tblHeader w:val="false"/>
        </w:trPr>
        <w:tc>
          <w:tcPr>
            <w:tcW w:type="dxa" w:w="3600"/>
            <w:tcBorders>
              <w:top w:val="single" w:color="D4D1C8" w:sz="1"/>
              <w:left w:val="single" w:color="D4D1C8" w:sz="1"/>
              <w:bottom w:val="single" w:color="D4D1C8" w:sz="1"/>
              <w:right w:val="single" w:color="D4D1C8" w:sz="1"/>
            </w:tcBorders>
            <w:shd w:fill="EAF5EE"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API data licensing</w:t>
            </w:r>
          </w:p>
        </w:tc>
        <w:tc>
          <w:tcPr>
            <w:tcW w:type="dxa" w:w="5600"/>
            <w:tcBorders>
              <w:top w:val="single" w:color="D4D1C8" w:sz="1"/>
              <w:left w:val="single" w:color="D4D1C8" w:sz="1"/>
              <w:bottom w:val="single" w:color="D4D1C8" w:sz="1"/>
              <w:right w:val="single" w:color="D4D1C8" w:sz="1"/>
            </w:tcBorders>
            <w:shd w:fill="FFFFFF"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USD 500-2,000 per month for third-party integrations</w:t>
            </w:r>
          </w:p>
        </w:tc>
      </w:tr>
    </w:tbl>
    <w:p>
      <w:r>
        <w:t xml:space="preserve"/>
      </w:r>
    </w:p>
    <w:p>
      <w:pPr>
        <w:pBdr>
          <w:bottom w:val="single" w:color="D4D1C8" w:sz="4" w:space="0"/>
        </w:pBdr>
        <w:spacing w:after="100" w:before="100"/>
      </w:pPr>
      <w:r>
        <w:t xml:space="preserve"/>
      </w:r>
    </w:p>
    <w:p>
      <w:r>
        <w:t xml:space="preserve"/>
      </w:r>
    </w:p>
    <w:p>
      <w:pPr>
        <w:pBdr>
          <w:bottom w:val="single" w:color="1A6B3C" w:sz="10" w:space="4"/>
        </w:pBdr>
        <w:spacing w:after="80" w:before="300"/>
      </w:pPr>
      <w:r>
        <w:rPr>
          <w:rFonts w:ascii="Calibri" w:cs="Calibri" w:eastAsia="Calibri" w:hAnsi="Calibri"/>
          <w:b/>
          <w:bCs/>
          <w:color w:val="0D4A2B"/>
          <w:sz w:val="28"/>
          <w:szCs w:val="28"/>
        </w:rPr>
        <w:t xml:space="preserve">08  Roadmap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000"/>
      </w:tblGrid>
      <w:tr>
        <w:trPr>
          <w:tblHeader/>
        </w:trPr>
        <w:tc>
          <w:tcPr>
            <w:tcW w:type="dxa" w:w="1800"/>
            <w:tcBorders>
              <w:top w:val="single" w:color="D4D1C8" w:sz="1"/>
              <w:left w:val="single" w:color="D4D1C8" w:sz="1"/>
              <w:bottom w:val="single" w:color="D4D1C8" w:sz="1"/>
              <w:right w:val="single" w:color="D4D1C8" w:sz="1"/>
            </w:tcBorders>
            <w:shd w:fill="1A6B3C" w:val="clear"/>
            <w:tcMar>
              <w:top w:type="dxa" w:w="90"/>
              <w:left w:type="dxa" w:w="160"/>
              <w:bottom w:type="dxa" w:w="90"/>
              <w:right w:type="dxa" w:w="160"/>
            </w:tcMar>
          </w:tcPr>
          <w:p>
            <w:pPr>
              <w:spacing w:after="80" w:before="60"/>
            </w:pPr>
            <w:r>
              <w:rPr>
                <w:rFonts w:ascii="Calibri" w:cs="Calibri" w:eastAsia="Calibri" w:hAnsi="Calibri"/>
                <w:b/>
                <w:bCs/>
                <w:color w:val="FFFFFF"/>
                <w:sz w:val="20"/>
                <w:szCs w:val="20"/>
              </w:rPr>
              <w:t xml:space="preserve">Phase</w:t>
            </w:r>
          </w:p>
        </w:tc>
        <w:tc>
          <w:tcPr>
            <w:tcW w:type="dxa" w:w="2400"/>
            <w:tcBorders>
              <w:top w:val="single" w:color="D4D1C8" w:sz="1"/>
              <w:left w:val="single" w:color="D4D1C8" w:sz="1"/>
              <w:bottom w:val="single" w:color="D4D1C8" w:sz="1"/>
              <w:right w:val="single" w:color="D4D1C8" w:sz="1"/>
            </w:tcBorders>
            <w:shd w:fill="1A6B3C" w:val="clear"/>
            <w:tcMar>
              <w:top w:type="dxa" w:w="90"/>
              <w:left w:type="dxa" w:w="160"/>
              <w:bottom w:type="dxa" w:w="90"/>
              <w:right w:type="dxa" w:w="160"/>
            </w:tcMar>
          </w:tcPr>
          <w:p>
            <w:pPr>
              <w:spacing w:after="80" w:before="60"/>
            </w:pPr>
            <w:r>
              <w:rPr>
                <w:rFonts w:ascii="Calibri" w:cs="Calibri" w:eastAsia="Calibri" w:hAnsi="Calibri"/>
                <w:b/>
                <w:bCs/>
                <w:color w:val="FFFFFF"/>
                <w:sz w:val="20"/>
                <w:szCs w:val="20"/>
              </w:rPr>
              <w:t xml:space="preserve">Period</w:t>
            </w:r>
          </w:p>
        </w:tc>
        <w:tc>
          <w:tcPr>
            <w:tcW w:type="dxa" w:w="5000"/>
            <w:tcBorders>
              <w:top w:val="single" w:color="D4D1C8" w:sz="1"/>
              <w:left w:val="single" w:color="D4D1C8" w:sz="1"/>
              <w:bottom w:val="single" w:color="D4D1C8" w:sz="1"/>
              <w:right w:val="single" w:color="D4D1C8" w:sz="1"/>
            </w:tcBorders>
            <w:shd w:fill="1A6B3C" w:val="clear"/>
            <w:tcMar>
              <w:top w:type="dxa" w:w="90"/>
              <w:left w:type="dxa" w:w="160"/>
              <w:bottom w:type="dxa" w:w="90"/>
              <w:right w:type="dxa" w:w="160"/>
            </w:tcMar>
          </w:tcPr>
          <w:p>
            <w:pPr>
              <w:spacing w:after="80" w:before="60"/>
            </w:pPr>
            <w:r>
              <w:rPr>
                <w:rFonts w:ascii="Calibri" w:cs="Calibri" w:eastAsia="Calibri" w:hAnsi="Calibri"/>
                <w:b/>
                <w:bCs/>
                <w:color w:val="FFFFFF"/>
                <w:sz w:val="20"/>
                <w:szCs w:val="20"/>
              </w:rPr>
              <w:t xml:space="preserve">Focus</w:t>
            </w:r>
          </w:p>
        </w:tc>
      </w:tr>
      <w:tr>
        <w:trPr>
          <w:tblHeader w:val="false"/>
        </w:trPr>
        <w:tc>
          <w:tcPr>
            <w:tcW w:type="dxa" w:w="1800"/>
            <w:tcBorders>
              <w:top w:val="single" w:color="D4D1C8" w:sz="1"/>
              <w:left w:val="single" w:color="D4D1C8" w:sz="1"/>
              <w:bottom w:val="single" w:color="D4D1C8" w:sz="1"/>
              <w:right w:val="single" w:color="D4D1C8" w:sz="1"/>
            </w:tcBorders>
            <w:shd w:fill="FFFFFF"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01  Validate</w:t>
            </w:r>
          </w:p>
        </w:tc>
        <w:tc>
          <w:tcPr>
            <w:tcW w:type="dxa" w:w="2400"/>
            <w:tcBorders>
              <w:top w:val="single" w:color="D4D1C8" w:sz="1"/>
              <w:left w:val="single" w:color="D4D1C8" w:sz="1"/>
              <w:bottom w:val="single" w:color="D4D1C8" w:sz="1"/>
              <w:right w:val="single" w:color="D4D1C8" w:sz="1"/>
            </w:tcBorders>
            <w:shd w:fill="FFFFFF"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Month 1-6</w:t>
            </w:r>
          </w:p>
        </w:tc>
        <w:tc>
          <w:tcPr>
            <w:tcW w:type="dxa" w:w="5000"/>
            <w:tcBorders>
              <w:top w:val="single" w:color="D4D1C8" w:sz="1"/>
              <w:left w:val="single" w:color="D4D1C8" w:sz="1"/>
              <w:bottom w:val="single" w:color="D4D1C8" w:sz="1"/>
              <w:right w:val="single" w:color="D4D1C8" w:sz="1"/>
            </w:tcBorders>
            <w:shd w:fill="FFFFFF"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1 pilot estate. Regression validation study. First paid contract.</w:t>
            </w:r>
          </w:p>
        </w:tc>
      </w:tr>
      <w:tr>
        <w:trPr>
          <w:tblHeader w:val="false"/>
        </w:trPr>
        <w:tc>
          <w:tcPr>
            <w:tcW w:type="dxa" w:w="1800"/>
            <w:tcBorders>
              <w:top w:val="single" w:color="D4D1C8" w:sz="1"/>
              <w:left w:val="single" w:color="D4D1C8" w:sz="1"/>
              <w:bottom w:val="single" w:color="D4D1C8" w:sz="1"/>
              <w:right w:val="single" w:color="D4D1C8" w:sz="1"/>
            </w:tcBorders>
            <w:shd w:fill="FAFAF7"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02  Launch</w:t>
            </w:r>
          </w:p>
        </w:tc>
        <w:tc>
          <w:tcPr>
            <w:tcW w:type="dxa" w:w="2400"/>
            <w:tcBorders>
              <w:top w:val="single" w:color="D4D1C8" w:sz="1"/>
              <w:left w:val="single" w:color="D4D1C8" w:sz="1"/>
              <w:bottom w:val="single" w:color="D4D1C8" w:sz="1"/>
              <w:right w:val="single" w:color="D4D1C8" w:sz="1"/>
            </w:tcBorders>
            <w:shd w:fill="FAFAF7"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Month 7-12</w:t>
            </w:r>
          </w:p>
        </w:tc>
        <w:tc>
          <w:tcPr>
            <w:tcW w:type="dxa" w:w="5000"/>
            <w:tcBorders>
              <w:top w:val="single" w:color="D4D1C8" w:sz="1"/>
              <w:left w:val="single" w:color="D4D1C8" w:sz="1"/>
              <w:bottom w:val="single" w:color="D4D1C8" w:sz="1"/>
              <w:right w:val="single" w:color="D4D1C8" w:sz="1"/>
            </w:tcBorders>
            <w:shd w:fill="FAFAF7"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PalmWatch beta live. 3-5 paying clients. SaaS subscriptions begin.</w:t>
            </w:r>
          </w:p>
        </w:tc>
      </w:tr>
      <w:tr>
        <w:trPr>
          <w:tblHeader w:val="false"/>
        </w:trPr>
        <w:tc>
          <w:tcPr>
            <w:tcW w:type="dxa" w:w="1800"/>
            <w:tcBorders>
              <w:top w:val="single" w:color="D4D1C8" w:sz="1"/>
              <w:left w:val="single" w:color="D4D1C8" w:sz="1"/>
              <w:bottom w:val="single" w:color="D4D1C8" w:sz="1"/>
              <w:right w:val="single" w:color="D4D1C8" w:sz="1"/>
            </w:tcBorders>
            <w:shd w:fill="FFFFFF"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03  Scale</w:t>
            </w:r>
          </w:p>
        </w:tc>
        <w:tc>
          <w:tcPr>
            <w:tcW w:type="dxa" w:w="2400"/>
            <w:tcBorders>
              <w:top w:val="single" w:color="D4D1C8" w:sz="1"/>
              <w:left w:val="single" w:color="D4D1C8" w:sz="1"/>
              <w:bottom w:val="single" w:color="D4D1C8" w:sz="1"/>
              <w:right w:val="single" w:color="D4D1C8" w:sz="1"/>
            </w:tcBorders>
            <w:shd w:fill="FFFFFF"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Year 2</w:t>
            </w:r>
          </w:p>
        </w:tc>
        <w:tc>
          <w:tcPr>
            <w:tcW w:type="dxa" w:w="5000"/>
            <w:tcBorders>
              <w:top w:val="single" w:color="D4D1C8" w:sz="1"/>
              <w:left w:val="single" w:color="D4D1C8" w:sz="1"/>
              <w:bottom w:val="single" w:color="D4D1C8" w:sz="1"/>
              <w:right w:val="single" w:color="D4D1C8" w:sz="1"/>
            </w:tcBorders>
            <w:shd w:fill="FFFFFF"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15-25 clients. 500,000 ha monitored. EUDR module released.</w:t>
            </w:r>
          </w:p>
        </w:tc>
      </w:tr>
      <w:tr>
        <w:trPr>
          <w:tblHeader w:val="false"/>
        </w:trPr>
        <w:tc>
          <w:tcPr>
            <w:tcW w:type="dxa" w:w="1800"/>
            <w:tcBorders>
              <w:top w:val="single" w:color="D4D1C8" w:sz="1"/>
              <w:left w:val="single" w:color="D4D1C8" w:sz="1"/>
              <w:bottom w:val="single" w:color="D4D1C8" w:sz="1"/>
              <w:right w:val="single" w:color="D4D1C8" w:sz="1"/>
            </w:tcBorders>
            <w:shd w:fill="FAFAF7"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04  Expand</w:t>
            </w:r>
          </w:p>
        </w:tc>
        <w:tc>
          <w:tcPr>
            <w:tcW w:type="dxa" w:w="2400"/>
            <w:tcBorders>
              <w:top w:val="single" w:color="D4D1C8" w:sz="1"/>
              <w:left w:val="single" w:color="D4D1C8" w:sz="1"/>
              <w:bottom w:val="single" w:color="D4D1C8" w:sz="1"/>
              <w:right w:val="single" w:color="D4D1C8" w:sz="1"/>
            </w:tcBorders>
            <w:shd w:fill="FAFAF7"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Year 3-5</w:t>
            </w:r>
          </w:p>
        </w:tc>
        <w:tc>
          <w:tcPr>
            <w:tcW w:type="dxa" w:w="5000"/>
            <w:tcBorders>
              <w:top w:val="single" w:color="D4D1C8" w:sz="1"/>
              <w:left w:val="single" w:color="D4D1C8" w:sz="1"/>
              <w:bottom w:val="single" w:color="D4D1C8" w:sz="1"/>
              <w:right w:val="single" w:color="D4D1C8" w:sz="1"/>
            </w:tcBorders>
            <w:shd w:fill="FAFAF7" w:val="clear"/>
            <w:tcMar>
              <w:top w:type="dxa" w:w="90"/>
              <w:left w:type="dxa" w:w="160"/>
              <w:bottom w:type="dxa" w:w="90"/>
              <w:right w:type="dxa" w:w="160"/>
            </w:tcMar>
          </w:tcPr>
          <w:p>
            <w:pPr>
              <w:spacing w:after="80" w:before="60"/>
            </w:pPr>
            <w:r>
              <w:rPr>
                <w:rFonts w:ascii="Calibri" w:cs="Calibri" w:eastAsia="Calibri" w:hAnsi="Calibri"/>
                <w:b w:val="false"/>
                <w:bCs w:val="false"/>
                <w:color w:val="1C1C1A"/>
                <w:sz w:val="20"/>
                <w:szCs w:val="20"/>
              </w:rPr>
              <w:t xml:space="preserve">Malaysia and West Africa entry. Carbon and agri-finance products.</w:t>
            </w:r>
          </w:p>
        </w:tc>
      </w:tr>
    </w:tbl>
    <w:p>
      <w:r>
        <w:t xml:space="preserve"/>
      </w:r>
    </w:p>
    <w:p>
      <w:pPr>
        <w:pBdr>
          <w:bottom w:val="single" w:color="D4D1C8" w:sz="4" w:space="0"/>
        </w:pBdr>
        <w:spacing w:after="100" w:before="100"/>
      </w:pPr>
      <w:r>
        <w:t xml:space="preserve"/>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4A2B" w:val="clear"/>
            <w:tcMar>
              <w:top w:type="dxa" w:w="180"/>
              <w:left w:type="dxa" w:w="320"/>
              <w:bottom w:type="dxa" w:w="200"/>
              <w:right w:type="dxa" w:w="320"/>
            </w:tcMar>
          </w:tcPr>
          <w:p>
            <w:pPr>
              <w:spacing w:after="50" w:before="0"/>
            </w:pPr>
            <w:r>
              <w:rPr>
                <w:rFonts w:ascii="Calibri" w:cs="Calibri" w:eastAsia="Calibri" w:hAnsi="Calibri"/>
                <w:b/>
                <w:bCs/>
                <w:color w:val="C4952A"/>
                <w:sz w:val="24"/>
                <w:szCs w:val="24"/>
              </w:rPr>
              <w:t xml:space="preserve">Why Pranata Bhumi.</w:t>
            </w:r>
          </w:p>
          <w:p>
            <w:pPr>
              <w:spacing w:after="60" w:before="0"/>
            </w:pPr>
            <w:r>
              <w:rPr>
                <w:rFonts w:ascii="Calibri" w:cs="Calibri" w:eastAsia="Calibri" w:hAnsi="Calibri"/>
                <w:color w:val="EAF5EE"/>
                <w:sz w:val="21"/>
                <w:szCs w:val="21"/>
              </w:rPr>
              <w:t xml:space="preserve">Indonesia's palm oil sector is under pressure from every direction: global buyers demanding deforestation-free proof, government pushing ISPO compliance, and estates facing a widening yield gap. The estates that succeed will be those that can show exactly what is on their land and prove they are managing it well.</w:t>
            </w:r>
          </w:p>
          <w:p>
            <w:r>
              <w:rPr>
                <w:rFonts w:ascii="Calibri" w:cs="Calibri" w:eastAsia="Calibri" w:hAnsi="Calibri"/>
                <w:b/>
                <w:bCs/>
                <w:color w:val="FFFFFF"/>
                <w:sz w:val="22"/>
                <w:szCs w:val="22"/>
              </w:rPr>
              <w:t xml:space="preserve">Pranata Bhumi turns that proof into a competitive advantage. Spatial documentation is not a compliance cost. It is an export passport.</w:t>
            </w:r>
          </w:p>
        </w:tc>
      </w:tr>
    </w:tbl>
    <w:p>
      <w:r>
        <w:t xml:space="preserve"/>
      </w:r>
    </w:p>
    <w:p>
      <w:r>
        <w:t xml:space="preserve"/>
      </w:r>
    </w:p>
    <w:p>
      <w:pPr>
        <w:jc w:val="center"/>
      </w:pPr>
      <w:r>
        <w:rPr>
          <w:rFonts w:ascii="Calibri" w:cs="Calibri" w:eastAsia="Calibri" w:hAnsi="Calibri"/>
          <w:color w:val="5A5A56"/>
          <w:sz w:val="20"/>
          <w:szCs w:val="20"/>
        </w:rPr>
        <w:t xml:space="preserve">Pranata Bhumi Consulting  |  PT Pranata Bhumi Konsultindo</w:t>
      </w:r>
    </w:p>
    <w:p>
      <w:pPr>
        <w:jc w:val="center"/>
      </w:pPr>
      <w:r>
        <w:rPr>
          <w:rFonts w:ascii="Calibri" w:cs="Calibri" w:eastAsia="Calibri" w:hAnsi="Calibri"/>
          <w:color w:val="5A5A56"/>
          <w:sz w:val="20"/>
          <w:szCs w:val="20"/>
        </w:rPr>
        <w:t xml:space="preserve">Jakarta, Indonesia  |  info@pranatabhumi.id  |  www.pranatabhumi.id</w:t>
      </w:r>
    </w:p>
    <w:sectPr>
      <w:headerReference w:type="default" r:id="rId7"/>
      <w:footerReference w:type="default" r:id="rId8"/>
      <w:pgSz w:w="11906" w:h="16838" w:orient="portrait"/>
      <w:pgMar w:top="11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D1C8" w:sz="4" w:space="4"/>
      </w:pBdr>
      <w:spacing w:after="0" w:before="80"/>
    </w:pPr>
    <w:r>
      <w:rPr>
        <w:rFonts w:ascii="Calibri" w:cs="Calibri" w:eastAsia="Calibri" w:hAnsi="Calibri"/>
        <w:color w:val="D4D1C8"/>
        <w:sz w:val="17"/>
        <w:szCs w:val="17"/>
      </w:rPr>
      <w:t xml:space="preserve">Pranata Bhumi Consulting  |  Startup Profile 2025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4A2B" w:sz="6" w:space="4"/>
      </w:pBdr>
      <w:spacing w:after="0" w:before="0"/>
    </w:pPr>
    <w:r>
      <w:rPr>
        <w:rFonts w:ascii="Calibri" w:cs="Calibri" w:eastAsia="Calibri" w:hAnsi="Calibri"/>
        <w:b/>
        <w:bCs/>
        <w:color w:val="0D4A2B"/>
        <w:sz w:val="18"/>
        <w:szCs w:val="18"/>
      </w:rPr>
      <w:t xml:space="preserve">PRANATA BHUMI CONSULTING</w:t>
    </w:r>
    <w:r>
      <w:rPr>
        <w:rFonts w:ascii="Calibri" w:cs="Calibri" w:eastAsia="Calibri" w:hAnsi="Calibri"/>
        <w:color w:val="5A5A56"/>
        <w:sz w:val="18"/>
        <w:szCs w:val="18"/>
      </w:rPr>
      <w:t xml:space="preserve">   |   Precision Intelligence for Sustainable Palm Oil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2026-07-06T14:43:47.254Z</dcterms:created>
  <dcterms:modified xsi:type="dcterms:W3CDTF">2026-07-06T14:43:47.267Z</dcterms:modified>
</cp:coreProperties>
</file>

<file path=docProps/custom.xml><?xml version="1.0" encoding="utf-8"?>
<Properties xmlns="http://schemas.openxmlformats.org/officeDocument/2006/custom-properties" xmlns:vt="http://schemas.openxmlformats.org/officeDocument/2006/docPropsVTypes"/>
</file>