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голландский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Hallo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Эло́у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Welkom aan boord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Вэ́лком он бо́орд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Doe voorzichtig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Ду фоши́хтах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Alsjeblieft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А́шиблифт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Niet springen op het dek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Нит шпри́нг оп э дэ́к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Wacht even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Вахт э́йвен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Stop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Стоп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Dank je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Да́нк йе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Dank u zeer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Данк у же́э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Graag gedaan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Храх хадаа́н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Doei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Ду́и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Fijne dag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Фэ́йнэ дах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Jij ook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Яй о́у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Zeil met ons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Шэ́лл мэт о́нш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по-голландски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Ik spreek geen Nederlands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Ик спре́йк эйн не́йделонс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Het is een Russisch schip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Э́т ыш он ру́шэ шхып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Hoe veel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 фэ́йл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Het is gratis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Э́т ыш хра́тыш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We zijn open (van ... tot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 шайн о́упэн (фон ... ту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We zijn gesloten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 шайн хэршло́утэн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Kom morgen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Ком мо́рхэн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Sorry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Со́рри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Excuseer mij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Экскюзи́а май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Laat me erdoor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Ла́т ма эадо́р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Aan de kant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Ан де га́нт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Achteruit 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Ахтэра́ут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Ik moet hier werken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Эк му́т иа ве́ркен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Niet hier zitten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Ни́т йиа шы́ттэн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Het is gevaarlijk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Э́т ыш хава́рлок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Nul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Нюл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Эйн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Twee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Твей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Drie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Дры́и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Фи́ар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Vijf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Файф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Зес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Zeven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Зе́йвен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Acht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Ахт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Negen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Не́йхэн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Tien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Ти́ин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Elf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Элф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Twaalf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Твэлф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Bart van der Oordt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https://facebook.com/bart.vanderoordt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