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-шведский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Hej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Хей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Välkommen ombord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Вэ́лько́ммен о́мбу́д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Akta! Var försiktig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А́кта! Вар фёши́ктиг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Skulle du kunna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Ску́лле ду ку́нна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Hoppa inte på däck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Хо́ппа и́нтэ по́ дэкь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Vänta lite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Вэ́нта ли́тэ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Stanna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Ста́нна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Tack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Такь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Tack så mycket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Такь со мю́кке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Varsågod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Варшогу́д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Hej då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Хей до́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 en bra dag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Ха эн бра да́г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Detsamma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Дэса́мма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Segla med oss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Се́гла ме осс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по-шведски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Jag talar inte svenska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Йа та́лар и́нтэ свэ́нска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 är ett ryskt fartyg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Дэ э этт рю́скт фартю́г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Hur mycket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Хюр мю́кке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 är gratis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Дэ э гра́тис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 har öppet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Ви хар öппет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 har stängt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Ви хар стэ́нькт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Kom tillbaka imorgon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Ко́м тильба́ка имо́рон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Förlåt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Фёрло́т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Ursäkta mig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Ушэ́кта мэ́й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Akta! Släpp igenom mig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А́кта! Слэпп ийе́ном мэй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Akta!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А́кта!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Backa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Ба́кка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Jag måste jobba här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Йа мо́стэ йо́бба хэр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Sitt inte här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Ситт и́нтэ хэр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 är farligt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Дэ э фа́рлит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Noll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Нолль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Ett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Этт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Två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Тво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Тре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Fyra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Фю́ра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Fem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Фэм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Сэкс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Sju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Хю / Щю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Åtta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О́тта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Ни́ю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Tio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Ти́ю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