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1. Why modified z instead of a standard z-score?</w:t>
      </w:r>
    </w:p>
    <w:p>
      <w:pPr>
        <w:pStyle w:val="BodyText"/>
        <w:bidi w:val="0"/>
        <w:jc w:val="start"/>
        <w:rPr/>
      </w:pPr>
      <w:r>
        <w:rPr/>
        <w:t>With ~20 subjects, a single extreme value inflates the mean and standard deviation enough to hide itself. Median and MAD are resistant to that, so the modified z is the right screen at this sample size. The 0.6745 constant scales MAD to be consistent with the standard deviation under normality.</w:t>
      </w:r>
    </w:p>
    <w:p>
      <w:pPr>
        <w:pStyle w:val="Heading3"/>
        <w:bidi w:val="0"/>
        <w:jc w:val="start"/>
        <w:rPr/>
      </w:pPr>
      <w:r>
        <w:rPr/>
        <w:t>2. Why the threshold of 3.5?</w:t>
      </w:r>
    </w:p>
    <w:p>
      <w:pPr>
        <w:pStyle w:val="BodyText"/>
        <w:bidi w:val="0"/>
        <w:jc w:val="start"/>
        <w:rPr/>
      </w:pPr>
      <w:r>
        <w:rPr/>
        <w:t>Iglewicz and Hoaglin's original recommendation for the modified z. It's a conventional cutoff, not something I tuned to my data. If I'd chosen the threshold after seeing results, that would be a problem — but it's pre-specified from the method's source.</w:t>
      </w:r>
    </w:p>
    <w:p>
      <w:pPr>
        <w:pStyle w:val="Heading3"/>
        <w:bidi w:val="0"/>
        <w:jc w:val="start"/>
        <w:rPr/>
      </w:pPr>
      <w:r>
        <w:rPr/>
        <w:t>3. Why within-subject percent change from the still scan?</w:t>
      </w:r>
    </w:p>
    <w:p>
      <w:pPr>
        <w:pStyle w:val="BodyText"/>
        <w:bidi w:val="0"/>
        <w:jc w:val="start"/>
        <w:rPr/>
      </w:pPr>
      <w:r>
        <w:rPr/>
        <w:t>It controls for between-subject anatomical variability. Comparing each subject to their own still scan isolates the motion effect from baseline differences in brain size and thickness. This follows the within-subject logic of Reuter et al. (2015).</w:t>
      </w:r>
    </w:p>
    <w:p>
      <w:pPr>
        <w:pStyle w:val="Heading3"/>
        <w:bidi w:val="0"/>
        <w:jc w:val="start"/>
        <w:rPr/>
      </w:pPr>
      <w:r>
        <w:rPr/>
        <w:t>4. Why these six measures?</w:t>
      </w:r>
    </w:p>
    <w:p>
      <w:pPr>
        <w:pStyle w:val="BodyText"/>
        <w:bidi w:val="0"/>
        <w:jc w:val="start"/>
        <w:rPr/>
      </w:pPr>
      <w:r>
        <w:rPr/>
        <w:t>T</w:t>
      </w:r>
      <w:r>
        <w:rPr/>
        <w:t xml:space="preserve">hey span cortical thickness and subcortical volume. </w:t>
      </w:r>
    </w:p>
    <w:p>
      <w:pPr>
        <w:pStyle w:val="Heading3"/>
        <w:bidi w:val="0"/>
        <w:jc w:val="start"/>
        <w:rPr/>
      </w:pPr>
      <w:r>
        <w:rPr/>
        <w:t>5. Why record Tukey and ENIGMA but not use them as exclusion rules?</w:t>
      </w:r>
    </w:p>
    <w:p>
      <w:pPr>
        <w:pStyle w:val="BodyText"/>
        <w:bidi w:val="0"/>
        <w:jc w:val="start"/>
        <w:rPr/>
      </w:pPr>
      <w:r>
        <w:rPr/>
        <w:t>Stacking multiple exclusion criteria inflates false positives and lets you manufacture a cleaner result. Recording them as corroboration gives the reader context without letting them drive decisions. One pre-specified primary screen is the inclusion rule.</w:t>
      </w:r>
    </w:p>
    <w:p>
      <w:pPr>
        <w:pStyle w:val="Heading3"/>
        <w:bidi w:val="0"/>
        <w:jc w:val="start"/>
        <w:rPr/>
      </w:pPr>
      <w:r>
        <w:rPr/>
        <w:t>6. Why do flags not change inclusion?</w:t>
      </w:r>
    </w:p>
    <w:p>
      <w:pPr>
        <w:pStyle w:val="BodyText"/>
        <w:bidi w:val="0"/>
        <w:jc w:val="start"/>
        <w:rPr/>
      </w:pPr>
      <w:r>
        <w:rPr/>
        <w:t>A</w:t>
      </w:r>
      <w:r>
        <w:rPr/>
        <w:t xml:space="preserve"> quantitative flag isn't a data quality failure. </w:t>
      </w:r>
      <w:r>
        <w:rPr/>
        <w:t>S</w:t>
      </w:r>
      <w:r>
        <w:rPr/>
        <w:t>can</w:t>
      </w:r>
      <w:r>
        <w:rPr/>
        <w:t>s</w:t>
      </w:r>
      <w:r>
        <w:rPr/>
        <w:t xml:space="preserve"> can have an extreme value</w:t>
      </w:r>
      <w:r>
        <w:rPr/>
        <w:t>s</w:t>
      </w:r>
      <w:r>
        <w:rPr/>
        <w:t xml:space="preserve"> for real biological reasons, because the still scan was unusual, or because of a segmentation error. The only way to know is to look. So the flag sends it to re-review; the written checklist determines inclusion. This is directly motivated by Reuter et al.'s finding that motion bias survives QC exclusion — the flag isn't the same as the fail.</w:t>
      </w:r>
    </w:p>
    <w:p>
      <w:pPr>
        <w:pStyle w:val="Heading3"/>
        <w:bidi w:val="0"/>
        <w:jc w:val="start"/>
        <w:rPr/>
      </w:pPr>
      <w:r>
        <w:rPr/>
        <w:t>7. Why separate long-format and wide-format outputs?</w:t>
      </w:r>
    </w:p>
    <w:p>
      <w:pPr>
        <w:pStyle w:val="BodyText"/>
        <w:bidi w:val="0"/>
        <w:jc w:val="start"/>
        <w:rPr/>
      </w:pPr>
      <w:r>
        <w:rPr/>
        <w:t>Long format preserves every subject × condition × measure contrast for detailed inspection and re-analysis. Wide format gives the subject × condition summary that's readable at a glance. Both serve different purposes.</w:t>
      </w:r>
    </w:p>
    <w:p>
      <w:pPr>
        <w:pStyle w:val="Heading3"/>
        <w:bidi w:val="0"/>
        <w:jc w:val="start"/>
        <w:rPr/>
      </w:pPr>
      <w:r>
        <w:rPr/>
        <w:t>8. Why the heatmap?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trong"/>
        </w:rPr>
        <w:t>Your answer:</w:t>
      </w:r>
      <w:r>
        <w:rPr/>
        <w:t xml:space="preserve"> It's a visual QC summary. One panel per motion condition, six measures on the x-axis, subjects on the y-axis, modified z as color, flagged cells marked with an asterisk. It lets a reviewer see the pattern across the sample in one view rather than reading a table.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LibreOffice/24.8.0.3$MacOSX_AARCH64 LibreOffice_project/0bdf1299c94fe897b119f97f3c613e9dca6be583</Application>
  <AppVersion>15.0000</AppVersion>
  <Pages>1</Pages>
  <Words>382</Words>
  <Characters>1988</Characters>
  <CharactersWithSpaces>2357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2026-09-27T19:04:53Z</dcterms:created>
  <dc:creator/>
  <dc:description/>
  <dc:language>en-US</dc:language>
  <cp:lastModifiedBy/>
  <dcterms:modified xsi:type="dcterms:W3CDTF">2026-09-27T19:07:58Z</dcterms:modified>
  <cp:revision>1</cp:revision>
  <dc:subject/>
  <dc:title/>
</cp:coreProperties>
</file>