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## Replication Context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project is a partial replication of: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Reuter M, Tisdall MD, Qureshi A, Buckner RL, van der Kouwe AJW, Fischl B.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Head motion during MRI acquisition reduces gray matter volume and thickness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estimates. NeuroImage. 2015;107:107-115. 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doi:10.1016/j.neuroimage.2014.12.006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Original study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Reuter et al. scanned 12 healthy volunteers within a single session under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different motion conditions (still, nod, shake, free motion). Using FreeSurfer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5.3, VBM8 SPM, and FSL Siena 5.0.7, they found an average apparent volume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loss of roughly 0.7%/mm/min of subject motion, with effects varying across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regions. Critically, the bias remained significant after excluding scans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that failed a rigorous quality check — motion bias is directional, not just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added noise.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This project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Dataset: MR-ART (OpenNeuro ds004173), 20 subjects × 3 motion conditions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(still, mild, moderate)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Software: FreeSurfer 8.2.0 (vs. 5.3 in the original)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Estimand: within-subject percent change from the still scan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QC: pre-specified outlier screen (Iglewicz–Hoaglin modified z on percent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change) plus a written surface/WM/topology checklist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Separation of flags (re-review) from fails (checklist-based exclusion),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motivated by the original finding that bias survives QC exclusion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What's different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Larger sample (20 vs. 12)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Condition labels rather than mm/min motion quantification — effect sizes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are not directly comparable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FreeSurfer-only (original tested three pipelines)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Pre-specified measures (six locked ROIs) rather than whole-brain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morphometry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Explicit flag-vs-exclusion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replicates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Direction of effect: motion → thinner cortex, smaller volumes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Regional variation: temporal pole shows the largest drift in this sample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(−20.9% median), consistent with regional specificity in the original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QC exclusion does not eliminate the bias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LibreOffice/24.8.0.3$MacOSX_AARCH64 LibreOffice_project/0bdf1299c94fe897b119f97f3c613e9dca6be583</Application>
  <AppVersion>15.0000</AppVersion>
  <Pages>1</Pages>
  <Words>267</Words>
  <Characters>1606</Characters>
  <CharactersWithSpaces>1864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2026-09-27T19:09:44Z</dcterms:created>
  <dc:creator/>
  <dc:description/>
  <dc:language>en-US</dc:language>
  <cp:lastModifiedBy/>
  <dcterms:modified xsi:type="dcterms:W3CDTF">2026-09-27T19:34:50Z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