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C704" w14:textId="77777777" w:rsidR="00010471" w:rsidRDefault="00000000">
      <w:pPr>
        <w:pStyle w:val="Heading1"/>
      </w:pPr>
      <w:r>
        <w:t>Report on Institutional Strategies for Fisheries</w:t>
      </w:r>
    </w:p>
    <w:p w14:paraId="2015C9E9" w14:textId="77777777" w:rsidR="0001047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bookmarkStart w:id="0" w:name="_Hlk190899212"/>
      <w:r>
        <w:t>Strategies of Institutions to Improve Fishers' Livelihoods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253"/>
        <w:gridCol w:w="2163"/>
        <w:gridCol w:w="2492"/>
        <w:gridCol w:w="2138"/>
      </w:tblGrid>
      <w:tr w:rsidR="00010471" w14:paraId="4120B6F0" w14:textId="77777777" w:rsidTr="00F31085">
        <w:trPr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A0DE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Institution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71D0" w14:textId="4CEE9646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Primary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A1A7E" w14:textId="4DFA7E3D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Impact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on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Fishers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Income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73D20" w14:textId="466A7270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Measurement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of</w:t>
            </w:r>
            <w:r w:rsidR="00F31085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Success</w:t>
            </w:r>
          </w:p>
        </w:tc>
      </w:tr>
      <w:tr w:rsidR="00010471" w14:paraId="7ECE6C9F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6E583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WWF (Caye Caulker &amp; Placencia)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A1A4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Community Engagement &amp; Conservation Planning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8DC41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 in alternative livelihoods, income diversification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94FD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Surveys, economic impact tracking</w:t>
            </w:r>
          </w:p>
        </w:tc>
      </w:tr>
      <w:tr w:rsidR="00010471" w14:paraId="122BC55E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A113D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Fragments of Hope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42633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Site Coordinator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A78F2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 fishers in monitoring &amp; conservation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D706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quantified</w:t>
            </w:r>
          </w:p>
        </w:tc>
      </w:tr>
      <w:tr w:rsidR="00010471" w14:paraId="4BC4BC9E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65DD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Caye Caulker BTIAC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AA65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Chairperson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E018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Training, quality control, best practices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DFF36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fishers participating in programs</w:t>
            </w:r>
          </w:p>
        </w:tc>
      </w:tr>
      <w:tr w:rsidR="00010471" w14:paraId="18A23E8C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D8EE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Belioness</w:t>
            </w:r>
            <w:proofErr w:type="spellEnd"/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1300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Vice Chair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E076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Lionfish population monitoring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D334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Changes in lionfish abundance</w:t>
            </w:r>
          </w:p>
        </w:tc>
      </w:tr>
      <w:tr w:rsidR="00010471" w14:paraId="09056599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62D5E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Humana People to People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744F1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Grant Proposal Writing &amp; Project Management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CAA92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Sustainable development training, funding for alternative livelihoods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84E6C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 community economic conditions</w:t>
            </w:r>
          </w:p>
        </w:tc>
      </w:tr>
      <w:tr w:rsidR="00010471" w14:paraId="35D1AA75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74253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Southern Environmental Association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83648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Executive Director &amp; Board Chairman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309D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Capacity building &amp; best practices training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0C351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Tracking fisher compliance with regulations</w:t>
            </w:r>
          </w:p>
        </w:tc>
      </w:tr>
      <w:tr w:rsidR="00010471" w14:paraId="03D1922B" w14:textId="77777777" w:rsidTr="00F31085">
        <w:trPr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50E8A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Toledo Institute for Development and Environment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9B46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Protected Area Manager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0AFC9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Managed access programs for traditional fishers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48651" w14:textId="77777777" w:rsidR="000104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Expansion into tourism-related activities</w:t>
            </w:r>
          </w:p>
        </w:tc>
      </w:tr>
      <w:bookmarkEnd w:id="0"/>
    </w:tbl>
    <w:p w14:paraId="19E12CB4" w14:textId="77777777" w:rsidR="0008399B" w:rsidRDefault="0008399B"/>
    <w:sectPr w:rsidR="0008399B" w:rsidSect="00F31085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5404685">
    <w:abstractNumId w:val="1"/>
  </w:num>
  <w:num w:numId="2" w16cid:durableId="1079910708">
    <w:abstractNumId w:val="2"/>
  </w:num>
  <w:num w:numId="3" w16cid:durableId="12631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471"/>
    <w:rsid w:val="00010471"/>
    <w:rsid w:val="00041693"/>
    <w:rsid w:val="0008399B"/>
    <w:rsid w:val="00F3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C52C"/>
  <w15:docId w15:val="{FE3A535B-37EF-4FF4-9B7D-93736E25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Julian Olaya Restrepo</cp:lastModifiedBy>
  <cp:revision>10</cp:revision>
  <dcterms:created xsi:type="dcterms:W3CDTF">2017-02-28T11:18:00Z</dcterms:created>
  <dcterms:modified xsi:type="dcterms:W3CDTF">2025-02-20T07:15:00Z</dcterms:modified>
  <cp:category/>
</cp:coreProperties>
</file>