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5637B" w14:textId="5C399933" w:rsidR="00EA08A0" w:rsidRDefault="00EA08A0" w:rsidP="00711808">
      <w:pPr>
        <w:pStyle w:val="Heading1"/>
        <w:jc w:val="both"/>
      </w:pPr>
      <w:bookmarkStart w:id="0" w:name="_Hlk185535017"/>
      <w:bookmarkStart w:id="1" w:name="_Hlk185540171"/>
      <w:r>
        <w:t>Caye Caulker</w:t>
      </w:r>
    </w:p>
    <w:bookmarkEnd w:id="0"/>
    <w:p w14:paraId="3D96EF28" w14:textId="228EB4D6" w:rsidR="008B0631" w:rsidRDefault="00FA2A0E" w:rsidP="00144DE2">
      <w:pPr>
        <w:pStyle w:val="Heading2"/>
        <w:jc w:val="both"/>
      </w:pPr>
      <w:r>
        <w:t>Network analysis</w:t>
      </w:r>
    </w:p>
    <w:p w14:paraId="1D42A47B" w14:textId="4FA87CEB" w:rsidR="001E5AA9" w:rsidRPr="001E5AA9" w:rsidRDefault="00634A17" w:rsidP="00144DE2">
      <w:pPr>
        <w:jc w:val="both"/>
      </w:pPr>
      <w:r w:rsidRPr="00634A17">
        <w:t xml:space="preserve">To assess the interaction patterns among the sectors participating in the study, the value chain was defined as a socio-ecological system, where individuals, or the sectors with which they identify, interact with each other through various activities associated with the country's three main fisheries - lobster fishing, queen conch fishing, and finfish fishing. </w:t>
      </w:r>
      <w:r w:rsidR="001E5AA9" w:rsidRPr="001E5AA9">
        <w:t>Nodes in the network represent the participating sectors (see table), while edges depict interactions derived from group activity discussions and survey responses. For instance, if a consumer survey respondent indicates purchasing seafood from fishers, an edge labeled "buy</w:t>
      </w:r>
      <w:r w:rsidR="001E5AA9">
        <w:t xml:space="preserve"> lobster</w:t>
      </w:r>
      <w:r w:rsidR="001E5AA9" w:rsidRPr="001E5AA9">
        <w:t>" connects the Consumer and Fisher nodes.</w:t>
      </w:r>
    </w:p>
    <w:p w14:paraId="16A2B559" w14:textId="4BD70BCA" w:rsidR="00D74FCF" w:rsidRDefault="001E5AA9" w:rsidP="00144DE2">
      <w:pPr>
        <w:jc w:val="both"/>
      </w:pPr>
      <w:r w:rsidRPr="001E5AA9">
        <w:t xml:space="preserve">Based on </w:t>
      </w:r>
      <w:r w:rsidR="00144DE2" w:rsidRPr="001E5AA9">
        <w:t>group</w:t>
      </w:r>
      <w:r w:rsidRPr="001E5AA9">
        <w:t xml:space="preserve"> activity, key interactions between sectors were identified and summarized in the </w:t>
      </w:r>
      <w:r w:rsidR="00E02F20">
        <w:t>(</w:t>
      </w:r>
      <w:r w:rsidR="00E02F20">
        <w:fldChar w:fldCharType="begin"/>
      </w:r>
      <w:r w:rsidR="00E02F20">
        <w:instrText xml:space="preserve"> REF _Ref181553110 \h </w:instrText>
      </w:r>
      <w:r w:rsidR="00144DE2">
        <w:instrText xml:space="preserve"> \* MERGEFORMAT </w:instrText>
      </w:r>
      <w:r w:rsidR="00E02F20">
        <w:fldChar w:fldCharType="separate"/>
      </w:r>
      <w:r w:rsidR="00E02F20">
        <w:t xml:space="preserve">Figure </w:t>
      </w:r>
      <w:r w:rsidR="00E02F20">
        <w:rPr>
          <w:noProof/>
        </w:rPr>
        <w:t>11</w:t>
      </w:r>
      <w:r w:rsidR="00E02F20">
        <w:fldChar w:fldCharType="end"/>
      </w:r>
      <w:r w:rsidR="00E02F20">
        <w:t>)</w:t>
      </w:r>
      <w:r w:rsidRPr="001E5AA9">
        <w:t xml:space="preserve">. </w:t>
      </w:r>
    </w:p>
    <w:p w14:paraId="43DB7975" w14:textId="77777777" w:rsidR="00D74FCF" w:rsidRDefault="00D74FCF" w:rsidP="00FA2A0E"/>
    <w:p w14:paraId="114C6188" w14:textId="77777777" w:rsidR="001E5AA9" w:rsidRDefault="001E5AA9" w:rsidP="001E5AA9">
      <w:pPr>
        <w:keepNext/>
      </w:pPr>
      <w:r>
        <w:rPr>
          <w:noProof/>
        </w:rPr>
        <w:lastRenderedPageBreak/>
        <w:drawing>
          <wp:inline distT="0" distB="0" distL="0" distR="0" wp14:anchorId="4D2F5D88" wp14:editId="08DE1823">
            <wp:extent cx="5943600" cy="5249545"/>
            <wp:effectExtent l="0" t="0" r="0" b="8255"/>
            <wp:docPr id="1200525695" name="Picture 5" descr="A collage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5695" name="Picture 5" descr="A collage of a 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249545"/>
                    </a:xfrm>
                    <a:prstGeom prst="rect">
                      <a:avLst/>
                    </a:prstGeom>
                  </pic:spPr>
                </pic:pic>
              </a:graphicData>
            </a:graphic>
          </wp:inline>
        </w:drawing>
      </w:r>
    </w:p>
    <w:p w14:paraId="5EA6F87C" w14:textId="6381F2DE" w:rsidR="001E5AA9" w:rsidRPr="001E5AA9" w:rsidRDefault="001E5AA9" w:rsidP="001E5AA9">
      <w:pPr>
        <w:pStyle w:val="Caption"/>
      </w:pPr>
      <w:bookmarkStart w:id="2" w:name="_Ref181553110"/>
      <w:r>
        <w:t xml:space="preserve">Figure </w:t>
      </w:r>
      <w:fldSimple w:instr=" SEQ Figure \* ARABIC ">
        <w:r w:rsidR="00382F50">
          <w:rPr>
            <w:noProof/>
          </w:rPr>
          <w:t>11</w:t>
        </w:r>
      </w:fldSimple>
      <w:bookmarkEnd w:id="2"/>
      <w:r>
        <w:t xml:space="preserve"> </w:t>
      </w:r>
      <w:r w:rsidRPr="001E5AA9">
        <w:t>Schematic representation of intersectoral relationships in the Caye Caulker fisheries value chain</w:t>
      </w:r>
      <w:r w:rsidRPr="001E5AA9">
        <w:rPr>
          <w:b/>
          <w:bCs/>
        </w:rPr>
        <w:t>.</w:t>
      </w:r>
      <w:r w:rsidRPr="001E5AA9">
        <w:t xml:space="preserve"> The upper panels present the raw data from the three workshop groups, illustrating the initial perceptions of sectoral interactions. The lower panel offers a synthesized schematic, consolidating these findings into a comprehensive overview.</w:t>
      </w:r>
    </w:p>
    <w:bookmarkEnd w:id="1"/>
    <w:p w14:paraId="47397D45" w14:textId="7BABA9B5" w:rsidR="00E02F20" w:rsidRPr="001E5AA9" w:rsidRDefault="00E02F20" w:rsidP="00144DE2">
      <w:pPr>
        <w:jc w:val="both"/>
      </w:pPr>
      <w:r w:rsidRPr="001E5AA9">
        <w:t xml:space="preserve">To gain a comprehensive understanding of the network, we constructed a network visualization using the </w:t>
      </w:r>
      <w:proofErr w:type="spellStart"/>
      <w:r w:rsidRPr="001E5AA9">
        <w:t>Igraph</w:t>
      </w:r>
      <w:proofErr w:type="spellEnd"/>
      <w:r w:rsidRPr="001E5AA9">
        <w:t xml:space="preserve"> package in R. </w:t>
      </w:r>
      <w:r w:rsidR="00F1058D" w:rsidRPr="00F1058D">
        <w:t xml:space="preserve">To create a simplified overview of the value chain, all interactions, irrespective of their specific type </w:t>
      </w:r>
      <w:r w:rsidR="00F1058D">
        <w:t>(</w:t>
      </w:r>
      <w:r w:rsidR="00F1058D" w:rsidRPr="00F1058D">
        <w:t>e.g., purchase, training, sale</w:t>
      </w:r>
      <w:r w:rsidR="00F1058D">
        <w:t xml:space="preserve">) </w:t>
      </w:r>
      <w:r w:rsidR="00F1058D" w:rsidRPr="00F1058D">
        <w:t>or associated species</w:t>
      </w:r>
      <w:r w:rsidR="00F1058D">
        <w:t xml:space="preserve"> (</w:t>
      </w:r>
      <w:r w:rsidR="00F1058D" w:rsidRPr="00F1058D">
        <w:t>lobster, queen conch, finfish</w:t>
      </w:r>
      <w:r w:rsidR="00F1058D">
        <w:t>)</w:t>
      </w:r>
      <w:r w:rsidR="00F1058D" w:rsidRPr="00F1058D">
        <w:t xml:space="preserve">, were consolidated into a general interaction for the initial visualization. </w:t>
      </w:r>
      <w:r w:rsidRPr="001E5AA9">
        <w:t>This visualization highlights the central actors and connections that maintain the current flow of resources and information within the Caye Caulker fisheries value chain.</w:t>
      </w:r>
    </w:p>
    <w:p w14:paraId="3F71B4E0" w14:textId="62F47207" w:rsidR="001E5AA9" w:rsidRDefault="00E02F20" w:rsidP="00144DE2">
      <w:pPr>
        <w:jc w:val="both"/>
      </w:pPr>
      <w:r w:rsidRPr="00E02F20">
        <w:t>The size of each node represents its degree centrality, indicating the number of connections it has to other nodes</w:t>
      </w:r>
      <w:r w:rsidR="00F1058D">
        <w:t xml:space="preserve"> (</w:t>
      </w:r>
      <w:r w:rsidR="00F1058D">
        <w:fldChar w:fldCharType="begin"/>
      </w:r>
      <w:r w:rsidR="00F1058D">
        <w:instrText xml:space="preserve"> REF _Ref181553547 \h </w:instrText>
      </w:r>
      <w:r w:rsidR="00144DE2">
        <w:instrText xml:space="preserve"> \* MERGEFORMAT </w:instrText>
      </w:r>
      <w:r w:rsidR="00F1058D">
        <w:fldChar w:fldCharType="separate"/>
      </w:r>
      <w:r w:rsidR="00F1058D">
        <w:t xml:space="preserve">Table </w:t>
      </w:r>
      <w:r w:rsidR="00F1058D">
        <w:rPr>
          <w:noProof/>
        </w:rPr>
        <w:t>6</w:t>
      </w:r>
      <w:r w:rsidR="00F1058D">
        <w:fldChar w:fldCharType="end"/>
      </w:r>
      <w:r w:rsidR="00F1058D">
        <w:t>)</w:t>
      </w:r>
      <w:r w:rsidRPr="00E02F20">
        <w:t>. Larger nodes, such as "Customer" and "Fisher," have more connections, suggesting their central role in the network</w:t>
      </w:r>
      <w:r>
        <w:t xml:space="preserve"> (</w:t>
      </w:r>
      <w:r>
        <w:fldChar w:fldCharType="begin"/>
      </w:r>
      <w:r>
        <w:instrText xml:space="preserve"> REF _Ref181553547 \h </w:instrText>
      </w:r>
      <w:r w:rsidR="00144DE2">
        <w:instrText xml:space="preserve"> \* MERGEFORMAT </w:instrText>
      </w:r>
      <w:r>
        <w:fldChar w:fldCharType="separate"/>
      </w:r>
      <w:r>
        <w:t xml:space="preserve">Table </w:t>
      </w:r>
      <w:r>
        <w:rPr>
          <w:noProof/>
        </w:rPr>
        <w:t>6</w:t>
      </w:r>
      <w:r>
        <w:fldChar w:fldCharType="end"/>
      </w:r>
      <w:r>
        <w:t>)</w:t>
      </w:r>
      <w:r w:rsidRPr="00E02F20">
        <w:t>.</w:t>
      </w:r>
      <w:r>
        <w:t xml:space="preserve"> </w:t>
      </w:r>
      <w:r w:rsidRPr="00E02F20">
        <w:t>The width of the edges represents the betweenness centrality, highlighting the importance of specific connections in facilitating information flow and resource transfer. For instance, the edge between "Fisher" and "</w:t>
      </w:r>
      <w:r>
        <w:t>Customer</w:t>
      </w:r>
      <w:r w:rsidRPr="00E02F20">
        <w:t>" is relatively thick, suggesting that this connection plays a crucial role in the overall network</w:t>
      </w:r>
      <w:r>
        <w:t>.</w:t>
      </w:r>
    </w:p>
    <w:p w14:paraId="2007E9F9" w14:textId="77777777" w:rsidR="00E02F20" w:rsidRDefault="00E02F20" w:rsidP="00FA2A0E"/>
    <w:p w14:paraId="57B6EE91" w14:textId="18192C32" w:rsidR="00382F50" w:rsidRDefault="005E23D7" w:rsidP="00382F50">
      <w:pPr>
        <w:keepNext/>
      </w:pPr>
      <w:r w:rsidRPr="005E23D7">
        <w:rPr>
          <w:noProof/>
        </w:rPr>
        <w:drawing>
          <wp:inline distT="0" distB="0" distL="0" distR="0" wp14:anchorId="18C14A0A" wp14:editId="2CD010ED">
            <wp:extent cx="4677263" cy="2973023"/>
            <wp:effectExtent l="0" t="0" r="0" b="0"/>
            <wp:docPr id="100963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1717" name=""/>
                    <pic:cNvPicPr/>
                  </pic:nvPicPr>
                  <pic:blipFill rotWithShape="1">
                    <a:blip r:embed="rId7"/>
                    <a:srcRect l="2715"/>
                    <a:stretch/>
                  </pic:blipFill>
                  <pic:spPr bwMode="auto">
                    <a:xfrm>
                      <a:off x="0" y="0"/>
                      <a:ext cx="4691545" cy="2982101"/>
                    </a:xfrm>
                    <a:prstGeom prst="rect">
                      <a:avLst/>
                    </a:prstGeom>
                    <a:ln>
                      <a:noFill/>
                    </a:ln>
                    <a:extLst>
                      <a:ext uri="{53640926-AAD7-44D8-BBD7-CCE9431645EC}">
                        <a14:shadowObscured xmlns:a14="http://schemas.microsoft.com/office/drawing/2010/main"/>
                      </a:ext>
                    </a:extLst>
                  </pic:spPr>
                </pic:pic>
              </a:graphicData>
            </a:graphic>
          </wp:inline>
        </w:drawing>
      </w:r>
    </w:p>
    <w:p w14:paraId="3EAF377C" w14:textId="1A2117E5" w:rsidR="00E02F20" w:rsidRPr="001E5AA9" w:rsidRDefault="00382F50" w:rsidP="00382F50">
      <w:pPr>
        <w:pStyle w:val="Caption"/>
      </w:pPr>
      <w:bookmarkStart w:id="3" w:name="_Ref181554978"/>
      <w:r>
        <w:t xml:space="preserve">Figure </w:t>
      </w:r>
      <w:fldSimple w:instr=" SEQ Figure \* ARABIC ">
        <w:r>
          <w:rPr>
            <w:noProof/>
          </w:rPr>
          <w:t>12</w:t>
        </w:r>
      </w:fldSimple>
      <w:bookmarkEnd w:id="3"/>
      <w:r>
        <w:t xml:space="preserve"> Aggregate network representing the fishery value chain in Caye Caulker</w:t>
      </w:r>
    </w:p>
    <w:p w14:paraId="794D19AE" w14:textId="4E899586" w:rsidR="00E94DEE" w:rsidRDefault="00E94DEE" w:rsidP="00E94DEE">
      <w:pPr>
        <w:pStyle w:val="Caption"/>
        <w:keepNext/>
      </w:pPr>
      <w:bookmarkStart w:id="4" w:name="_Ref181553547"/>
      <w:r>
        <w:t xml:space="preserve">Table </w:t>
      </w:r>
      <w:fldSimple w:instr=" SEQ Table \* ARABIC ">
        <w:r>
          <w:rPr>
            <w:noProof/>
          </w:rPr>
          <w:t>6</w:t>
        </w:r>
      </w:fldSimple>
      <w:bookmarkEnd w:id="4"/>
      <w:r>
        <w:t xml:space="preserve"> Node centrality for the sectors </w:t>
      </w:r>
      <w:r w:rsidR="00171D1D">
        <w:t>answered</w:t>
      </w:r>
      <w:r>
        <w:t xml:space="preserve"> the survey</w:t>
      </w:r>
    </w:p>
    <w:tbl>
      <w:tblPr>
        <w:tblW w:w="6388" w:type="dxa"/>
        <w:tblLook w:val="04A0" w:firstRow="1" w:lastRow="0" w:firstColumn="1" w:lastColumn="0" w:noHBand="0" w:noVBand="1"/>
      </w:tblPr>
      <w:tblGrid>
        <w:gridCol w:w="1501"/>
        <w:gridCol w:w="960"/>
        <w:gridCol w:w="1437"/>
        <w:gridCol w:w="1200"/>
        <w:gridCol w:w="1290"/>
      </w:tblGrid>
      <w:tr w:rsidR="00E94DEE" w:rsidRPr="00E94DEE" w14:paraId="25D6A692" w14:textId="77777777" w:rsidTr="00E94DEE">
        <w:trPr>
          <w:trHeight w:val="290"/>
        </w:trPr>
        <w:tc>
          <w:tcPr>
            <w:tcW w:w="1501" w:type="dxa"/>
            <w:tcBorders>
              <w:top w:val="single" w:sz="4" w:space="0" w:color="auto"/>
              <w:left w:val="nil"/>
              <w:bottom w:val="single" w:sz="4" w:space="0" w:color="auto"/>
              <w:right w:val="nil"/>
            </w:tcBorders>
            <w:shd w:val="clear" w:color="auto" w:fill="auto"/>
            <w:noWrap/>
            <w:vAlign w:val="bottom"/>
            <w:hideMark/>
          </w:tcPr>
          <w:p w14:paraId="7FF67ED3"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Node</w:t>
            </w:r>
          </w:p>
        </w:tc>
        <w:tc>
          <w:tcPr>
            <w:tcW w:w="960" w:type="dxa"/>
            <w:tcBorders>
              <w:top w:val="single" w:sz="4" w:space="0" w:color="auto"/>
              <w:left w:val="nil"/>
              <w:bottom w:val="single" w:sz="4" w:space="0" w:color="auto"/>
              <w:right w:val="nil"/>
            </w:tcBorders>
            <w:shd w:val="clear" w:color="auto" w:fill="auto"/>
            <w:noWrap/>
            <w:vAlign w:val="bottom"/>
            <w:hideMark/>
          </w:tcPr>
          <w:p w14:paraId="2E6C6ED2"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Degree</w:t>
            </w:r>
          </w:p>
        </w:tc>
        <w:tc>
          <w:tcPr>
            <w:tcW w:w="1437" w:type="dxa"/>
            <w:tcBorders>
              <w:top w:val="single" w:sz="4" w:space="0" w:color="auto"/>
              <w:left w:val="nil"/>
              <w:bottom w:val="single" w:sz="4" w:space="0" w:color="auto"/>
              <w:right w:val="nil"/>
            </w:tcBorders>
            <w:shd w:val="clear" w:color="auto" w:fill="auto"/>
            <w:noWrap/>
            <w:vAlign w:val="bottom"/>
            <w:hideMark/>
          </w:tcPr>
          <w:p w14:paraId="10E4460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Betweenness</w:t>
            </w:r>
          </w:p>
        </w:tc>
        <w:tc>
          <w:tcPr>
            <w:tcW w:w="1200" w:type="dxa"/>
            <w:tcBorders>
              <w:top w:val="single" w:sz="4" w:space="0" w:color="auto"/>
              <w:left w:val="nil"/>
              <w:bottom w:val="single" w:sz="4" w:space="0" w:color="auto"/>
              <w:right w:val="nil"/>
            </w:tcBorders>
            <w:shd w:val="clear" w:color="auto" w:fill="auto"/>
            <w:noWrap/>
            <w:vAlign w:val="bottom"/>
            <w:hideMark/>
          </w:tcPr>
          <w:p w14:paraId="205F6F4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Closeness</w:t>
            </w:r>
          </w:p>
        </w:tc>
        <w:tc>
          <w:tcPr>
            <w:tcW w:w="1290" w:type="dxa"/>
            <w:tcBorders>
              <w:top w:val="single" w:sz="4" w:space="0" w:color="auto"/>
              <w:left w:val="nil"/>
              <w:bottom w:val="single" w:sz="4" w:space="0" w:color="auto"/>
              <w:right w:val="nil"/>
            </w:tcBorders>
            <w:shd w:val="clear" w:color="auto" w:fill="auto"/>
            <w:noWrap/>
            <w:vAlign w:val="bottom"/>
            <w:hideMark/>
          </w:tcPr>
          <w:p w14:paraId="083CF6D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Eigenvector</w:t>
            </w:r>
          </w:p>
        </w:tc>
      </w:tr>
      <w:tr w:rsidR="00E94DEE" w:rsidRPr="00E94DEE" w14:paraId="1789C77B" w14:textId="77777777" w:rsidTr="00E94DEE">
        <w:trPr>
          <w:trHeight w:val="290"/>
        </w:trPr>
        <w:tc>
          <w:tcPr>
            <w:tcW w:w="1501" w:type="dxa"/>
            <w:tcBorders>
              <w:top w:val="nil"/>
              <w:left w:val="nil"/>
              <w:bottom w:val="nil"/>
              <w:right w:val="nil"/>
            </w:tcBorders>
            <w:shd w:val="clear" w:color="auto" w:fill="auto"/>
            <w:noWrap/>
            <w:vAlign w:val="bottom"/>
            <w:hideMark/>
          </w:tcPr>
          <w:p w14:paraId="36C0EA4F"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Fisher</w:t>
            </w:r>
          </w:p>
        </w:tc>
        <w:tc>
          <w:tcPr>
            <w:tcW w:w="960" w:type="dxa"/>
            <w:tcBorders>
              <w:top w:val="nil"/>
              <w:left w:val="nil"/>
              <w:bottom w:val="nil"/>
              <w:right w:val="nil"/>
            </w:tcBorders>
            <w:shd w:val="clear" w:color="auto" w:fill="auto"/>
            <w:noWrap/>
            <w:vAlign w:val="bottom"/>
            <w:hideMark/>
          </w:tcPr>
          <w:p w14:paraId="21E9A62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6</w:t>
            </w:r>
          </w:p>
        </w:tc>
        <w:tc>
          <w:tcPr>
            <w:tcW w:w="1437" w:type="dxa"/>
            <w:tcBorders>
              <w:top w:val="nil"/>
              <w:left w:val="nil"/>
              <w:bottom w:val="nil"/>
              <w:right w:val="nil"/>
            </w:tcBorders>
            <w:shd w:val="clear" w:color="auto" w:fill="auto"/>
            <w:noWrap/>
            <w:vAlign w:val="bottom"/>
            <w:hideMark/>
          </w:tcPr>
          <w:p w14:paraId="1B98DF25"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9.5</w:t>
            </w:r>
          </w:p>
        </w:tc>
        <w:tc>
          <w:tcPr>
            <w:tcW w:w="1200" w:type="dxa"/>
            <w:tcBorders>
              <w:top w:val="nil"/>
              <w:left w:val="nil"/>
              <w:bottom w:val="nil"/>
              <w:right w:val="nil"/>
            </w:tcBorders>
            <w:shd w:val="clear" w:color="auto" w:fill="auto"/>
            <w:noWrap/>
            <w:vAlign w:val="bottom"/>
            <w:hideMark/>
          </w:tcPr>
          <w:p w14:paraId="52B55D44"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0.100</w:t>
            </w:r>
          </w:p>
        </w:tc>
        <w:tc>
          <w:tcPr>
            <w:tcW w:w="1290" w:type="dxa"/>
            <w:tcBorders>
              <w:top w:val="nil"/>
              <w:left w:val="nil"/>
              <w:bottom w:val="nil"/>
              <w:right w:val="nil"/>
            </w:tcBorders>
            <w:shd w:val="clear" w:color="auto" w:fill="auto"/>
            <w:noWrap/>
            <w:vAlign w:val="bottom"/>
            <w:hideMark/>
          </w:tcPr>
          <w:p w14:paraId="12C7D6D8"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1.000</w:t>
            </w:r>
          </w:p>
        </w:tc>
      </w:tr>
      <w:tr w:rsidR="00E94DEE" w:rsidRPr="00E94DEE" w14:paraId="7DCE256C" w14:textId="77777777" w:rsidTr="00E94DEE">
        <w:trPr>
          <w:trHeight w:val="290"/>
        </w:trPr>
        <w:tc>
          <w:tcPr>
            <w:tcW w:w="1501" w:type="dxa"/>
            <w:tcBorders>
              <w:top w:val="nil"/>
              <w:left w:val="nil"/>
              <w:bottom w:val="nil"/>
              <w:right w:val="nil"/>
            </w:tcBorders>
            <w:shd w:val="clear" w:color="auto" w:fill="auto"/>
            <w:noWrap/>
            <w:vAlign w:val="bottom"/>
            <w:hideMark/>
          </w:tcPr>
          <w:p w14:paraId="1BB67734"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Customer</w:t>
            </w:r>
          </w:p>
        </w:tc>
        <w:tc>
          <w:tcPr>
            <w:tcW w:w="960" w:type="dxa"/>
            <w:tcBorders>
              <w:top w:val="nil"/>
              <w:left w:val="nil"/>
              <w:bottom w:val="nil"/>
              <w:right w:val="nil"/>
            </w:tcBorders>
            <w:shd w:val="clear" w:color="auto" w:fill="auto"/>
            <w:noWrap/>
            <w:vAlign w:val="bottom"/>
            <w:hideMark/>
          </w:tcPr>
          <w:p w14:paraId="4207BE3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4</w:t>
            </w:r>
          </w:p>
        </w:tc>
        <w:tc>
          <w:tcPr>
            <w:tcW w:w="1437" w:type="dxa"/>
            <w:tcBorders>
              <w:top w:val="nil"/>
              <w:left w:val="nil"/>
              <w:bottom w:val="nil"/>
              <w:right w:val="nil"/>
            </w:tcBorders>
            <w:shd w:val="clear" w:color="auto" w:fill="auto"/>
            <w:noWrap/>
            <w:vAlign w:val="bottom"/>
            <w:hideMark/>
          </w:tcPr>
          <w:p w14:paraId="3E19F46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9.5</w:t>
            </w:r>
          </w:p>
        </w:tc>
        <w:tc>
          <w:tcPr>
            <w:tcW w:w="1200" w:type="dxa"/>
            <w:tcBorders>
              <w:top w:val="nil"/>
              <w:left w:val="nil"/>
              <w:bottom w:val="nil"/>
              <w:right w:val="nil"/>
            </w:tcBorders>
            <w:shd w:val="clear" w:color="auto" w:fill="auto"/>
            <w:noWrap/>
            <w:vAlign w:val="bottom"/>
            <w:hideMark/>
          </w:tcPr>
          <w:p w14:paraId="04C2609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0.100</w:t>
            </w:r>
          </w:p>
        </w:tc>
        <w:tc>
          <w:tcPr>
            <w:tcW w:w="1290" w:type="dxa"/>
            <w:tcBorders>
              <w:top w:val="nil"/>
              <w:left w:val="nil"/>
              <w:bottom w:val="nil"/>
              <w:right w:val="nil"/>
            </w:tcBorders>
            <w:shd w:val="clear" w:color="auto" w:fill="auto"/>
            <w:noWrap/>
            <w:vAlign w:val="bottom"/>
            <w:hideMark/>
          </w:tcPr>
          <w:p w14:paraId="2FFFA79E"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0.495</w:t>
            </w:r>
          </w:p>
        </w:tc>
      </w:tr>
      <w:tr w:rsidR="00E94DEE" w:rsidRPr="00E94DEE" w14:paraId="033FDD1C" w14:textId="77777777" w:rsidTr="00E94DEE">
        <w:trPr>
          <w:trHeight w:val="290"/>
        </w:trPr>
        <w:tc>
          <w:tcPr>
            <w:tcW w:w="1501" w:type="dxa"/>
            <w:tcBorders>
              <w:top w:val="nil"/>
              <w:left w:val="nil"/>
              <w:bottom w:val="nil"/>
              <w:right w:val="nil"/>
            </w:tcBorders>
            <w:shd w:val="clear" w:color="auto" w:fill="auto"/>
            <w:noWrap/>
            <w:vAlign w:val="bottom"/>
            <w:hideMark/>
          </w:tcPr>
          <w:p w14:paraId="687E95F2" w14:textId="212B9B2E"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Local</w:t>
            </w:r>
            <w:r>
              <w:rPr>
                <w:rFonts w:ascii="Aptos Narrow" w:eastAsia="Times New Roman" w:hAnsi="Aptos Narrow" w:cs="Times New Roman"/>
                <w:color w:val="000000"/>
                <w:kern w:val="0"/>
                <w14:ligatures w14:val="none"/>
              </w:rPr>
              <w:t xml:space="preserve"> </w:t>
            </w:r>
            <w:r w:rsidRPr="00E94DEE">
              <w:rPr>
                <w:rFonts w:ascii="Aptos Narrow" w:eastAsia="Times New Roman" w:hAnsi="Aptos Narrow" w:cs="Times New Roman"/>
                <w:color w:val="000000"/>
                <w:kern w:val="0"/>
                <w14:ligatures w14:val="none"/>
              </w:rPr>
              <w:t>markets</w:t>
            </w:r>
          </w:p>
        </w:tc>
        <w:tc>
          <w:tcPr>
            <w:tcW w:w="960" w:type="dxa"/>
            <w:tcBorders>
              <w:top w:val="nil"/>
              <w:left w:val="nil"/>
              <w:bottom w:val="nil"/>
              <w:right w:val="nil"/>
            </w:tcBorders>
            <w:shd w:val="clear" w:color="auto" w:fill="auto"/>
            <w:noWrap/>
            <w:vAlign w:val="bottom"/>
            <w:hideMark/>
          </w:tcPr>
          <w:p w14:paraId="5B4B4C8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72C42BF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2.5</w:t>
            </w:r>
          </w:p>
        </w:tc>
        <w:tc>
          <w:tcPr>
            <w:tcW w:w="1200" w:type="dxa"/>
            <w:tcBorders>
              <w:top w:val="nil"/>
              <w:left w:val="nil"/>
              <w:bottom w:val="nil"/>
              <w:right w:val="nil"/>
            </w:tcBorders>
            <w:shd w:val="clear" w:color="auto" w:fill="auto"/>
            <w:noWrap/>
            <w:vAlign w:val="bottom"/>
            <w:hideMark/>
          </w:tcPr>
          <w:p w14:paraId="6AD86B4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0B98E2C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0.181</w:t>
            </w:r>
          </w:p>
        </w:tc>
      </w:tr>
      <w:tr w:rsidR="00E94DEE" w:rsidRPr="00E94DEE" w14:paraId="5C39CF74" w14:textId="77777777" w:rsidTr="00E94DEE">
        <w:trPr>
          <w:trHeight w:val="290"/>
        </w:trPr>
        <w:tc>
          <w:tcPr>
            <w:tcW w:w="1501" w:type="dxa"/>
            <w:tcBorders>
              <w:top w:val="nil"/>
              <w:left w:val="nil"/>
              <w:bottom w:val="nil"/>
              <w:right w:val="nil"/>
            </w:tcBorders>
            <w:shd w:val="clear" w:color="auto" w:fill="auto"/>
            <w:noWrap/>
            <w:vAlign w:val="bottom"/>
            <w:hideMark/>
          </w:tcPr>
          <w:p w14:paraId="44122A3A"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NGO</w:t>
            </w:r>
          </w:p>
        </w:tc>
        <w:tc>
          <w:tcPr>
            <w:tcW w:w="960" w:type="dxa"/>
            <w:tcBorders>
              <w:top w:val="nil"/>
              <w:left w:val="nil"/>
              <w:bottom w:val="nil"/>
              <w:right w:val="nil"/>
            </w:tcBorders>
            <w:shd w:val="clear" w:color="auto" w:fill="auto"/>
            <w:noWrap/>
            <w:vAlign w:val="bottom"/>
            <w:hideMark/>
          </w:tcPr>
          <w:p w14:paraId="07EACF9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562B6AA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2.5</w:t>
            </w:r>
          </w:p>
        </w:tc>
        <w:tc>
          <w:tcPr>
            <w:tcW w:w="1200" w:type="dxa"/>
            <w:tcBorders>
              <w:top w:val="nil"/>
              <w:left w:val="nil"/>
              <w:bottom w:val="nil"/>
              <w:right w:val="nil"/>
            </w:tcBorders>
            <w:shd w:val="clear" w:color="auto" w:fill="auto"/>
            <w:noWrap/>
            <w:vAlign w:val="bottom"/>
            <w:hideMark/>
          </w:tcPr>
          <w:p w14:paraId="5AA7D12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731087E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0.324</w:t>
            </w:r>
          </w:p>
        </w:tc>
      </w:tr>
      <w:tr w:rsidR="00E94DEE" w:rsidRPr="00E94DEE" w14:paraId="38AC2B48" w14:textId="77777777" w:rsidTr="00E94DEE">
        <w:trPr>
          <w:trHeight w:val="290"/>
        </w:trPr>
        <w:tc>
          <w:tcPr>
            <w:tcW w:w="1501" w:type="dxa"/>
            <w:tcBorders>
              <w:top w:val="nil"/>
              <w:left w:val="nil"/>
              <w:bottom w:val="nil"/>
              <w:right w:val="nil"/>
            </w:tcBorders>
            <w:shd w:val="clear" w:color="auto" w:fill="auto"/>
            <w:noWrap/>
            <w:vAlign w:val="bottom"/>
            <w:hideMark/>
          </w:tcPr>
          <w:p w14:paraId="30D873C7"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Restaurants</w:t>
            </w:r>
          </w:p>
        </w:tc>
        <w:tc>
          <w:tcPr>
            <w:tcW w:w="960" w:type="dxa"/>
            <w:tcBorders>
              <w:top w:val="nil"/>
              <w:left w:val="nil"/>
              <w:bottom w:val="nil"/>
              <w:right w:val="nil"/>
            </w:tcBorders>
            <w:shd w:val="clear" w:color="auto" w:fill="auto"/>
            <w:noWrap/>
            <w:vAlign w:val="bottom"/>
            <w:hideMark/>
          </w:tcPr>
          <w:p w14:paraId="7ADE5C9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3F9277F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nil"/>
              <w:right w:val="nil"/>
            </w:tcBorders>
            <w:shd w:val="clear" w:color="auto" w:fill="auto"/>
            <w:noWrap/>
            <w:vAlign w:val="bottom"/>
            <w:hideMark/>
          </w:tcPr>
          <w:p w14:paraId="71108B8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22C69E1B"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0.424</w:t>
            </w:r>
          </w:p>
        </w:tc>
      </w:tr>
      <w:tr w:rsidR="00E94DEE" w:rsidRPr="00E94DEE" w14:paraId="145708BC" w14:textId="77777777" w:rsidTr="00E94DEE">
        <w:trPr>
          <w:trHeight w:val="290"/>
        </w:trPr>
        <w:tc>
          <w:tcPr>
            <w:tcW w:w="1501" w:type="dxa"/>
            <w:tcBorders>
              <w:top w:val="nil"/>
              <w:left w:val="nil"/>
              <w:bottom w:val="nil"/>
              <w:right w:val="nil"/>
            </w:tcBorders>
            <w:shd w:val="clear" w:color="auto" w:fill="auto"/>
            <w:noWrap/>
            <w:vAlign w:val="bottom"/>
            <w:hideMark/>
          </w:tcPr>
          <w:p w14:paraId="400528D8"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Wholesaler</w:t>
            </w:r>
          </w:p>
        </w:tc>
        <w:tc>
          <w:tcPr>
            <w:tcW w:w="960" w:type="dxa"/>
            <w:tcBorders>
              <w:top w:val="nil"/>
              <w:left w:val="nil"/>
              <w:bottom w:val="nil"/>
              <w:right w:val="nil"/>
            </w:tcBorders>
            <w:shd w:val="clear" w:color="auto" w:fill="auto"/>
            <w:noWrap/>
            <w:vAlign w:val="bottom"/>
            <w:hideMark/>
          </w:tcPr>
          <w:p w14:paraId="20FCCF7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1DAF0E4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200" w:type="dxa"/>
            <w:tcBorders>
              <w:top w:val="nil"/>
              <w:left w:val="nil"/>
              <w:bottom w:val="nil"/>
              <w:right w:val="nil"/>
            </w:tcBorders>
            <w:shd w:val="clear" w:color="auto" w:fill="auto"/>
            <w:noWrap/>
            <w:vAlign w:val="bottom"/>
            <w:hideMark/>
          </w:tcPr>
          <w:p w14:paraId="5FC26BD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0.067</w:t>
            </w:r>
          </w:p>
        </w:tc>
        <w:tc>
          <w:tcPr>
            <w:tcW w:w="1290" w:type="dxa"/>
            <w:tcBorders>
              <w:top w:val="nil"/>
              <w:left w:val="nil"/>
              <w:bottom w:val="nil"/>
              <w:right w:val="nil"/>
            </w:tcBorders>
            <w:shd w:val="clear" w:color="auto" w:fill="auto"/>
            <w:noWrap/>
            <w:vAlign w:val="bottom"/>
            <w:hideMark/>
          </w:tcPr>
          <w:p w14:paraId="40AEFE1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0.143</w:t>
            </w:r>
          </w:p>
        </w:tc>
      </w:tr>
      <w:tr w:rsidR="00E94DEE" w:rsidRPr="00E94DEE" w14:paraId="6545637A" w14:textId="77777777" w:rsidTr="00E94DEE">
        <w:trPr>
          <w:trHeight w:val="290"/>
        </w:trPr>
        <w:tc>
          <w:tcPr>
            <w:tcW w:w="1501" w:type="dxa"/>
            <w:tcBorders>
              <w:top w:val="nil"/>
              <w:left w:val="nil"/>
              <w:bottom w:val="nil"/>
              <w:right w:val="nil"/>
            </w:tcBorders>
            <w:shd w:val="clear" w:color="auto" w:fill="auto"/>
            <w:noWrap/>
            <w:vAlign w:val="bottom"/>
            <w:hideMark/>
          </w:tcPr>
          <w:p w14:paraId="69F6CD3D"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Cooperative</w:t>
            </w:r>
          </w:p>
        </w:tc>
        <w:tc>
          <w:tcPr>
            <w:tcW w:w="960" w:type="dxa"/>
            <w:tcBorders>
              <w:top w:val="nil"/>
              <w:left w:val="nil"/>
              <w:bottom w:val="nil"/>
              <w:right w:val="nil"/>
            </w:tcBorders>
            <w:shd w:val="clear" w:color="auto" w:fill="auto"/>
            <w:noWrap/>
            <w:vAlign w:val="bottom"/>
            <w:hideMark/>
          </w:tcPr>
          <w:p w14:paraId="3C2C9F2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437" w:type="dxa"/>
            <w:tcBorders>
              <w:top w:val="nil"/>
              <w:left w:val="nil"/>
              <w:bottom w:val="nil"/>
              <w:right w:val="nil"/>
            </w:tcBorders>
            <w:shd w:val="clear" w:color="auto" w:fill="auto"/>
            <w:noWrap/>
            <w:vAlign w:val="bottom"/>
            <w:hideMark/>
          </w:tcPr>
          <w:p w14:paraId="16E2C75B"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nil"/>
              <w:right w:val="nil"/>
            </w:tcBorders>
            <w:shd w:val="clear" w:color="auto" w:fill="auto"/>
            <w:noWrap/>
            <w:vAlign w:val="bottom"/>
            <w:hideMark/>
          </w:tcPr>
          <w:p w14:paraId="1506B146"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0.063</w:t>
            </w:r>
          </w:p>
        </w:tc>
        <w:tc>
          <w:tcPr>
            <w:tcW w:w="1290" w:type="dxa"/>
            <w:tcBorders>
              <w:top w:val="nil"/>
              <w:left w:val="nil"/>
              <w:bottom w:val="nil"/>
              <w:right w:val="nil"/>
            </w:tcBorders>
            <w:shd w:val="clear" w:color="auto" w:fill="auto"/>
            <w:noWrap/>
            <w:vAlign w:val="bottom"/>
            <w:hideMark/>
          </w:tcPr>
          <w:p w14:paraId="3CCB7B4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0.284</w:t>
            </w:r>
          </w:p>
        </w:tc>
      </w:tr>
      <w:tr w:rsidR="00E94DEE" w:rsidRPr="00E94DEE" w14:paraId="7B577520" w14:textId="77777777" w:rsidTr="00E94DEE">
        <w:trPr>
          <w:trHeight w:val="290"/>
        </w:trPr>
        <w:tc>
          <w:tcPr>
            <w:tcW w:w="1501" w:type="dxa"/>
            <w:tcBorders>
              <w:top w:val="nil"/>
              <w:left w:val="nil"/>
              <w:bottom w:val="single" w:sz="4" w:space="0" w:color="auto"/>
              <w:right w:val="nil"/>
            </w:tcBorders>
            <w:shd w:val="clear" w:color="auto" w:fill="auto"/>
            <w:noWrap/>
            <w:vAlign w:val="bottom"/>
            <w:hideMark/>
          </w:tcPr>
          <w:p w14:paraId="320635DC"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Supermarkets</w:t>
            </w:r>
          </w:p>
        </w:tc>
        <w:tc>
          <w:tcPr>
            <w:tcW w:w="960" w:type="dxa"/>
            <w:tcBorders>
              <w:top w:val="nil"/>
              <w:left w:val="nil"/>
              <w:bottom w:val="single" w:sz="4" w:space="0" w:color="auto"/>
              <w:right w:val="nil"/>
            </w:tcBorders>
            <w:shd w:val="clear" w:color="auto" w:fill="auto"/>
            <w:noWrap/>
            <w:vAlign w:val="bottom"/>
            <w:hideMark/>
          </w:tcPr>
          <w:p w14:paraId="334CFA0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437" w:type="dxa"/>
            <w:tcBorders>
              <w:top w:val="nil"/>
              <w:left w:val="nil"/>
              <w:bottom w:val="single" w:sz="4" w:space="0" w:color="auto"/>
              <w:right w:val="nil"/>
            </w:tcBorders>
            <w:shd w:val="clear" w:color="auto" w:fill="auto"/>
            <w:noWrap/>
            <w:vAlign w:val="bottom"/>
            <w:hideMark/>
          </w:tcPr>
          <w:p w14:paraId="2B20FF31"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single" w:sz="4" w:space="0" w:color="auto"/>
              <w:right w:val="nil"/>
            </w:tcBorders>
            <w:shd w:val="clear" w:color="auto" w:fill="auto"/>
            <w:noWrap/>
            <w:vAlign w:val="bottom"/>
            <w:hideMark/>
          </w:tcPr>
          <w:p w14:paraId="2BEABF1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0.063</w:t>
            </w:r>
          </w:p>
        </w:tc>
        <w:tc>
          <w:tcPr>
            <w:tcW w:w="1290" w:type="dxa"/>
            <w:tcBorders>
              <w:top w:val="nil"/>
              <w:left w:val="nil"/>
              <w:bottom w:val="single" w:sz="4" w:space="0" w:color="auto"/>
              <w:right w:val="nil"/>
            </w:tcBorders>
            <w:shd w:val="clear" w:color="auto" w:fill="auto"/>
            <w:noWrap/>
            <w:vAlign w:val="bottom"/>
            <w:hideMark/>
          </w:tcPr>
          <w:p w14:paraId="67B08E7E"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0.140</w:t>
            </w:r>
          </w:p>
        </w:tc>
      </w:tr>
    </w:tbl>
    <w:p w14:paraId="4E5BB828" w14:textId="77777777" w:rsidR="00E94DEE" w:rsidRDefault="00E94DEE" w:rsidP="00FA2A0E"/>
    <w:p w14:paraId="1FF6158D" w14:textId="56C74FDB" w:rsidR="006A1F03" w:rsidRDefault="00382F50" w:rsidP="00144DE2">
      <w:pPr>
        <w:jc w:val="both"/>
      </w:pPr>
      <w:r w:rsidRPr="00382F50">
        <w:t>While there is a direct, relatively strong link between local consumers and fishers</w:t>
      </w:r>
      <w:r>
        <w:t xml:space="preserve"> (</w:t>
      </w:r>
      <w:r w:rsidR="006A1F03">
        <w:fldChar w:fldCharType="begin"/>
      </w:r>
      <w:r w:rsidR="006A1F03">
        <w:instrText xml:space="preserve"> REF _Ref181554978 \h </w:instrText>
      </w:r>
      <w:r w:rsidR="00144DE2">
        <w:instrText xml:space="preserve"> \* MERGEFORMAT </w:instrText>
      </w:r>
      <w:r w:rsidR="006A1F03">
        <w:fldChar w:fldCharType="separate"/>
      </w:r>
      <w:r w:rsidR="006A1F03">
        <w:t xml:space="preserve">Figure </w:t>
      </w:r>
      <w:r w:rsidR="006A1F03">
        <w:rPr>
          <w:noProof/>
        </w:rPr>
        <w:t>12</w:t>
      </w:r>
      <w:r w:rsidR="006A1F03">
        <w:fldChar w:fldCharType="end"/>
      </w:r>
      <w:r>
        <w:t>)</w:t>
      </w:r>
      <w:r w:rsidRPr="00382F50">
        <w:t xml:space="preserve">, the low monthly seafood consumption per household limits fishers' ability to depend solely on this market. </w:t>
      </w:r>
    </w:p>
    <w:p w14:paraId="6C61E88B" w14:textId="77777777" w:rsidR="006A1F03" w:rsidRDefault="00382F50" w:rsidP="00144DE2">
      <w:pPr>
        <w:jc w:val="both"/>
      </w:pPr>
      <w:r w:rsidRPr="00382F50">
        <w:t xml:space="preserve">Cooperatives, despite their dominance in the export market, play a secondary role in the domestic market, purchasing only a limited number of species at lower prices. To enhance fisher livelihoods, increasing domestic seafood consumption is essential. </w:t>
      </w:r>
    </w:p>
    <w:p w14:paraId="71567BB5" w14:textId="77777777" w:rsidR="006A1F03" w:rsidRDefault="00382F50" w:rsidP="00144DE2">
      <w:pPr>
        <w:jc w:val="both"/>
      </w:pPr>
      <w:r w:rsidRPr="00382F50">
        <w:t xml:space="preserve">NGOs and academia can facilitate connections between various sectors, promoting responsible consumption and expanding sales opportunities for fishers. </w:t>
      </w:r>
    </w:p>
    <w:p w14:paraId="54937C01" w14:textId="48006886" w:rsidR="00F41C7A" w:rsidRDefault="00382F50" w:rsidP="00144DE2">
      <w:pPr>
        <w:jc w:val="both"/>
      </w:pPr>
      <w:r w:rsidRPr="00382F50">
        <w:t xml:space="preserve">Restaurants, though with lower centrality, play a pivotal role due to their direct interactions with fishers and consumers. By offering competitive prices and a diverse range of seafood, restaurants </w:t>
      </w:r>
      <w:r w:rsidR="006A1F03">
        <w:t>are</w:t>
      </w:r>
      <w:r w:rsidRPr="00382F50">
        <w:t xml:space="preserve"> preferred buyers, reducing intermediaries and improving fisher profitability.</w:t>
      </w:r>
      <w:r w:rsidR="006A1F03">
        <w:t xml:space="preserve"> However, their capacity to buy majority of fish production is linked to the tourism season.</w:t>
      </w:r>
    </w:p>
    <w:p w14:paraId="7DDC1E95" w14:textId="69A23EE6" w:rsidR="00144DE2" w:rsidRDefault="00144DE2" w:rsidP="00144DE2">
      <w:pPr>
        <w:jc w:val="both"/>
      </w:pPr>
      <w:r>
        <w:lastRenderedPageBreak/>
        <w:t>The lobster fishery follows the same interactions patterns described before with the aggregate network</w:t>
      </w:r>
      <w:r w:rsidR="00AE6A53">
        <w:t xml:space="preserve">. </w:t>
      </w:r>
    </w:p>
    <w:p w14:paraId="3D8A99C2" w14:textId="77777777" w:rsidR="00C71257" w:rsidRPr="00C71257" w:rsidRDefault="00C71257" w:rsidP="00C71257">
      <w:pPr>
        <w:jc w:val="both"/>
      </w:pPr>
      <w:r w:rsidRPr="00C71257">
        <w:t xml:space="preserve">Increased fish abundance, resulting from nature-based solutions, has the potential to enhance fisher catches. This could </w:t>
      </w:r>
      <w:proofErr w:type="gramStart"/>
      <w:r w:rsidRPr="00C71257">
        <w:t>manifest as</w:t>
      </w:r>
      <w:proofErr w:type="gramEnd"/>
      <w:r w:rsidRPr="00C71257">
        <w:t xml:space="preserve"> larger catches, larger individuals commanding higher market prices, or a greater diversity of species to exploit, thereby distributing fishing effort and reducing the risk of overexploitation of highly demanded species. However, to translate these increased catches into improved livelihoods, a fair and equitable market for multi-species catches must be ensured year-round. Currently, fishers heavily rely on sales to restaurants during peak tourist seasons, receiving high prices for all captured species. When restaurants are not purchasing, fishers turn to cooperatives, selling only lobster and queen conch at lower prices, impacting their earnings.</w:t>
      </w:r>
    </w:p>
    <w:p w14:paraId="09397BED" w14:textId="77777777" w:rsidR="00C71257" w:rsidRPr="00C71257" w:rsidRDefault="00C71257" w:rsidP="00C71257">
      <w:pPr>
        <w:jc w:val="both"/>
      </w:pPr>
      <w:r w:rsidRPr="00C71257">
        <w:t>Other factors to consider include the misalignment between the lobster fishing season and the tourist season. This mismatch often results in selling larger initial catches to cooperatives at lower prices, as storage is prohibited.</w:t>
      </w:r>
    </w:p>
    <w:p w14:paraId="006BD677" w14:textId="7A88772F" w:rsidR="00AE6A53" w:rsidRPr="00C71257" w:rsidRDefault="00C71257" w:rsidP="00144DE2">
      <w:pPr>
        <w:jc w:val="both"/>
      </w:pPr>
      <w:r w:rsidRPr="00C71257">
        <w:t>To enhance fisher resilience and incomes, leveraging the strong relationship between local consumers and fishers is promising. Yet, low local seafood consumption hinders this potential. A coordinated effort to increase seafood consumption can not only boost fisher incomes but also improve household nutritional security and reduce the environmental impact of other protein sources like beef, pork, and chicken, particularly in island communities like Caye Caulker.</w:t>
      </w:r>
    </w:p>
    <w:sectPr w:rsidR="00AE6A53" w:rsidRPr="00C71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B5696"/>
    <w:multiLevelType w:val="hybridMultilevel"/>
    <w:tmpl w:val="0E146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B2E55"/>
    <w:multiLevelType w:val="hybridMultilevel"/>
    <w:tmpl w:val="44EA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A6255"/>
    <w:multiLevelType w:val="multilevel"/>
    <w:tmpl w:val="5A2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A0485"/>
    <w:multiLevelType w:val="multilevel"/>
    <w:tmpl w:val="365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370F9"/>
    <w:multiLevelType w:val="hybridMultilevel"/>
    <w:tmpl w:val="B9DA5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73581"/>
    <w:multiLevelType w:val="hybridMultilevel"/>
    <w:tmpl w:val="3146A2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7A77C3A"/>
    <w:multiLevelType w:val="multilevel"/>
    <w:tmpl w:val="07BC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407EB"/>
    <w:multiLevelType w:val="multilevel"/>
    <w:tmpl w:val="C1D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1638B"/>
    <w:multiLevelType w:val="multilevel"/>
    <w:tmpl w:val="0C80E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1265CB"/>
    <w:multiLevelType w:val="multilevel"/>
    <w:tmpl w:val="CE3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55B73"/>
    <w:multiLevelType w:val="multilevel"/>
    <w:tmpl w:val="293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3AB3"/>
    <w:multiLevelType w:val="hybridMultilevel"/>
    <w:tmpl w:val="2628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06BC0"/>
    <w:multiLevelType w:val="multilevel"/>
    <w:tmpl w:val="CC8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E72B6"/>
    <w:multiLevelType w:val="multilevel"/>
    <w:tmpl w:val="FEB2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D10BF"/>
    <w:multiLevelType w:val="multilevel"/>
    <w:tmpl w:val="451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A4FCD"/>
    <w:multiLevelType w:val="hybridMultilevel"/>
    <w:tmpl w:val="816A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0732">
    <w:abstractNumId w:val="14"/>
  </w:num>
  <w:num w:numId="2" w16cid:durableId="250773114">
    <w:abstractNumId w:val="10"/>
  </w:num>
  <w:num w:numId="3" w16cid:durableId="1950627285">
    <w:abstractNumId w:val="8"/>
  </w:num>
  <w:num w:numId="4" w16cid:durableId="316302158">
    <w:abstractNumId w:val="15"/>
  </w:num>
  <w:num w:numId="5" w16cid:durableId="1361934463">
    <w:abstractNumId w:val="11"/>
  </w:num>
  <w:num w:numId="6" w16cid:durableId="19598374">
    <w:abstractNumId w:val="4"/>
  </w:num>
  <w:num w:numId="7" w16cid:durableId="175966251">
    <w:abstractNumId w:val="1"/>
  </w:num>
  <w:num w:numId="8" w16cid:durableId="1282611755">
    <w:abstractNumId w:val="5"/>
  </w:num>
  <w:num w:numId="9" w16cid:durableId="1717460758">
    <w:abstractNumId w:val="7"/>
  </w:num>
  <w:num w:numId="10" w16cid:durableId="1546600593">
    <w:abstractNumId w:val="3"/>
  </w:num>
  <w:num w:numId="11" w16cid:durableId="604339682">
    <w:abstractNumId w:val="0"/>
  </w:num>
  <w:num w:numId="12" w16cid:durableId="172886294">
    <w:abstractNumId w:val="12"/>
  </w:num>
  <w:num w:numId="13" w16cid:durableId="2071419315">
    <w:abstractNumId w:val="9"/>
  </w:num>
  <w:num w:numId="14" w16cid:durableId="414859829">
    <w:abstractNumId w:val="13"/>
  </w:num>
  <w:num w:numId="15" w16cid:durableId="2031374607">
    <w:abstractNumId w:val="2"/>
  </w:num>
  <w:num w:numId="16" w16cid:durableId="867335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A0"/>
    <w:rsid w:val="00000F1E"/>
    <w:rsid w:val="00003F26"/>
    <w:rsid w:val="000130E3"/>
    <w:rsid w:val="00037019"/>
    <w:rsid w:val="000421E2"/>
    <w:rsid w:val="000F0C49"/>
    <w:rsid w:val="001330E5"/>
    <w:rsid w:val="0014485F"/>
    <w:rsid w:val="00144DE2"/>
    <w:rsid w:val="00167592"/>
    <w:rsid w:val="00171D1D"/>
    <w:rsid w:val="001A3271"/>
    <w:rsid w:val="001A74C6"/>
    <w:rsid w:val="001E5AA9"/>
    <w:rsid w:val="0021403B"/>
    <w:rsid w:val="0022612B"/>
    <w:rsid w:val="002376FB"/>
    <w:rsid w:val="002521BD"/>
    <w:rsid w:val="002C3CE8"/>
    <w:rsid w:val="003141E7"/>
    <w:rsid w:val="00326786"/>
    <w:rsid w:val="0033430A"/>
    <w:rsid w:val="003347D7"/>
    <w:rsid w:val="00382F50"/>
    <w:rsid w:val="00392B9B"/>
    <w:rsid w:val="003C4424"/>
    <w:rsid w:val="003C6C6B"/>
    <w:rsid w:val="003E4613"/>
    <w:rsid w:val="003F56E3"/>
    <w:rsid w:val="00415EDA"/>
    <w:rsid w:val="00436C63"/>
    <w:rsid w:val="004421FB"/>
    <w:rsid w:val="00453D7B"/>
    <w:rsid w:val="00461396"/>
    <w:rsid w:val="00472085"/>
    <w:rsid w:val="00474587"/>
    <w:rsid w:val="004C00BB"/>
    <w:rsid w:val="004E11E8"/>
    <w:rsid w:val="004E3A09"/>
    <w:rsid w:val="005316BB"/>
    <w:rsid w:val="005401A6"/>
    <w:rsid w:val="005425EB"/>
    <w:rsid w:val="00546571"/>
    <w:rsid w:val="005A121A"/>
    <w:rsid w:val="005D427C"/>
    <w:rsid w:val="005E1D35"/>
    <w:rsid w:val="005E23D7"/>
    <w:rsid w:val="00606310"/>
    <w:rsid w:val="00633746"/>
    <w:rsid w:val="00634A17"/>
    <w:rsid w:val="0064685C"/>
    <w:rsid w:val="006A1F03"/>
    <w:rsid w:val="006E4FA3"/>
    <w:rsid w:val="006E7C57"/>
    <w:rsid w:val="006F169E"/>
    <w:rsid w:val="006F246B"/>
    <w:rsid w:val="006F3D60"/>
    <w:rsid w:val="006F65BE"/>
    <w:rsid w:val="007065A4"/>
    <w:rsid w:val="00711440"/>
    <w:rsid w:val="00711808"/>
    <w:rsid w:val="007350B1"/>
    <w:rsid w:val="007909C4"/>
    <w:rsid w:val="00801579"/>
    <w:rsid w:val="00804A3D"/>
    <w:rsid w:val="00810B29"/>
    <w:rsid w:val="00824263"/>
    <w:rsid w:val="008406EF"/>
    <w:rsid w:val="008542F1"/>
    <w:rsid w:val="00893836"/>
    <w:rsid w:val="008943BC"/>
    <w:rsid w:val="008B0631"/>
    <w:rsid w:val="008B594E"/>
    <w:rsid w:val="00904786"/>
    <w:rsid w:val="00940F78"/>
    <w:rsid w:val="00983452"/>
    <w:rsid w:val="009A1841"/>
    <w:rsid w:val="009A5DCA"/>
    <w:rsid w:val="009C7D2C"/>
    <w:rsid w:val="009E51CC"/>
    <w:rsid w:val="009F54B7"/>
    <w:rsid w:val="00A02EF2"/>
    <w:rsid w:val="00A10E49"/>
    <w:rsid w:val="00A34ECE"/>
    <w:rsid w:val="00A369AA"/>
    <w:rsid w:val="00A60A18"/>
    <w:rsid w:val="00A67ED4"/>
    <w:rsid w:val="00A75FF8"/>
    <w:rsid w:val="00A96EAC"/>
    <w:rsid w:val="00AE5EB8"/>
    <w:rsid w:val="00AE605C"/>
    <w:rsid w:val="00AE6A53"/>
    <w:rsid w:val="00AF6112"/>
    <w:rsid w:val="00B249F5"/>
    <w:rsid w:val="00B44588"/>
    <w:rsid w:val="00B53C84"/>
    <w:rsid w:val="00BA3B23"/>
    <w:rsid w:val="00BB15E8"/>
    <w:rsid w:val="00BC1892"/>
    <w:rsid w:val="00BD50C7"/>
    <w:rsid w:val="00C133F0"/>
    <w:rsid w:val="00C330D2"/>
    <w:rsid w:val="00C71257"/>
    <w:rsid w:val="00CE4250"/>
    <w:rsid w:val="00CE7444"/>
    <w:rsid w:val="00D17355"/>
    <w:rsid w:val="00D52E4F"/>
    <w:rsid w:val="00D54963"/>
    <w:rsid w:val="00D55CB2"/>
    <w:rsid w:val="00D74FCF"/>
    <w:rsid w:val="00D75EC9"/>
    <w:rsid w:val="00D8721C"/>
    <w:rsid w:val="00DA2D7C"/>
    <w:rsid w:val="00E02F20"/>
    <w:rsid w:val="00E45E48"/>
    <w:rsid w:val="00E828AB"/>
    <w:rsid w:val="00E94DEE"/>
    <w:rsid w:val="00EA08A0"/>
    <w:rsid w:val="00EB7C33"/>
    <w:rsid w:val="00EE7A85"/>
    <w:rsid w:val="00EF3A96"/>
    <w:rsid w:val="00F1058D"/>
    <w:rsid w:val="00F41C7A"/>
    <w:rsid w:val="00F75209"/>
    <w:rsid w:val="00F92239"/>
    <w:rsid w:val="00FA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BA76"/>
  <w15:chartTrackingRefBased/>
  <w15:docId w15:val="{E2FBD1AE-C49C-4308-8698-0E653D4D8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0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0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8A0"/>
    <w:rPr>
      <w:rFonts w:eastAsiaTheme="majorEastAsia" w:cstheme="majorBidi"/>
      <w:color w:val="272727" w:themeColor="text1" w:themeTint="D8"/>
    </w:rPr>
  </w:style>
  <w:style w:type="paragraph" w:styleId="Title">
    <w:name w:val="Title"/>
    <w:basedOn w:val="Normal"/>
    <w:next w:val="Normal"/>
    <w:link w:val="TitleChar"/>
    <w:uiPriority w:val="10"/>
    <w:qFormat/>
    <w:rsid w:val="00EA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8A0"/>
    <w:pPr>
      <w:spacing w:before="160"/>
      <w:jc w:val="center"/>
    </w:pPr>
    <w:rPr>
      <w:i/>
      <w:iCs/>
      <w:color w:val="404040" w:themeColor="text1" w:themeTint="BF"/>
    </w:rPr>
  </w:style>
  <w:style w:type="character" w:customStyle="1" w:styleId="QuoteChar">
    <w:name w:val="Quote Char"/>
    <w:basedOn w:val="DefaultParagraphFont"/>
    <w:link w:val="Quote"/>
    <w:uiPriority w:val="29"/>
    <w:rsid w:val="00EA08A0"/>
    <w:rPr>
      <w:i/>
      <w:iCs/>
      <w:color w:val="404040" w:themeColor="text1" w:themeTint="BF"/>
    </w:rPr>
  </w:style>
  <w:style w:type="paragraph" w:styleId="ListParagraph">
    <w:name w:val="List Paragraph"/>
    <w:basedOn w:val="Normal"/>
    <w:uiPriority w:val="34"/>
    <w:qFormat/>
    <w:rsid w:val="00EA08A0"/>
    <w:pPr>
      <w:ind w:left="720"/>
      <w:contextualSpacing/>
    </w:pPr>
  </w:style>
  <w:style w:type="character" w:styleId="IntenseEmphasis">
    <w:name w:val="Intense Emphasis"/>
    <w:basedOn w:val="DefaultParagraphFont"/>
    <w:uiPriority w:val="21"/>
    <w:qFormat/>
    <w:rsid w:val="00EA08A0"/>
    <w:rPr>
      <w:i/>
      <w:iCs/>
      <w:color w:val="0F4761" w:themeColor="accent1" w:themeShade="BF"/>
    </w:rPr>
  </w:style>
  <w:style w:type="paragraph" w:styleId="IntenseQuote">
    <w:name w:val="Intense Quote"/>
    <w:basedOn w:val="Normal"/>
    <w:next w:val="Normal"/>
    <w:link w:val="IntenseQuoteChar"/>
    <w:uiPriority w:val="30"/>
    <w:qFormat/>
    <w:rsid w:val="00EA0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8A0"/>
    <w:rPr>
      <w:i/>
      <w:iCs/>
      <w:color w:val="0F4761" w:themeColor="accent1" w:themeShade="BF"/>
    </w:rPr>
  </w:style>
  <w:style w:type="character" w:styleId="IntenseReference">
    <w:name w:val="Intense Reference"/>
    <w:basedOn w:val="DefaultParagraphFont"/>
    <w:uiPriority w:val="32"/>
    <w:qFormat/>
    <w:rsid w:val="00EA08A0"/>
    <w:rPr>
      <w:b/>
      <w:bCs/>
      <w:smallCaps/>
      <w:color w:val="0F4761" w:themeColor="accent1" w:themeShade="BF"/>
      <w:spacing w:val="5"/>
    </w:rPr>
  </w:style>
  <w:style w:type="paragraph" w:styleId="NoSpacing">
    <w:name w:val="No Spacing"/>
    <w:uiPriority w:val="1"/>
    <w:qFormat/>
    <w:rsid w:val="00EA08A0"/>
    <w:pPr>
      <w:spacing w:after="0" w:line="240" w:lineRule="auto"/>
    </w:pPr>
  </w:style>
  <w:style w:type="paragraph" w:styleId="Caption">
    <w:name w:val="caption"/>
    <w:basedOn w:val="Normal"/>
    <w:next w:val="Normal"/>
    <w:uiPriority w:val="35"/>
    <w:unhideWhenUsed/>
    <w:qFormat/>
    <w:rsid w:val="000F0C49"/>
    <w:pPr>
      <w:spacing w:after="200" w:line="240" w:lineRule="auto"/>
    </w:pPr>
    <w:rPr>
      <w:i/>
      <w:iCs/>
      <w:color w:val="0E2841" w:themeColor="text2"/>
      <w:sz w:val="18"/>
      <w:szCs w:val="18"/>
    </w:rPr>
  </w:style>
  <w:style w:type="paragraph" w:styleId="NormalWeb">
    <w:name w:val="Normal (Web)"/>
    <w:basedOn w:val="Normal"/>
    <w:uiPriority w:val="99"/>
    <w:unhideWhenUsed/>
    <w:rsid w:val="00DA2D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A2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4528">
      <w:bodyDiv w:val="1"/>
      <w:marLeft w:val="0"/>
      <w:marRight w:val="0"/>
      <w:marTop w:val="0"/>
      <w:marBottom w:val="0"/>
      <w:divBdr>
        <w:top w:val="none" w:sz="0" w:space="0" w:color="auto"/>
        <w:left w:val="none" w:sz="0" w:space="0" w:color="auto"/>
        <w:bottom w:val="none" w:sz="0" w:space="0" w:color="auto"/>
        <w:right w:val="none" w:sz="0" w:space="0" w:color="auto"/>
      </w:divBdr>
    </w:div>
    <w:div w:id="27295044">
      <w:bodyDiv w:val="1"/>
      <w:marLeft w:val="0"/>
      <w:marRight w:val="0"/>
      <w:marTop w:val="0"/>
      <w:marBottom w:val="0"/>
      <w:divBdr>
        <w:top w:val="none" w:sz="0" w:space="0" w:color="auto"/>
        <w:left w:val="none" w:sz="0" w:space="0" w:color="auto"/>
        <w:bottom w:val="none" w:sz="0" w:space="0" w:color="auto"/>
        <w:right w:val="none" w:sz="0" w:space="0" w:color="auto"/>
      </w:divBdr>
    </w:div>
    <w:div w:id="29574838">
      <w:bodyDiv w:val="1"/>
      <w:marLeft w:val="0"/>
      <w:marRight w:val="0"/>
      <w:marTop w:val="0"/>
      <w:marBottom w:val="0"/>
      <w:divBdr>
        <w:top w:val="none" w:sz="0" w:space="0" w:color="auto"/>
        <w:left w:val="none" w:sz="0" w:space="0" w:color="auto"/>
        <w:bottom w:val="none" w:sz="0" w:space="0" w:color="auto"/>
        <w:right w:val="none" w:sz="0" w:space="0" w:color="auto"/>
      </w:divBdr>
    </w:div>
    <w:div w:id="65957666">
      <w:bodyDiv w:val="1"/>
      <w:marLeft w:val="0"/>
      <w:marRight w:val="0"/>
      <w:marTop w:val="0"/>
      <w:marBottom w:val="0"/>
      <w:divBdr>
        <w:top w:val="none" w:sz="0" w:space="0" w:color="auto"/>
        <w:left w:val="none" w:sz="0" w:space="0" w:color="auto"/>
        <w:bottom w:val="none" w:sz="0" w:space="0" w:color="auto"/>
        <w:right w:val="none" w:sz="0" w:space="0" w:color="auto"/>
      </w:divBdr>
    </w:div>
    <w:div w:id="68815242">
      <w:bodyDiv w:val="1"/>
      <w:marLeft w:val="0"/>
      <w:marRight w:val="0"/>
      <w:marTop w:val="0"/>
      <w:marBottom w:val="0"/>
      <w:divBdr>
        <w:top w:val="none" w:sz="0" w:space="0" w:color="auto"/>
        <w:left w:val="none" w:sz="0" w:space="0" w:color="auto"/>
        <w:bottom w:val="none" w:sz="0" w:space="0" w:color="auto"/>
        <w:right w:val="none" w:sz="0" w:space="0" w:color="auto"/>
      </w:divBdr>
    </w:div>
    <w:div w:id="108550114">
      <w:bodyDiv w:val="1"/>
      <w:marLeft w:val="0"/>
      <w:marRight w:val="0"/>
      <w:marTop w:val="0"/>
      <w:marBottom w:val="0"/>
      <w:divBdr>
        <w:top w:val="none" w:sz="0" w:space="0" w:color="auto"/>
        <w:left w:val="none" w:sz="0" w:space="0" w:color="auto"/>
        <w:bottom w:val="none" w:sz="0" w:space="0" w:color="auto"/>
        <w:right w:val="none" w:sz="0" w:space="0" w:color="auto"/>
      </w:divBdr>
    </w:div>
    <w:div w:id="118493582">
      <w:bodyDiv w:val="1"/>
      <w:marLeft w:val="0"/>
      <w:marRight w:val="0"/>
      <w:marTop w:val="0"/>
      <w:marBottom w:val="0"/>
      <w:divBdr>
        <w:top w:val="none" w:sz="0" w:space="0" w:color="auto"/>
        <w:left w:val="none" w:sz="0" w:space="0" w:color="auto"/>
        <w:bottom w:val="none" w:sz="0" w:space="0" w:color="auto"/>
        <w:right w:val="none" w:sz="0" w:space="0" w:color="auto"/>
      </w:divBdr>
    </w:div>
    <w:div w:id="141167789">
      <w:bodyDiv w:val="1"/>
      <w:marLeft w:val="0"/>
      <w:marRight w:val="0"/>
      <w:marTop w:val="0"/>
      <w:marBottom w:val="0"/>
      <w:divBdr>
        <w:top w:val="none" w:sz="0" w:space="0" w:color="auto"/>
        <w:left w:val="none" w:sz="0" w:space="0" w:color="auto"/>
        <w:bottom w:val="none" w:sz="0" w:space="0" w:color="auto"/>
        <w:right w:val="none" w:sz="0" w:space="0" w:color="auto"/>
      </w:divBdr>
    </w:div>
    <w:div w:id="244415471">
      <w:bodyDiv w:val="1"/>
      <w:marLeft w:val="0"/>
      <w:marRight w:val="0"/>
      <w:marTop w:val="0"/>
      <w:marBottom w:val="0"/>
      <w:divBdr>
        <w:top w:val="none" w:sz="0" w:space="0" w:color="auto"/>
        <w:left w:val="none" w:sz="0" w:space="0" w:color="auto"/>
        <w:bottom w:val="none" w:sz="0" w:space="0" w:color="auto"/>
        <w:right w:val="none" w:sz="0" w:space="0" w:color="auto"/>
      </w:divBdr>
    </w:div>
    <w:div w:id="346323219">
      <w:bodyDiv w:val="1"/>
      <w:marLeft w:val="0"/>
      <w:marRight w:val="0"/>
      <w:marTop w:val="0"/>
      <w:marBottom w:val="0"/>
      <w:divBdr>
        <w:top w:val="none" w:sz="0" w:space="0" w:color="auto"/>
        <w:left w:val="none" w:sz="0" w:space="0" w:color="auto"/>
        <w:bottom w:val="none" w:sz="0" w:space="0" w:color="auto"/>
        <w:right w:val="none" w:sz="0" w:space="0" w:color="auto"/>
      </w:divBdr>
    </w:div>
    <w:div w:id="348220200">
      <w:bodyDiv w:val="1"/>
      <w:marLeft w:val="0"/>
      <w:marRight w:val="0"/>
      <w:marTop w:val="0"/>
      <w:marBottom w:val="0"/>
      <w:divBdr>
        <w:top w:val="none" w:sz="0" w:space="0" w:color="auto"/>
        <w:left w:val="none" w:sz="0" w:space="0" w:color="auto"/>
        <w:bottom w:val="none" w:sz="0" w:space="0" w:color="auto"/>
        <w:right w:val="none" w:sz="0" w:space="0" w:color="auto"/>
      </w:divBdr>
    </w:div>
    <w:div w:id="436369640">
      <w:bodyDiv w:val="1"/>
      <w:marLeft w:val="0"/>
      <w:marRight w:val="0"/>
      <w:marTop w:val="0"/>
      <w:marBottom w:val="0"/>
      <w:divBdr>
        <w:top w:val="none" w:sz="0" w:space="0" w:color="auto"/>
        <w:left w:val="none" w:sz="0" w:space="0" w:color="auto"/>
        <w:bottom w:val="none" w:sz="0" w:space="0" w:color="auto"/>
        <w:right w:val="none" w:sz="0" w:space="0" w:color="auto"/>
      </w:divBdr>
    </w:div>
    <w:div w:id="444425277">
      <w:bodyDiv w:val="1"/>
      <w:marLeft w:val="0"/>
      <w:marRight w:val="0"/>
      <w:marTop w:val="0"/>
      <w:marBottom w:val="0"/>
      <w:divBdr>
        <w:top w:val="none" w:sz="0" w:space="0" w:color="auto"/>
        <w:left w:val="none" w:sz="0" w:space="0" w:color="auto"/>
        <w:bottom w:val="none" w:sz="0" w:space="0" w:color="auto"/>
        <w:right w:val="none" w:sz="0" w:space="0" w:color="auto"/>
      </w:divBdr>
    </w:div>
    <w:div w:id="459110822">
      <w:bodyDiv w:val="1"/>
      <w:marLeft w:val="0"/>
      <w:marRight w:val="0"/>
      <w:marTop w:val="0"/>
      <w:marBottom w:val="0"/>
      <w:divBdr>
        <w:top w:val="none" w:sz="0" w:space="0" w:color="auto"/>
        <w:left w:val="none" w:sz="0" w:space="0" w:color="auto"/>
        <w:bottom w:val="none" w:sz="0" w:space="0" w:color="auto"/>
        <w:right w:val="none" w:sz="0" w:space="0" w:color="auto"/>
      </w:divBdr>
    </w:div>
    <w:div w:id="487593229">
      <w:bodyDiv w:val="1"/>
      <w:marLeft w:val="0"/>
      <w:marRight w:val="0"/>
      <w:marTop w:val="0"/>
      <w:marBottom w:val="0"/>
      <w:divBdr>
        <w:top w:val="none" w:sz="0" w:space="0" w:color="auto"/>
        <w:left w:val="none" w:sz="0" w:space="0" w:color="auto"/>
        <w:bottom w:val="none" w:sz="0" w:space="0" w:color="auto"/>
        <w:right w:val="none" w:sz="0" w:space="0" w:color="auto"/>
      </w:divBdr>
    </w:div>
    <w:div w:id="506795363">
      <w:bodyDiv w:val="1"/>
      <w:marLeft w:val="0"/>
      <w:marRight w:val="0"/>
      <w:marTop w:val="0"/>
      <w:marBottom w:val="0"/>
      <w:divBdr>
        <w:top w:val="none" w:sz="0" w:space="0" w:color="auto"/>
        <w:left w:val="none" w:sz="0" w:space="0" w:color="auto"/>
        <w:bottom w:val="none" w:sz="0" w:space="0" w:color="auto"/>
        <w:right w:val="none" w:sz="0" w:space="0" w:color="auto"/>
      </w:divBdr>
    </w:div>
    <w:div w:id="559751848">
      <w:bodyDiv w:val="1"/>
      <w:marLeft w:val="0"/>
      <w:marRight w:val="0"/>
      <w:marTop w:val="0"/>
      <w:marBottom w:val="0"/>
      <w:divBdr>
        <w:top w:val="none" w:sz="0" w:space="0" w:color="auto"/>
        <w:left w:val="none" w:sz="0" w:space="0" w:color="auto"/>
        <w:bottom w:val="none" w:sz="0" w:space="0" w:color="auto"/>
        <w:right w:val="none" w:sz="0" w:space="0" w:color="auto"/>
      </w:divBdr>
    </w:div>
    <w:div w:id="632444815">
      <w:bodyDiv w:val="1"/>
      <w:marLeft w:val="0"/>
      <w:marRight w:val="0"/>
      <w:marTop w:val="0"/>
      <w:marBottom w:val="0"/>
      <w:divBdr>
        <w:top w:val="none" w:sz="0" w:space="0" w:color="auto"/>
        <w:left w:val="none" w:sz="0" w:space="0" w:color="auto"/>
        <w:bottom w:val="none" w:sz="0" w:space="0" w:color="auto"/>
        <w:right w:val="none" w:sz="0" w:space="0" w:color="auto"/>
      </w:divBdr>
    </w:div>
    <w:div w:id="676856617">
      <w:bodyDiv w:val="1"/>
      <w:marLeft w:val="0"/>
      <w:marRight w:val="0"/>
      <w:marTop w:val="0"/>
      <w:marBottom w:val="0"/>
      <w:divBdr>
        <w:top w:val="none" w:sz="0" w:space="0" w:color="auto"/>
        <w:left w:val="none" w:sz="0" w:space="0" w:color="auto"/>
        <w:bottom w:val="none" w:sz="0" w:space="0" w:color="auto"/>
        <w:right w:val="none" w:sz="0" w:space="0" w:color="auto"/>
      </w:divBdr>
    </w:div>
    <w:div w:id="973489951">
      <w:bodyDiv w:val="1"/>
      <w:marLeft w:val="0"/>
      <w:marRight w:val="0"/>
      <w:marTop w:val="0"/>
      <w:marBottom w:val="0"/>
      <w:divBdr>
        <w:top w:val="none" w:sz="0" w:space="0" w:color="auto"/>
        <w:left w:val="none" w:sz="0" w:space="0" w:color="auto"/>
        <w:bottom w:val="none" w:sz="0" w:space="0" w:color="auto"/>
        <w:right w:val="none" w:sz="0" w:space="0" w:color="auto"/>
      </w:divBdr>
    </w:div>
    <w:div w:id="1096563166">
      <w:bodyDiv w:val="1"/>
      <w:marLeft w:val="0"/>
      <w:marRight w:val="0"/>
      <w:marTop w:val="0"/>
      <w:marBottom w:val="0"/>
      <w:divBdr>
        <w:top w:val="none" w:sz="0" w:space="0" w:color="auto"/>
        <w:left w:val="none" w:sz="0" w:space="0" w:color="auto"/>
        <w:bottom w:val="none" w:sz="0" w:space="0" w:color="auto"/>
        <w:right w:val="none" w:sz="0" w:space="0" w:color="auto"/>
      </w:divBdr>
    </w:div>
    <w:div w:id="1108887726">
      <w:bodyDiv w:val="1"/>
      <w:marLeft w:val="0"/>
      <w:marRight w:val="0"/>
      <w:marTop w:val="0"/>
      <w:marBottom w:val="0"/>
      <w:divBdr>
        <w:top w:val="none" w:sz="0" w:space="0" w:color="auto"/>
        <w:left w:val="none" w:sz="0" w:space="0" w:color="auto"/>
        <w:bottom w:val="none" w:sz="0" w:space="0" w:color="auto"/>
        <w:right w:val="none" w:sz="0" w:space="0" w:color="auto"/>
      </w:divBdr>
    </w:div>
    <w:div w:id="1109666784">
      <w:bodyDiv w:val="1"/>
      <w:marLeft w:val="0"/>
      <w:marRight w:val="0"/>
      <w:marTop w:val="0"/>
      <w:marBottom w:val="0"/>
      <w:divBdr>
        <w:top w:val="none" w:sz="0" w:space="0" w:color="auto"/>
        <w:left w:val="none" w:sz="0" w:space="0" w:color="auto"/>
        <w:bottom w:val="none" w:sz="0" w:space="0" w:color="auto"/>
        <w:right w:val="none" w:sz="0" w:space="0" w:color="auto"/>
      </w:divBdr>
    </w:div>
    <w:div w:id="1231581110">
      <w:bodyDiv w:val="1"/>
      <w:marLeft w:val="0"/>
      <w:marRight w:val="0"/>
      <w:marTop w:val="0"/>
      <w:marBottom w:val="0"/>
      <w:divBdr>
        <w:top w:val="none" w:sz="0" w:space="0" w:color="auto"/>
        <w:left w:val="none" w:sz="0" w:space="0" w:color="auto"/>
        <w:bottom w:val="none" w:sz="0" w:space="0" w:color="auto"/>
        <w:right w:val="none" w:sz="0" w:space="0" w:color="auto"/>
      </w:divBdr>
    </w:div>
    <w:div w:id="1231693172">
      <w:bodyDiv w:val="1"/>
      <w:marLeft w:val="0"/>
      <w:marRight w:val="0"/>
      <w:marTop w:val="0"/>
      <w:marBottom w:val="0"/>
      <w:divBdr>
        <w:top w:val="none" w:sz="0" w:space="0" w:color="auto"/>
        <w:left w:val="none" w:sz="0" w:space="0" w:color="auto"/>
        <w:bottom w:val="none" w:sz="0" w:space="0" w:color="auto"/>
        <w:right w:val="none" w:sz="0" w:space="0" w:color="auto"/>
      </w:divBdr>
    </w:div>
    <w:div w:id="1235554385">
      <w:bodyDiv w:val="1"/>
      <w:marLeft w:val="0"/>
      <w:marRight w:val="0"/>
      <w:marTop w:val="0"/>
      <w:marBottom w:val="0"/>
      <w:divBdr>
        <w:top w:val="none" w:sz="0" w:space="0" w:color="auto"/>
        <w:left w:val="none" w:sz="0" w:space="0" w:color="auto"/>
        <w:bottom w:val="none" w:sz="0" w:space="0" w:color="auto"/>
        <w:right w:val="none" w:sz="0" w:space="0" w:color="auto"/>
      </w:divBdr>
    </w:div>
    <w:div w:id="1275291152">
      <w:bodyDiv w:val="1"/>
      <w:marLeft w:val="0"/>
      <w:marRight w:val="0"/>
      <w:marTop w:val="0"/>
      <w:marBottom w:val="0"/>
      <w:divBdr>
        <w:top w:val="none" w:sz="0" w:space="0" w:color="auto"/>
        <w:left w:val="none" w:sz="0" w:space="0" w:color="auto"/>
        <w:bottom w:val="none" w:sz="0" w:space="0" w:color="auto"/>
        <w:right w:val="none" w:sz="0" w:space="0" w:color="auto"/>
      </w:divBdr>
    </w:div>
    <w:div w:id="1387221754">
      <w:bodyDiv w:val="1"/>
      <w:marLeft w:val="0"/>
      <w:marRight w:val="0"/>
      <w:marTop w:val="0"/>
      <w:marBottom w:val="0"/>
      <w:divBdr>
        <w:top w:val="none" w:sz="0" w:space="0" w:color="auto"/>
        <w:left w:val="none" w:sz="0" w:space="0" w:color="auto"/>
        <w:bottom w:val="none" w:sz="0" w:space="0" w:color="auto"/>
        <w:right w:val="none" w:sz="0" w:space="0" w:color="auto"/>
      </w:divBdr>
    </w:div>
    <w:div w:id="1429623532">
      <w:bodyDiv w:val="1"/>
      <w:marLeft w:val="0"/>
      <w:marRight w:val="0"/>
      <w:marTop w:val="0"/>
      <w:marBottom w:val="0"/>
      <w:divBdr>
        <w:top w:val="none" w:sz="0" w:space="0" w:color="auto"/>
        <w:left w:val="none" w:sz="0" w:space="0" w:color="auto"/>
        <w:bottom w:val="none" w:sz="0" w:space="0" w:color="auto"/>
        <w:right w:val="none" w:sz="0" w:space="0" w:color="auto"/>
      </w:divBdr>
    </w:div>
    <w:div w:id="1613126580">
      <w:bodyDiv w:val="1"/>
      <w:marLeft w:val="0"/>
      <w:marRight w:val="0"/>
      <w:marTop w:val="0"/>
      <w:marBottom w:val="0"/>
      <w:divBdr>
        <w:top w:val="none" w:sz="0" w:space="0" w:color="auto"/>
        <w:left w:val="none" w:sz="0" w:space="0" w:color="auto"/>
        <w:bottom w:val="none" w:sz="0" w:space="0" w:color="auto"/>
        <w:right w:val="none" w:sz="0" w:space="0" w:color="auto"/>
      </w:divBdr>
    </w:div>
    <w:div w:id="1654331727">
      <w:bodyDiv w:val="1"/>
      <w:marLeft w:val="0"/>
      <w:marRight w:val="0"/>
      <w:marTop w:val="0"/>
      <w:marBottom w:val="0"/>
      <w:divBdr>
        <w:top w:val="none" w:sz="0" w:space="0" w:color="auto"/>
        <w:left w:val="none" w:sz="0" w:space="0" w:color="auto"/>
        <w:bottom w:val="none" w:sz="0" w:space="0" w:color="auto"/>
        <w:right w:val="none" w:sz="0" w:space="0" w:color="auto"/>
      </w:divBdr>
    </w:div>
    <w:div w:id="1654986231">
      <w:bodyDiv w:val="1"/>
      <w:marLeft w:val="0"/>
      <w:marRight w:val="0"/>
      <w:marTop w:val="0"/>
      <w:marBottom w:val="0"/>
      <w:divBdr>
        <w:top w:val="none" w:sz="0" w:space="0" w:color="auto"/>
        <w:left w:val="none" w:sz="0" w:space="0" w:color="auto"/>
        <w:bottom w:val="none" w:sz="0" w:space="0" w:color="auto"/>
        <w:right w:val="none" w:sz="0" w:space="0" w:color="auto"/>
      </w:divBdr>
    </w:div>
    <w:div w:id="1680158930">
      <w:bodyDiv w:val="1"/>
      <w:marLeft w:val="0"/>
      <w:marRight w:val="0"/>
      <w:marTop w:val="0"/>
      <w:marBottom w:val="0"/>
      <w:divBdr>
        <w:top w:val="none" w:sz="0" w:space="0" w:color="auto"/>
        <w:left w:val="none" w:sz="0" w:space="0" w:color="auto"/>
        <w:bottom w:val="none" w:sz="0" w:space="0" w:color="auto"/>
        <w:right w:val="none" w:sz="0" w:space="0" w:color="auto"/>
      </w:divBdr>
    </w:div>
    <w:div w:id="1748376075">
      <w:bodyDiv w:val="1"/>
      <w:marLeft w:val="0"/>
      <w:marRight w:val="0"/>
      <w:marTop w:val="0"/>
      <w:marBottom w:val="0"/>
      <w:divBdr>
        <w:top w:val="none" w:sz="0" w:space="0" w:color="auto"/>
        <w:left w:val="none" w:sz="0" w:space="0" w:color="auto"/>
        <w:bottom w:val="none" w:sz="0" w:space="0" w:color="auto"/>
        <w:right w:val="none" w:sz="0" w:space="0" w:color="auto"/>
      </w:divBdr>
    </w:div>
    <w:div w:id="1806971686">
      <w:bodyDiv w:val="1"/>
      <w:marLeft w:val="0"/>
      <w:marRight w:val="0"/>
      <w:marTop w:val="0"/>
      <w:marBottom w:val="0"/>
      <w:divBdr>
        <w:top w:val="none" w:sz="0" w:space="0" w:color="auto"/>
        <w:left w:val="none" w:sz="0" w:space="0" w:color="auto"/>
        <w:bottom w:val="none" w:sz="0" w:space="0" w:color="auto"/>
        <w:right w:val="none" w:sz="0" w:space="0" w:color="auto"/>
      </w:divBdr>
    </w:div>
    <w:div w:id="1811287908">
      <w:bodyDiv w:val="1"/>
      <w:marLeft w:val="0"/>
      <w:marRight w:val="0"/>
      <w:marTop w:val="0"/>
      <w:marBottom w:val="0"/>
      <w:divBdr>
        <w:top w:val="none" w:sz="0" w:space="0" w:color="auto"/>
        <w:left w:val="none" w:sz="0" w:space="0" w:color="auto"/>
        <w:bottom w:val="none" w:sz="0" w:space="0" w:color="auto"/>
        <w:right w:val="none" w:sz="0" w:space="0" w:color="auto"/>
      </w:divBdr>
    </w:div>
    <w:div w:id="1816144021">
      <w:bodyDiv w:val="1"/>
      <w:marLeft w:val="0"/>
      <w:marRight w:val="0"/>
      <w:marTop w:val="0"/>
      <w:marBottom w:val="0"/>
      <w:divBdr>
        <w:top w:val="none" w:sz="0" w:space="0" w:color="auto"/>
        <w:left w:val="none" w:sz="0" w:space="0" w:color="auto"/>
        <w:bottom w:val="none" w:sz="0" w:space="0" w:color="auto"/>
        <w:right w:val="none" w:sz="0" w:space="0" w:color="auto"/>
      </w:divBdr>
    </w:div>
    <w:div w:id="1854605308">
      <w:bodyDiv w:val="1"/>
      <w:marLeft w:val="0"/>
      <w:marRight w:val="0"/>
      <w:marTop w:val="0"/>
      <w:marBottom w:val="0"/>
      <w:divBdr>
        <w:top w:val="none" w:sz="0" w:space="0" w:color="auto"/>
        <w:left w:val="none" w:sz="0" w:space="0" w:color="auto"/>
        <w:bottom w:val="none" w:sz="0" w:space="0" w:color="auto"/>
        <w:right w:val="none" w:sz="0" w:space="0" w:color="auto"/>
      </w:divBdr>
    </w:div>
    <w:div w:id="1918782986">
      <w:bodyDiv w:val="1"/>
      <w:marLeft w:val="0"/>
      <w:marRight w:val="0"/>
      <w:marTop w:val="0"/>
      <w:marBottom w:val="0"/>
      <w:divBdr>
        <w:top w:val="none" w:sz="0" w:space="0" w:color="auto"/>
        <w:left w:val="none" w:sz="0" w:space="0" w:color="auto"/>
        <w:bottom w:val="none" w:sz="0" w:space="0" w:color="auto"/>
        <w:right w:val="none" w:sz="0" w:space="0" w:color="auto"/>
      </w:divBdr>
    </w:div>
    <w:div w:id="1953785767">
      <w:bodyDiv w:val="1"/>
      <w:marLeft w:val="0"/>
      <w:marRight w:val="0"/>
      <w:marTop w:val="0"/>
      <w:marBottom w:val="0"/>
      <w:divBdr>
        <w:top w:val="none" w:sz="0" w:space="0" w:color="auto"/>
        <w:left w:val="none" w:sz="0" w:space="0" w:color="auto"/>
        <w:bottom w:val="none" w:sz="0" w:space="0" w:color="auto"/>
        <w:right w:val="none" w:sz="0" w:space="0" w:color="auto"/>
      </w:divBdr>
    </w:div>
    <w:div w:id="1958560367">
      <w:bodyDiv w:val="1"/>
      <w:marLeft w:val="0"/>
      <w:marRight w:val="0"/>
      <w:marTop w:val="0"/>
      <w:marBottom w:val="0"/>
      <w:divBdr>
        <w:top w:val="none" w:sz="0" w:space="0" w:color="auto"/>
        <w:left w:val="none" w:sz="0" w:space="0" w:color="auto"/>
        <w:bottom w:val="none" w:sz="0" w:space="0" w:color="auto"/>
        <w:right w:val="none" w:sz="0" w:space="0" w:color="auto"/>
      </w:divBdr>
    </w:div>
    <w:div w:id="213412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AE232-9365-42FB-AE51-DF4E1AC32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5061</TotalTime>
  <Pages>4</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Olaya Restrepo</dc:creator>
  <cp:keywords/>
  <dc:description/>
  <cp:lastModifiedBy>Julian Olaya Restrepo</cp:lastModifiedBy>
  <cp:revision>78</cp:revision>
  <dcterms:created xsi:type="dcterms:W3CDTF">2024-10-28T23:25:00Z</dcterms:created>
  <dcterms:modified xsi:type="dcterms:W3CDTF">2024-12-20T07:32:00Z</dcterms:modified>
</cp:coreProperties>
</file>