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Early Childhood Development and Its Promise for Peace</w:t>
      </w:r>
    </w:p>
    <w:p>
      <w:pPr>
        <w:pStyle w:val="Subtitle"/>
      </w:pPr>
      <w:r>
        <w:t>Research Brief — 2026 Evidence Update</w:t>
      </w:r>
    </w:p>
    <w:p>
      <w:r>
        <w:rPr>
          <w:i/>
          <w:color w:val="555555"/>
          <w:sz w:val="20"/>
        </w:rPr>
        <w:t>Prepared on behalf of the ECPC Programmatic and Policy &amp; Advocacy Working Groups</w:t>
      </w:r>
    </w:p>
    <w:p>
      <w:r>
        <w:rPr>
          <w:i/>
          <w:color w:val="555555"/>
          <w:sz w:val="20"/>
        </w:rPr>
        <w:t>July 2026</w:t>
      </w:r>
    </w:p>
    <w:p>
      <w:pPr>
        <w:pBdr>
          <w:left w:val="single" w:sz="18" w:space="12" w:color="2E7D64"/>
        </w:pBdr>
        <w:spacing w:before="80" w:after="160"/>
        <w:ind w:left="259"/>
      </w:pPr>
      <w:r>
        <w:t xml:space="preserve">This brief updates the September 2023 UNGA-78 Policy Briefing Note </w:t>
      </w:r>
      <w:r>
        <w:rPr>
          <w:i/>
        </w:rPr>
        <w:t>“Early Childhood Development and Its Promise for Peace”</w:t>
      </w:r>
      <w:r>
        <w:t xml:space="preserve"> (Hanöz-Penney, 2023). It draws on a curated repository of </w:t>
      </w:r>
      <w:r>
        <w:rPr>
          <w:b/>
        </w:rPr>
        <w:t>103 studies by 25 ECPC-affiliated researchers, published 2023–2026</w:t>
      </w:r>
      <w:r>
        <w:t xml:space="preserve"> (92 peer-reviewed journal articles and 11 grey-literature reports, briefs, and book chapters), each coded from its full text. The evidence is organised to show how the case for early childhood development (ECD) as a strategy for peace has </w:t>
      </w:r>
      <w:r>
        <w:rPr>
          <w:i/>
        </w:rPr>
        <w:t>strengthened, sharpened, and scaled</w:t>
      </w:r>
      <w:r>
        <w:t xml:space="preserve"> since UNGA-78.</w:t>
      </w:r>
    </w:p>
    <w:p>
      <w:pPr>
        <w:pBdr>
          <w:bottom w:val="single" w:sz="6" w:space="1" w:color="C9C9C9"/>
        </w:pBdr>
        <w:spacing w:after="40"/>
      </w:pPr>
    </w:p>
    <w:p>
      <w:pPr>
        <w:pStyle w:val="Heading1"/>
      </w:pPr>
      <w:r>
        <w:t>Why an update now</w:t>
      </w:r>
    </w:p>
    <w:p>
      <w:r>
        <w:t>At UNGA-78, the ECPC argued that investing in ECD is a powerful, cost-effective strategy for reducing violence and building peaceful societies, and it called for more research — "</w:t>
      </w:r>
      <w:r>
        <w:rPr>
          <w:b/>
        </w:rPr>
        <w:t>especially in countries experiencing crisis and conflict.</w:t>
      </w:r>
      <w:r>
        <w:t>" That research has since arrived. In the three years since, ECPC members have delivered randomised trials in refugee camps and conflict-affected states, cost-effectiveness analyses, multi-generation biological studies, and global financing analyses. This brief distils what is new and what it means for the ECPC's asks.</w:t>
      </w:r>
    </w:p>
    <w:p>
      <w:r>
        <w:rPr>
          <w:b/>
        </w:rPr>
        <w:t>The headline:</w:t>
      </w:r>
      <w:r>
        <w:t xml:space="preserve"> we no longer need to argue only from </w:t>
      </w:r>
      <w:r>
        <w:rPr>
          <w:i/>
        </w:rPr>
        <w:t>promise</w:t>
      </w:r>
      <w:r>
        <w:t>. We can now show, with trial-grade evidence from the settings that matter most, that ECD services reduce violence in the home, reach the hardest-to-reach families, and can be delivered affordably at government scale — while a widening financing gap threatens to leave conflict-affected children furthest behind.</w:t>
      </w:r>
    </w:p>
    <w:p>
      <w:pPr>
        <w:pBdr>
          <w:bottom w:val="single" w:sz="6" w:space="1" w:color="C9C9C9"/>
        </w:pBdr>
        <w:spacing w:after="40"/>
      </w:pPr>
    </w:p>
    <w:p>
      <w:pPr>
        <w:pStyle w:val="Heading1"/>
      </w:pPr>
      <w:r>
        <w:t>The Challenge (updated)</w:t>
      </w:r>
    </w:p>
    <w:p>
      <w:r>
        <w:t>Conflict is still rising, and children still bear its heaviest burden — but we can now quantify that burden more precisely, and trace its biology.</w:t>
      </w:r>
    </w:p>
    <w:p>
      <w:pPr>
        <w:pStyle w:val="ListBullet"/>
      </w:pPr>
      <w:r>
        <w:rPr>
          <w:b/>
        </w:rPr>
        <w:t>Scale.</w:t>
      </w:r>
      <w:r>
        <w:t xml:space="preserve"> Roughly </w:t>
      </w:r>
      <w:r>
        <w:rPr>
          <w:b/>
        </w:rPr>
        <w:t>1 in 5 children worldwide now live in a conflict-affected area — at least 224 million school-age children in 2023</w:t>
      </w:r>
      <w:r>
        <w:t xml:space="preserve"> (Aber et al., 2025); an estimated </w:t>
      </w:r>
      <w:r>
        <w:rPr>
          <w:b/>
        </w:rPr>
        <w:t>473 million children live in fragile and conflict-affected settings</w:t>
      </w:r>
      <w:r>
        <w:t xml:space="preserve"> (Betancourt et al., 2026).</w:t>
      </w:r>
    </w:p>
    <w:p>
      <w:pPr>
        <w:pStyle w:val="ListBullet"/>
      </w:pPr>
      <w:r>
        <w:rPr>
          <w:b/>
        </w:rPr>
        <w:t>Violence begins at home, and it is near-universal.</w:t>
      </w:r>
      <w:r>
        <w:t xml:space="preserve"> </w:t>
      </w:r>
      <w:r>
        <w:rPr>
          <w:b/>
        </w:rPr>
        <w:t>Two of every three children under five in low- and middle-income countries (LMICs) experience corporal punishment</w:t>
      </w:r>
      <w:r>
        <w:t xml:space="preserve"> (Cuartas, 2023). New multi-country evidence links that violence directly to lost development: across four LMIC cohorts, spanking predicted lower numeracy (β = −0.23), literacy (β = −0.24), social-emotional (β = −0.22) and motor skills (β = −0.23), with </w:t>
      </w:r>
      <w:r>
        <w:rPr>
          <w:b/>
        </w:rPr>
        <w:t>no evidence of any positive outcome</w:t>
      </w:r>
      <w:r>
        <w:t xml:space="preserve"> (Cuartas et al., 2024).</w:t>
      </w:r>
    </w:p>
    <w:p>
      <w:pPr>
        <w:pStyle w:val="ListBullet"/>
      </w:pPr>
      <w:r>
        <w:rPr>
          <w:b/>
        </w:rPr>
        <w:t>Caregivers are in crisis too.</w:t>
      </w:r>
      <w:r>
        <w:t xml:space="preserve"> In a cohort of 1,133 caregivers in conflict-affected Colombia, </w:t>
      </w:r>
      <w:r>
        <w:rPr>
          <w:b/>
        </w:rPr>
        <w:t>44.7% screened positive for depression and 24.5% for PTSD</w:t>
      </w:r>
      <w:r>
        <w:t xml:space="preserve"> (Ponguta et al., 2024) — a reminder that a child's most important protective relationship is itself under strain.</w:t>
      </w:r>
    </w:p>
    <w:p>
      <w:pPr>
        <w:pStyle w:val="ListBullet"/>
      </w:pPr>
      <w:r>
        <w:rPr>
          <w:b/>
        </w:rPr>
        <w:t>The damage is biologically embedded — and intergenerational.</w:t>
      </w:r>
      <w:r>
        <w:t xml:space="preserve"> A landmark three-generation, epigenome-wide study of Syrian refugee families found a </w:t>
      </w:r>
      <w:r>
        <w:rPr>
          <w:b/>
        </w:rPr>
        <w:t>common epigenetic signature of violence transmitted across germline, prenatal, and direct exposure</w:t>
      </w:r>
      <w:r>
        <w:t>, alongside accelerated epigenetic ageing (Panter-Brick et al., 2025). This is the clearest evidence yet for the "intergenerational cycles" the ECPC was founded to break — and for intervening early, before those cycles close.</w:t>
      </w:r>
    </w:p>
    <w:p>
      <w:pPr>
        <w:pStyle w:val="ListBullet"/>
      </w:pPr>
      <w:r>
        <w:rPr>
          <w:b/>
        </w:rPr>
        <w:t>The money is not following the need.</w:t>
      </w:r>
      <w:r>
        <w:t xml:space="preserve"> Development assistance for early childhood care and education (ECCE) is just </w:t>
      </w:r>
      <w:r>
        <w:rPr>
          <w:b/>
        </w:rPr>
        <w:t>1.7% of all education aid — far below UNICEF's suggested 10% minimum</w:t>
      </w:r>
      <w:r>
        <w:t xml:space="preserve"> — and </w:t>
      </w:r>
      <w:r>
        <w:rPr>
          <w:b/>
        </w:rPr>
        <w:t>conflict-affected countries receive only US$0.3 per child per year, a quarter of the US$1.2 received by non-conflict countries</w:t>
      </w:r>
      <w:r>
        <w:t xml:space="preserve"> (Cuartas et al., 2024). Meanwhile </w:t>
      </w:r>
      <w:r>
        <w:rPr>
          <w:b/>
        </w:rPr>
        <w:t>less than 1% of development assistance is allocated to mental health</w:t>
      </w:r>
      <w:r>
        <w:t xml:space="preserve"> (Betancourt et al., 2026). The children at greatest risk get the least investment.</w:t>
      </w:r>
    </w:p>
    <w:p>
      <w:pPr>
        <w:pBdr>
          <w:bottom w:val="single" w:sz="6" w:space="1" w:color="C9C9C9"/>
        </w:pBdr>
        <w:spacing w:after="40"/>
      </w:pPr>
    </w:p>
    <w:p>
      <w:pPr>
        <w:pStyle w:val="Heading1"/>
      </w:pPr>
      <w:r>
        <w:t>What the New Evidence Shows</w:t>
      </w:r>
    </w:p>
    <w:p>
      <w:pPr>
        <w:pStyle w:val="Heading2"/>
      </w:pPr>
      <w:r>
        <w:t>1. ECD services reduce violence in the home — and work at government scale</w:t>
      </w:r>
    </w:p>
    <w:p>
      <w:r>
        <w:t xml:space="preserve">The most important advance since UNGA-78 is evidence of impact </w:t>
      </w:r>
      <w:r>
        <w:rPr>
          <w:i/>
        </w:rPr>
        <w:t>delivered through government systems, at scale</w:t>
      </w:r>
      <w:r>
        <w:t xml:space="preserve">. In Rwanda, the </w:t>
      </w:r>
      <w:r>
        <w:rPr>
          <w:b/>
        </w:rPr>
        <w:t>Sugira Muryango</w:t>
      </w:r>
      <w:r>
        <w:t xml:space="preserve"> home-visiting programme — delivered by government child-protection volunteers — </w:t>
      </w:r>
      <w:r>
        <w:rPr>
          <w:b/>
        </w:rPr>
        <w:t>reduced harsh discipline (OR = 0.34)</w:t>
      </w:r>
      <w:r>
        <w:t xml:space="preserve">, increased father involvement (IRR = 1.18), and improved home stimulation, learning materials, and dietary diversity (Cohen's </w:t>
      </w:r>
      <w:r>
        <w:rPr>
          <w:i/>
        </w:rPr>
        <w:t>d</w:t>
      </w:r>
      <w:r>
        <w:t xml:space="preserve"> = 0.20–0.37) across 538 households (Black et al., 2025). Crucially, it is affordable: the programme cost </w:t>
      </w:r>
      <w:r>
        <w:rPr>
          <w:b/>
        </w:rPr>
        <w:t>US$456 per family, projected to fall below US$200 when scaled through government systems</w:t>
      </w:r>
      <w:r>
        <w:t xml:space="preserve"> (Betancourt et al., 2023). This is a working template for the ECPC's goal of reaching 200 million children.</w:t>
      </w:r>
    </w:p>
    <w:p>
      <w:pPr>
        <w:pStyle w:val="Heading2"/>
      </w:pPr>
      <w:r>
        <w:t>2. Interventions now reach the hardest-to-reach families — remotely and through non-specialists</w:t>
      </w:r>
    </w:p>
    <w:p>
      <w:r>
        <w:t>Distance, cost, and a shortage of specialists no longer have to be barriers.</w:t>
      </w:r>
    </w:p>
    <w:p>
      <w:pPr>
        <w:pStyle w:val="ListBullet"/>
      </w:pPr>
      <w:r>
        <w:rPr>
          <w:b/>
        </w:rPr>
        <w:t>By phone:</w:t>
      </w:r>
      <w:r>
        <w:t xml:space="preserve"> A cluster-RCT with </w:t>
      </w:r>
      <w:r>
        <w:rPr>
          <w:b/>
        </w:rPr>
        <w:t>2,298 Syrian and Jordanian refugee caregivers</w:t>
      </w:r>
      <w:r>
        <w:t xml:space="preserve">, delivered </w:t>
      </w:r>
      <w:r>
        <w:rPr>
          <w:i/>
        </w:rPr>
        <w:t>audio-only</w:t>
      </w:r>
      <w:r>
        <w:t xml:space="preserve"> by community health volunteers, produced a small but robust reduction in caregiver depression (ES = −0.11) (Yoshikawa et al., 2024).</w:t>
      </w:r>
    </w:p>
    <w:p>
      <w:pPr>
        <w:pStyle w:val="ListBullet"/>
      </w:pPr>
      <w:r>
        <w:rPr>
          <w:b/>
        </w:rPr>
        <w:t>By non-specialists:</w:t>
      </w:r>
      <w:r>
        <w:t xml:space="preserve"> In Sierra Leone, a family intervention delivered by community health workers significantly improved observed caregiver–child interaction and </w:t>
      </w:r>
      <w:r>
        <w:rPr>
          <w:b/>
        </w:rPr>
        <w:t>home responsiveness (+1.66, p &lt; .001)</w:t>
      </w:r>
      <w:r>
        <w:t>, and trended toward less intimate-partner violence (Betancourt et al., 2024).</w:t>
      </w:r>
    </w:p>
    <w:p>
      <w:pPr>
        <w:pStyle w:val="ListBullet"/>
      </w:pPr>
      <w:r>
        <w:rPr>
          <w:b/>
        </w:rPr>
        <w:t>By digital tools:</w:t>
      </w:r>
      <w:r>
        <w:t xml:space="preserve"> In rural Peru, an AI-supported parenting chatbot matched home visiting </w:t>
      </w:r>
      <w:r>
        <w:rPr>
          <w:b/>
        </w:rPr>
        <w:t>at one-fifteenth of the cost</w:t>
      </w:r>
      <w:r>
        <w:t>, with superior cost-effectiveness (Cuartas et al., 2026).</w:t>
      </w:r>
    </w:p>
    <w:p>
      <w:r>
        <w:t>Together these show a delivery revolution: nurturing-care support can now be brought to displaced and remote families at a fraction of historical cost.</w:t>
      </w:r>
    </w:p>
    <w:p>
      <w:pPr>
        <w:pStyle w:val="Heading2"/>
      </w:pPr>
      <w:r>
        <w:t>3. The whole family matters — especially fathers</w:t>
      </w:r>
    </w:p>
    <w:p>
      <w:r>
        <w:t>New evidence moves decisively beyond the mother-and-child dyad.</w:t>
      </w:r>
    </w:p>
    <w:p>
      <w:pPr>
        <w:pStyle w:val="ListBullet"/>
      </w:pPr>
      <w:r>
        <w:t xml:space="preserve">Among Syrian refugee families, it was not the </w:t>
      </w:r>
      <w:r>
        <w:rPr>
          <w:i/>
        </w:rPr>
        <w:t>level</w:t>
      </w:r>
      <w:r>
        <w:t xml:space="preserve"> of father involvement but </w:t>
      </w:r>
      <w:r>
        <w:rPr>
          <w:b/>
        </w:rPr>
        <w:t>spousal disagreement about it</w:t>
      </w:r>
      <w:r>
        <w:t xml:space="preserve"> that predicted worse outcomes — children's social-emotional learning was more than </w:t>
      </w:r>
      <w:r>
        <w:rPr>
          <w:b/>
        </w:rPr>
        <w:t>1 standard deviation lower</w:t>
      </w:r>
      <w:r>
        <w:t xml:space="preserve"> in the most discordant families (Panter-Brick et al., 2024).</w:t>
      </w:r>
    </w:p>
    <w:p>
      <w:pPr>
        <w:pStyle w:val="ListBullet"/>
      </w:pPr>
      <w:r>
        <w:t xml:space="preserve">A cluster-RCT with </w:t>
      </w:r>
      <w:r>
        <w:rPr>
          <w:b/>
        </w:rPr>
        <w:t>2,002 fathers</w:t>
      </w:r>
      <w:r>
        <w:t xml:space="preserve"> in Rohingya camps and host communities showed that adding a father-engagement component improved fathers' parenting, family engagement, and child social-emotional development (Yoshikawa et al., 2026).</w:t>
      </w:r>
    </w:p>
    <w:p>
      <w:pPr>
        <w:pStyle w:val="ListBullet"/>
      </w:pPr>
      <w:r>
        <w:t xml:space="preserve">For resettled refugee families in the US, a family-strengthening intervention </w:t>
      </w:r>
      <w:r>
        <w:rPr>
          <w:b/>
        </w:rPr>
        <w:t>reduced children's conduct problems (β = −9.20, p = .01)</w:t>
      </w:r>
      <w:r>
        <w:t xml:space="preserve"> and improved parental supervision (Black et al., 2025).</w:t>
      </w:r>
    </w:p>
    <w:p>
      <w:pPr>
        <w:pStyle w:val="Heading2"/>
      </w:pPr>
      <w:r>
        <w:t>4. Social-emotional learning builds self-regulation in education-in-emergencies</w:t>
      </w:r>
    </w:p>
    <w:p>
      <w:r>
        <w:t>SEL is now among the best-tested ECD strategies in crisis settings.</w:t>
      </w:r>
    </w:p>
    <w:p>
      <w:pPr>
        <w:pStyle w:val="ListBullet"/>
      </w:pPr>
      <w:r>
        <w:t xml:space="preserve">In </w:t>
      </w:r>
      <w:r>
        <w:rPr>
          <w:b/>
        </w:rPr>
        <w:t>Niger</w:t>
      </w:r>
      <w:r>
        <w:t xml:space="preserve">, adding a mindfulness component to remedial tutoring </w:t>
      </w:r>
      <w:r>
        <w:rPr>
          <w:b/>
        </w:rPr>
        <w:t>reduced children's sadness dysregulation (ES = −0.30)</w:t>
      </w:r>
      <w:r>
        <w:t>, with refugees and girls benefiting most (Aber et al., 2026).</w:t>
      </w:r>
    </w:p>
    <w:p>
      <w:pPr>
        <w:pStyle w:val="ListBullet"/>
      </w:pPr>
      <w:r>
        <w:t xml:space="preserve">In </w:t>
      </w:r>
      <w:r>
        <w:rPr>
          <w:b/>
        </w:rPr>
        <w:t>Lebanon</w:t>
      </w:r>
      <w:r>
        <w:t xml:space="preserve">, 26 weeks of Healing Classroom Tutoring improved externally-observed behavioral regulation (ES = 0.31) — though longer dosage was </w:t>
      </w:r>
      <w:r>
        <w:rPr>
          <w:i/>
        </w:rPr>
        <w:t>not</w:t>
      </w:r>
      <w:r>
        <w:t xml:space="preserve"> uniformly better, a valuable design lesson for implementers (Aber et al., 2023).</w:t>
      </w:r>
    </w:p>
    <w:p>
      <w:pPr>
        <w:pStyle w:val="ListBullet"/>
      </w:pPr>
      <w:r>
        <w:t xml:space="preserve">A meta-analysis of </w:t>
      </w:r>
      <w:r>
        <w:rPr>
          <w:b/>
        </w:rPr>
        <w:t>90 studies (20,626 students)</w:t>
      </w:r>
      <w:r>
        <w:t xml:space="preserve"> confirms universal school-based SEL improves academic, behavioral, and social-emotional outcomes and reduces distress — strongest when teachers deliver it (McCarthy et al., 2024).</w:t>
      </w:r>
    </w:p>
    <w:p>
      <w:pPr>
        <w:pStyle w:val="Heading2"/>
      </w:pPr>
      <w:r>
        <w:t>5. The evidence base is consolidating — with one critical gap</w:t>
      </w:r>
    </w:p>
    <w:p>
      <w:pPr>
        <w:pStyle w:val="ListBullet"/>
      </w:pPr>
      <w:r>
        <w:t xml:space="preserve">A systematic review of </w:t>
      </w:r>
      <w:r>
        <w:rPr>
          <w:b/>
        </w:rPr>
        <w:t>80 studies (n = 18,193)</w:t>
      </w:r>
      <w:r>
        <w:t xml:space="preserve"> in LMIC and humanitarian settings found </w:t>
      </w:r>
      <w:r>
        <w:rPr>
          <w:b/>
        </w:rPr>
        <w:t>43 showed benefits to child or adolescent mental health and only 3 found none</w:t>
      </w:r>
      <w:r>
        <w:t xml:space="preserve"> — with caregiver psychoeducation, communication skills, non-specialist delivery, and father engagement as the recurring active ingredients (Betancourt et al., 2024).</w:t>
      </w:r>
    </w:p>
    <w:p>
      <w:pPr>
        <w:pStyle w:val="ListBullet"/>
      </w:pPr>
      <w:r>
        <w:t xml:space="preserve">A network meta-analysis of </w:t>
      </w:r>
      <w:r>
        <w:rPr>
          <w:b/>
        </w:rPr>
        <w:t>59 RCTs (18,349 children under four)</w:t>
      </w:r>
      <w:r>
        <w:t xml:space="preserve"> found relationship-focused parenting interventions reduced child internalising problems (SMD = −0.26), and that </w:t>
      </w:r>
      <w:r>
        <w:rPr>
          <w:b/>
        </w:rPr>
        <w:t>children left on a waitlist got worse</w:t>
      </w:r>
      <w:r>
        <w:t xml:space="preserve"> — evidence against delay (BMJ Mental Health, 2023).</w:t>
      </w:r>
    </w:p>
    <w:p>
      <w:pPr>
        <w:pStyle w:val="ListBullet"/>
      </w:pPr>
      <w:r>
        <w:rPr>
          <w:b/>
        </w:rPr>
        <w:t>But the research is not being produced where it is needed.</w:t>
      </w:r>
      <w:r>
        <w:t xml:space="preserve"> A scoping review of 6,843 records found only six studies of digital mental-health tools for war- and disaster-affected youth, and </w:t>
      </w:r>
      <w:r>
        <w:rPr>
          <w:b/>
        </w:rPr>
        <w:t>fewer than 10% of relevant interventions were developed in the LMICs where war and displacement actually occur</w:t>
      </w:r>
      <w:r>
        <w:t xml:space="preserve"> (Leckman et al., 2024). Closing this gap is the single clearest research priority.</w:t>
      </w:r>
    </w:p>
    <w:p>
      <w:pPr>
        <w:pStyle w:val="Heading2"/>
      </w:pPr>
      <w:r>
        <w:t>6. The economic case — and why cash alone is not enough</w:t>
      </w:r>
    </w:p>
    <w:p>
      <w:r>
        <w:t xml:space="preserve">Failing to invest in the "next 1,000 days" (ages 2–5) carries large human-capital and economic costs; a minimum package such as one year of ECCE for every child is costly but worthwhile (Cuartas et al., 2024, </w:t>
      </w:r>
      <w:r>
        <w:rPr>
          <w:i/>
        </w:rPr>
        <w:t>Lancet</w:t>
      </w:r>
      <w:r>
        <w:t xml:space="preserve">). At the same time, rigorous US trials of unconditional cash transfers (Baby's First Years) found that </w:t>
      </w:r>
      <w:r>
        <w:rPr>
          <w:b/>
        </w:rPr>
        <w:t>monthly cash alone produced no detectable gains in child development or maternal well-being</w:t>
      </w:r>
      <w:r>
        <w:t xml:space="preserve"> (Yoshikawa et al., 2023, 2024, 2025). The lesson for financing is clear: </w:t>
      </w:r>
      <w:r>
        <w:rPr>
          <w:b/>
        </w:rPr>
        <w:t>income support must be paired with nurturing-care and ECD services</w:t>
      </w:r>
      <w:r>
        <w:t xml:space="preserve"> — money is necessary but not sufficient.</w:t>
      </w:r>
    </w:p>
    <w:p>
      <w:pPr>
        <w:pBdr>
          <w:bottom w:val="single" w:sz="6" w:space="1" w:color="C9C9C9"/>
        </w:pBdr>
        <w:spacing w:after="40"/>
      </w:pPr>
    </w:p>
    <w:p>
      <w:pPr>
        <w:pStyle w:val="Heading1"/>
      </w:pPr>
      <w:r>
        <w:t>Key Messages (2026)</w:t>
      </w:r>
    </w:p>
    <w:p>
      <w:pPr>
        <w:pStyle w:val="ListBullet"/>
      </w:pPr>
      <w:r>
        <w:rPr>
          <w:b/>
        </w:rPr>
        <w:t>ECD reduces violence and builds peace — now with trial evidence from conflict settings.</w:t>
      </w:r>
      <w:r>
        <w:t xml:space="preserve"> Home-visiting and family programmes measurably cut harsh discipline and intimate-partner violence and strengthen the caregiver–child bond in Rwanda, Sierra Leone, Jordan, and Bangladesh.</w:t>
      </w:r>
    </w:p>
    <w:p>
      <w:pPr>
        <w:pStyle w:val="ListBullet"/>
      </w:pPr>
      <w:r>
        <w:rPr>
          <w:b/>
        </w:rPr>
        <w:t>It can be delivered affordably, at scale, through existing systems</w:t>
      </w:r>
      <w:r>
        <w:t xml:space="preserve"> — government volunteers, community health workers, phones, and even AI chatbots — at as little as one-fifteenth of historical cost.</w:t>
      </w:r>
    </w:p>
    <w:p>
      <w:pPr>
        <w:pStyle w:val="ListBullet"/>
      </w:pPr>
      <w:r>
        <w:rPr>
          <w:b/>
        </w:rPr>
        <w:t>The whole ecosystem matters.</w:t>
      </w:r>
      <w:r>
        <w:t xml:space="preserve"> Engaging fathers and reducing family conflict, not just supporting mothers, drives child outcomes.</w:t>
      </w:r>
    </w:p>
    <w:p>
      <w:pPr>
        <w:pStyle w:val="ListBullet"/>
      </w:pPr>
      <w:r>
        <w:rPr>
          <w:b/>
        </w:rPr>
        <w:t>The harm of inaction is now visible in children's biology</w:t>
      </w:r>
      <w:r>
        <w:t xml:space="preserve"> and passes across generations — making early action urgent, not optional.</w:t>
      </w:r>
    </w:p>
    <w:p>
      <w:pPr>
        <w:pStyle w:val="ListBullet"/>
      </w:pPr>
      <w:r>
        <w:rPr>
          <w:b/>
        </w:rPr>
        <w:t>The financing gap is the binding constraint.</w:t>
      </w:r>
      <w:r>
        <w:t xml:space="preserve"> Conflict-affected children receive a quarter of the already-inadequate ECCE aid other children get, and child mental health receives under 1% of development assistance.</w:t>
      </w:r>
    </w:p>
    <w:p>
      <w:pPr>
        <w:pStyle w:val="ListBullet"/>
      </w:pPr>
      <w:r>
        <w:rPr>
          <w:b/>
        </w:rPr>
        <w:t>Cash alone is not enough</w:t>
      </w:r>
      <w:r>
        <w:t xml:space="preserve"> — investment must fund </w:t>
      </w:r>
      <w:r>
        <w:rPr>
          <w:i/>
        </w:rPr>
        <w:t>services</w:t>
      </w:r>
      <w:r>
        <w:t>, not transfers in isolation.</w:t>
      </w:r>
    </w:p>
    <w:p>
      <w:pPr>
        <w:pBdr>
          <w:bottom w:val="single" w:sz="6" w:space="1" w:color="C9C9C9"/>
        </w:pBdr>
        <w:spacing w:after="40"/>
      </w:pPr>
    </w:p>
    <w:p>
      <w:pPr>
        <w:pStyle w:val="Heading1"/>
      </w:pPr>
      <w:r>
        <w:t>Key Highlights</w:t>
      </w:r>
    </w:p>
    <w:p>
      <w:pPr>
        <w:pStyle w:val="ListBullet"/>
      </w:pPr>
      <w:r>
        <w:rPr>
          <w:b/>
        </w:rPr>
        <w:t>473 million</w:t>
      </w:r>
      <w:r>
        <w:t xml:space="preserve"> children live in fragile and conflict-affected settings; </w:t>
      </w:r>
      <w:r>
        <w:rPr>
          <w:b/>
        </w:rPr>
        <w:t>~1 in 5 children</w:t>
      </w:r>
      <w:r>
        <w:t xml:space="preserve"> globally live in conflict-affected areas (Betancourt et al., 2026; Aber et al., 2025).</w:t>
      </w:r>
    </w:p>
    <w:p>
      <w:pPr>
        <w:pStyle w:val="ListBullet"/>
      </w:pPr>
      <w:r>
        <w:rPr>
          <w:b/>
        </w:rPr>
        <w:t>2 of 3</w:t>
      </w:r>
      <w:r>
        <w:t xml:space="preserve"> children under five in LMICs experience corporal punishment (Cuartas, 2023).</w:t>
      </w:r>
    </w:p>
    <w:p>
      <w:pPr>
        <w:pStyle w:val="ListBullet"/>
      </w:pPr>
      <w:r>
        <w:t>Harsh discipline fell by roughly two-thirds (</w:t>
      </w:r>
      <w:r>
        <w:rPr>
          <w:b/>
        </w:rPr>
        <w:t>OR = 0.34</w:t>
      </w:r>
      <w:r>
        <w:t>) under a government-delivered home-visiting programme in Rwanda (Black et al., 2025).</w:t>
      </w:r>
    </w:p>
    <w:p>
      <w:pPr>
        <w:pStyle w:val="ListBullet"/>
      </w:pPr>
      <w:r>
        <w:t xml:space="preserve">A refugee parenting programme reached </w:t>
      </w:r>
      <w:r>
        <w:rPr>
          <w:b/>
        </w:rPr>
        <w:t>2,298 caregivers by phone</w:t>
      </w:r>
      <w:r>
        <w:t xml:space="preserve"> and lowered caregiver depression (Yoshikawa et al., 2024).</w:t>
      </w:r>
    </w:p>
    <w:p>
      <w:pPr>
        <w:pStyle w:val="ListBullet"/>
      </w:pPr>
      <w:r>
        <w:t xml:space="preserve">A digital parenting tool matched home visits at </w:t>
      </w:r>
      <w:r>
        <w:rPr>
          <w:b/>
        </w:rPr>
        <w:t>1/15 the cost</w:t>
      </w:r>
      <w:r>
        <w:t xml:space="preserve"> (Cuartas et al., 2026).</w:t>
      </w:r>
    </w:p>
    <w:p>
      <w:pPr>
        <w:pStyle w:val="ListBullet"/>
      </w:pPr>
      <w:r>
        <w:rPr>
          <w:b/>
        </w:rPr>
        <w:t>43 of 80</w:t>
      </w:r>
      <w:r>
        <w:t xml:space="preserve"> interventions in LMIC/humanitarian settings improved child mental health; only </w:t>
      </w:r>
      <w:r>
        <w:rPr>
          <w:b/>
        </w:rPr>
        <w:t>3</w:t>
      </w:r>
      <w:r>
        <w:t xml:space="preserve"> showed no effect (Betancourt et al., 2024).</w:t>
      </w:r>
    </w:p>
    <w:p>
      <w:pPr>
        <w:pStyle w:val="ListBullet"/>
      </w:pPr>
      <w:r>
        <w:t xml:space="preserve">Conflict-affected countries receive just </w:t>
      </w:r>
      <w:r>
        <w:rPr>
          <w:b/>
        </w:rPr>
        <w:t>US$0.3 per child</w:t>
      </w:r>
      <w:r>
        <w:t xml:space="preserve"> in ECCE aid — a quarter of the amount non-conflict countries receive (Cuartas et al., 2024).</w:t>
      </w:r>
    </w:p>
    <w:p>
      <w:pPr>
        <w:pStyle w:val="ListBullet"/>
      </w:pPr>
      <w:r>
        <w:rPr>
          <w:b/>
        </w:rPr>
        <w:t>&lt;10%</w:t>
      </w:r>
      <w:r>
        <w:t xml:space="preserve"> of digital mental-health interventions for war-affected youth are developed in the LMICs where war occurs (Leckman et al., 2024).</w:t>
      </w:r>
    </w:p>
    <w:p>
      <w:pPr>
        <w:pBdr>
          <w:bottom w:val="single" w:sz="6" w:space="1" w:color="C9C9C9"/>
        </w:pBdr>
        <w:spacing w:after="40"/>
      </w:pPr>
    </w:p>
    <w:p>
      <w:pPr>
        <w:pStyle w:val="Heading1"/>
      </w:pPr>
      <w:r>
        <w:t>What the ECPC is Asking For</w:t>
      </w:r>
    </w:p>
    <w:p>
      <w:r>
        <w:t>Building on the 2023 asks, and sharpened by the new evidence:</w:t>
      </w:r>
    </w:p>
    <w:p>
      <w:pPr>
        <w:pStyle w:val="ListNumber"/>
      </w:pPr>
      <w:r>
        <w:rPr>
          <w:b/>
        </w:rPr>
        <w:t>Recognition.</w:t>
      </w:r>
      <w:r>
        <w:t xml:space="preserve"> A UN General Assembly Resolution on ECD and Peacebuilding. The evidence base is now mature enough — trial-grade, from conflict settings — to anchor a formal commitment.</w:t>
      </w:r>
    </w:p>
    <w:p>
      <w:pPr>
        <w:pStyle w:val="ListNumber"/>
      </w:pPr>
      <w:r>
        <w:rPr>
          <w:b/>
        </w:rPr>
        <w:t>Support for Policy and Advocacy.</w:t>
      </w:r>
      <w:r>
        <w:t xml:space="preserve"> Public–private partnerships to operationalise ECD-for-peace policy. Priority: embed proven programmes (e.g., government-delivered home visiting) into national child-protection and education systems, where costs fall and reach grows.</w:t>
      </w:r>
    </w:p>
    <w:p>
      <w:pPr>
        <w:pStyle w:val="ListNumber"/>
      </w:pPr>
      <w:r>
        <w:rPr>
          <w:b/>
        </w:rPr>
        <w:t>Support for Research — with a geographic correction.</w:t>
      </w:r>
      <w:r>
        <w:t xml:space="preserve"> Fewer than 10% of relevant interventions are developed where war actually occurs. New investment must fund </w:t>
      </w:r>
      <w:r>
        <w:rPr>
          <w:b/>
        </w:rPr>
        <w:t>locally-developed research in crisis-affected LMICs</w:t>
      </w:r>
      <w:r>
        <w:t>, including social-cohesion and peacebuilding outcomes and long-term follow-up.</w:t>
      </w:r>
    </w:p>
    <w:p>
      <w:pPr>
        <w:pStyle w:val="ListNumber"/>
      </w:pPr>
      <w:r>
        <w:rPr>
          <w:b/>
        </w:rPr>
        <w:t>Support for ECD Services that Promote Peacebuilding.</w:t>
      </w:r>
      <w:r>
        <w:t xml:space="preserve"> Scale comprehensive, multi-level services toward 200 million children — leveraging the new low-cost delivery models (non-specialist, remote, and digital) that make this target realistic.</w:t>
      </w:r>
    </w:p>
    <w:p>
      <w:pPr>
        <w:pStyle w:val="ListNumber"/>
      </w:pPr>
      <w:r>
        <w:rPr>
          <w:b/>
        </w:rPr>
        <w:t>Partnerships and Financing.</w:t>
      </w:r>
      <w:r>
        <w:t xml:space="preserve"> The binding constraint is money. We ask partners and donors to </w:t>
      </w:r>
      <w:r>
        <w:rPr>
          <w:b/>
        </w:rPr>
        <w:t>raise ECCE's share of education aid toward the 10% minimum and to protect conflict-affected children's share</w:t>
      </w:r>
      <w:r>
        <w:t xml:space="preserve">, and to fund </w:t>
      </w:r>
      <w:r>
        <w:rPr>
          <w:i/>
        </w:rPr>
        <w:t>services</w:t>
      </w:r>
      <w:r>
        <w:t>, not cash transfers alone.</w:t>
      </w:r>
    </w:p>
    <w:p>
      <w:pPr>
        <w:pBdr>
          <w:bottom w:val="single" w:sz="6" w:space="1" w:color="C9C9C9"/>
        </w:pBdr>
        <w:spacing w:after="40"/>
      </w:pPr>
    </w:p>
    <w:p>
      <w:pPr>
        <w:pStyle w:val="Heading1"/>
      </w:pPr>
      <w:r>
        <w:t>About this evidence update</w:t>
      </w:r>
    </w:p>
    <w:p>
      <w:r>
        <w:t xml:space="preserve">This brief synthesises the </w:t>
      </w:r>
      <w:r>
        <w:rPr>
          <w:b/>
        </w:rPr>
        <w:t>ECPC research repository</w:t>
      </w:r>
      <w:r>
        <w:t xml:space="preserve"> — 103 studies by 25 ECPC-affiliated researchers (2023–2026), each coded from its full text against a 110-field research schema. Flagship findings were selected using a transparent relevance ranking that weights alignment with the ECPC "Peacebuilding through ECD" Theory of Change and crisis-context relevance (50%), evidence rigour (30%), and citation impact among peer-reviewed work (20%); reviews and syntheses without original data are not penalised. The full repository, a top-15 shortlist with the most quotable statistic from each study, and per-study source PDFs are available to the Working Groups (</w:t>
      </w:r>
      <w:r>
        <w:rPr>
          <w:rFonts w:ascii="Consolas" w:hAnsi="Consolas"/>
          <w:sz w:val="19"/>
        </w:rPr>
        <w:t>07072026ECPCRR.csv</w:t>
      </w:r>
      <w:r>
        <w:t xml:space="preserve">, </w:t>
      </w:r>
      <w:r>
        <w:rPr>
          <w:rFonts w:ascii="Consolas" w:hAnsi="Consolas"/>
          <w:sz w:val="19"/>
        </w:rPr>
        <w:t>ADVOCACY_SHORTLIST.md</w:t>
      </w:r>
      <w:r>
        <w:t xml:space="preserve">, </w:t>
      </w:r>
      <w:r>
        <w:rPr>
          <w:rFonts w:ascii="Consolas" w:hAnsi="Consolas"/>
          <w:sz w:val="19"/>
        </w:rPr>
        <w:t>pipeline/ECPC_Repository_for_review.xlsx</w:t>
      </w:r>
      <w:r>
        <w:t>).</w:t>
      </w:r>
    </w:p>
    <w:p>
      <w:r>
        <w:rPr>
          <w:i/>
          <w:color w:val="555555"/>
          <w:sz w:val="20"/>
        </w:rPr>
        <w:t>Two evidence notes: the network-meta-analysis finding (§5) is drawn from a 2023 BMJ Mental Health study held in the repository under review for author attribution; the Baby's First Years cash-transfer trials (§6) are US-based and are cited only for the "cash-alone-is-insufficient" argument, not as conflict-setting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1B4B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2E7D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i w:val="0"/>
      <w:color w:val="1B4B3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/>
      <w:b/>
      <w:i w:val="0"/>
      <w:iCs/>
      <w:color w:val="2E7D64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