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Weight Loss Medication</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2,255</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Feb 2024 - Feb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+16.8%</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66/100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3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43,698 raw data points collected across all sources, 4,475 remained after deduplication and quality filtering, and 2,484 passed LLM relevance classification (5.7% of total collected). These 2,484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43,698</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4,475</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2,484</w:t>
            </w:r>
          </w:p>
        </w:tc>
        <w:tc>
          <w:tcPr>
            <w:tcW w:type="dxa" w:w="3135"/>
          </w:tcPr>
          <w:p>
            <w:pPr>
              <w:spacing w:before="60" w:after="60"/>
            </w:pPr>
            <w:r/>
            <w:r>
              <w:rPr>
                <w:rFonts w:ascii="Lato" w:hAnsi="Lato"/>
                <w:b w:val="0"/>
                <w:i w:val="0"/>
                <w:color w:val="374151"/>
                <w:sz w:val="20"/>
              </w:rPr>
              <w:t>LLM relevance filter — 5.7%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1404</w:t>
            </w:r>
          </w:p>
        </w:tc>
        <w:tc>
          <w:tcPr>
            <w:tcW w:type="dxa" w:w="3135"/>
          </w:tcPr>
          <w:p>
            <w:pPr>
              <w:spacing w:before="60" w:after="60"/>
            </w:pPr>
            <w:r/>
            <w:r>
              <w:rPr>
                <w:rFonts w:ascii="Lato" w:hAnsi="Lato"/>
                <w:b w:val="0"/>
                <w:i w:val="0"/>
                <w:color w:val="374151"/>
                <w:sz w:val="20"/>
              </w:rPr>
              <w:t>56.5%</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923</w:t>
            </w:r>
          </w:p>
        </w:tc>
        <w:tc>
          <w:tcPr>
            <w:tcW w:type="dxa" w:w="3135"/>
          </w:tcPr>
          <w:p>
            <w:pPr>
              <w:spacing w:before="60" w:after="60"/>
            </w:pPr>
            <w:r/>
            <w:r>
              <w:rPr>
                <w:rFonts w:ascii="Lato" w:hAnsi="Lato"/>
                <w:b w:val="0"/>
                <w:i w:val="0"/>
                <w:color w:val="374151"/>
                <w:sz w:val="20"/>
              </w:rPr>
              <w:t>37.2%</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157</w:t>
            </w:r>
          </w:p>
        </w:tc>
        <w:tc>
          <w:tcPr>
            <w:tcW w:type="dxa" w:w="3135"/>
          </w:tcPr>
          <w:p>
            <w:pPr>
              <w:spacing w:before="60" w:after="60"/>
            </w:pPr>
            <w:r/>
            <w:r>
              <w:rPr>
                <w:rFonts w:ascii="Lato" w:hAnsi="Lato"/>
                <w:b w:val="0"/>
                <w:i w:val="0"/>
                <w:color w:val="374151"/>
                <w:sz w:val="20"/>
              </w:rPr>
              <w:t>6.3%</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ingested from externally collected sources. The original collection methodology, sampling strategy, and any platform-specific filtering applied prior to ingestion are not documented in this pipeline and should be considered unknown.</w:t>
      </w:r>
    </w:p>
    <w:p>
      <w:pPr>
        <w:spacing w:after="120" w:before="0"/>
      </w:pPr>
      <w:r>
        <w:rPr>
          <w:rFonts w:ascii="Lato" w:hAnsi="Lato"/>
          <w:b w:val="0"/>
          <w:i w:val="0"/>
          <w:sz w:val="22"/>
        </w:rPr>
        <w:t>Thread-level deduplication caps comments per thread (max 5, randomly selected) to prevent over-indexing vocal threads. Engagement metrics are preserved as metadata for signal strength scoring but do not gate corpus admission.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+16.8%  |  Positive: 789 (35.0%)  |  Negative: 411 (18.2%)  |  Neutral: 845 (37.5%)</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2,255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778</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543</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278</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224</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158</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144</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85</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33</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12</w:t>
            </w:r>
          </w:p>
        </w:tc>
      </w:tr>
    </w:tbl>
    <w:p>
      <w:pPr>
        <w:jc w:val="center"/>
      </w:pPr>
      <w:r>
        <w:drawing>
          <wp:inline xmlns:a="http://schemas.openxmlformats.org/drawingml/2006/main" xmlns:pic="http://schemas.openxmlformats.org/drawingml/2006/picture">
            <wp:extent cx="4572000" cy="2259924"/>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59924"/>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Efficacy</w:t>
            </w:r>
          </w:p>
        </w:tc>
        <w:tc>
          <w:tcPr>
            <w:tcW w:type="dxa" w:w="1881"/>
          </w:tcPr>
          <w:p>
            <w:pPr>
              <w:spacing w:before="60" w:after="60"/>
            </w:pPr>
            <w:r/>
            <w:r>
              <w:rPr>
                <w:rFonts w:ascii="Lato" w:hAnsi="Lato"/>
                <w:b w:val="0"/>
                <w:i w:val="0"/>
                <w:color w:val="374151"/>
                <w:sz w:val="20"/>
              </w:rPr>
              <w:t>642</w:t>
            </w:r>
          </w:p>
        </w:tc>
        <w:tc>
          <w:tcPr>
            <w:tcW w:type="dxa" w:w="1881"/>
          </w:tcPr>
          <w:p>
            <w:pPr>
              <w:spacing w:before="60" w:after="60"/>
            </w:pPr>
            <w:r/>
            <w:r>
              <w:rPr>
                <w:rFonts w:ascii="Lato" w:hAnsi="Lato"/>
                <w:b w:val="0"/>
                <w:i w:val="0"/>
                <w:color w:val="374151"/>
                <w:sz w:val="20"/>
              </w:rPr>
              <w:t>244</w:t>
            </w:r>
          </w:p>
        </w:tc>
        <w:tc>
          <w:tcPr>
            <w:tcW w:type="dxa" w:w="1881"/>
          </w:tcPr>
          <w:p>
            <w:pPr>
              <w:spacing w:before="60" w:after="60"/>
            </w:pPr>
            <w:r/>
            <w:r>
              <w:rPr>
                <w:rFonts w:ascii="Lato" w:hAnsi="Lato"/>
                <w:b w:val="0"/>
                <w:i w:val="0"/>
                <w:color w:val="374151"/>
                <w:sz w:val="20"/>
              </w:rPr>
              <w:t>15</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Accessibility</w:t>
            </w:r>
          </w:p>
        </w:tc>
        <w:tc>
          <w:tcPr>
            <w:tcW w:type="dxa" w:w="1881"/>
          </w:tcPr>
          <w:p>
            <w:pPr>
              <w:spacing w:before="60" w:after="60"/>
            </w:pPr>
            <w:r/>
            <w:r>
              <w:rPr>
                <w:rFonts w:ascii="Lato" w:hAnsi="Lato"/>
                <w:b w:val="0"/>
                <w:i w:val="0"/>
                <w:color w:val="374151"/>
                <w:sz w:val="20"/>
              </w:rPr>
              <w:t>328</w:t>
            </w:r>
          </w:p>
        </w:tc>
        <w:tc>
          <w:tcPr>
            <w:tcW w:type="dxa" w:w="1881"/>
          </w:tcPr>
          <w:p>
            <w:pPr>
              <w:spacing w:before="60" w:after="60"/>
            </w:pPr>
            <w:r/>
            <w:r>
              <w:rPr>
                <w:rFonts w:ascii="Lato" w:hAnsi="Lato"/>
                <w:b w:val="0"/>
                <w:i w:val="0"/>
                <w:color w:val="374151"/>
                <w:sz w:val="20"/>
              </w:rPr>
              <w:t>84</w:t>
            </w:r>
          </w:p>
        </w:tc>
        <w:tc>
          <w:tcPr>
            <w:tcW w:type="dxa" w:w="1881"/>
          </w:tcPr>
          <w:p>
            <w:pPr>
              <w:spacing w:before="60" w:after="60"/>
            </w:pPr>
            <w:r/>
            <w:r>
              <w:rPr>
                <w:rFonts w:ascii="Lato" w:hAnsi="Lato"/>
                <w:b w:val="0"/>
                <w:i w:val="0"/>
                <w:color w:val="374151"/>
                <w:sz w:val="20"/>
              </w:rPr>
              <w:t>1</w:t>
            </w:r>
          </w:p>
        </w:tc>
        <w:tc>
          <w:tcPr>
            <w:tcW w:type="dxa" w:w="1881"/>
          </w:tcPr>
          <w:p>
            <w:pPr>
              <w:spacing w:before="60" w:after="60"/>
            </w:pPr>
            <w:r/>
            <w:r>
              <w:rPr>
                <w:rFonts w:ascii="Lato" w:hAnsi="Lato"/>
                <w:b w:val="0"/>
                <w:i w:val="0"/>
                <w:color w:val="374151"/>
                <w:sz w:val="20"/>
              </w:rPr>
              <w:t>+25%</w:t>
            </w:r>
          </w:p>
        </w:tc>
      </w:tr>
      <w:tr>
        <w:tc>
          <w:tcPr>
            <w:tcW w:type="dxa" w:w="1881"/>
          </w:tcPr>
          <w:p>
            <w:pPr>
              <w:spacing w:before="60" w:after="60"/>
            </w:pPr>
            <w:r/>
            <w:r>
              <w:rPr>
                <w:rFonts w:ascii="Lato" w:hAnsi="Lato"/>
                <w:b w:val="0"/>
                <w:i w:val="0"/>
                <w:color w:val="374151"/>
                <w:sz w:val="20"/>
              </w:rPr>
              <w:t>Cost</w:t>
            </w:r>
          </w:p>
        </w:tc>
        <w:tc>
          <w:tcPr>
            <w:tcW w:type="dxa" w:w="1881"/>
          </w:tcPr>
          <w:p>
            <w:pPr>
              <w:spacing w:before="60" w:after="60"/>
            </w:pPr>
            <w:r/>
            <w:r>
              <w:rPr>
                <w:rFonts w:ascii="Lato" w:hAnsi="Lato"/>
                <w:b w:val="0"/>
                <w:i w:val="0"/>
                <w:color w:val="374151"/>
                <w:sz w:val="20"/>
              </w:rPr>
              <w:t>260</w:t>
            </w:r>
          </w:p>
        </w:tc>
        <w:tc>
          <w:tcPr>
            <w:tcW w:type="dxa" w:w="1881"/>
          </w:tcPr>
          <w:p>
            <w:pPr>
              <w:spacing w:before="60" w:after="60"/>
            </w:pPr>
            <w:r/>
            <w:r>
              <w:rPr>
                <w:rFonts w:ascii="Lato" w:hAnsi="Lato"/>
                <w:b w:val="0"/>
                <w:i w:val="0"/>
                <w:color w:val="374151"/>
                <w:sz w:val="20"/>
              </w:rPr>
              <w:t>46</w:t>
            </w:r>
          </w:p>
        </w:tc>
        <w:tc>
          <w:tcPr>
            <w:tcW w:type="dxa" w:w="1881"/>
          </w:tcPr>
          <w:p>
            <w:pPr>
              <w:spacing w:before="60" w:after="60"/>
            </w:pPr>
            <w:r/>
            <w:r>
              <w:rPr>
                <w:rFonts w:ascii="Lato" w:hAnsi="Lato"/>
                <w:b w:val="0"/>
                <w:i w:val="0"/>
                <w:color w:val="374151"/>
                <w:sz w:val="20"/>
              </w:rPr>
              <w:t>34</w:t>
            </w:r>
          </w:p>
        </w:tc>
        <w:tc>
          <w:tcPr>
            <w:tcW w:type="dxa" w:w="1881"/>
          </w:tcPr>
          <w:p>
            <w:pPr>
              <w:spacing w:before="60" w:after="60"/>
            </w:pPr>
            <w:r/>
            <w:r>
              <w:rPr>
                <w:rFonts w:ascii="Lato" w:hAnsi="Lato"/>
                <w:b w:val="0"/>
                <w:i w:val="0"/>
                <w:color w:val="374151"/>
                <w:sz w:val="20"/>
              </w:rPr>
              <w:t>+5%</w:t>
            </w:r>
          </w:p>
        </w:tc>
      </w:tr>
      <w:tr>
        <w:tc>
          <w:tcPr>
            <w:tcW w:type="dxa" w:w="1881"/>
          </w:tcPr>
          <w:p>
            <w:pPr>
              <w:spacing w:before="60" w:after="60"/>
            </w:pPr>
            <w:r/>
            <w:r>
              <w:rPr>
                <w:rFonts w:ascii="Lato" w:hAnsi="Lato"/>
                <w:b w:val="0"/>
                <w:i w:val="0"/>
                <w:color w:val="374151"/>
                <w:sz w:val="20"/>
              </w:rPr>
              <w:t>Side Effects</w:t>
            </w:r>
          </w:p>
        </w:tc>
        <w:tc>
          <w:tcPr>
            <w:tcW w:type="dxa" w:w="1881"/>
          </w:tcPr>
          <w:p>
            <w:pPr>
              <w:spacing w:before="60" w:after="60"/>
            </w:pPr>
            <w:r/>
            <w:r>
              <w:rPr>
                <w:rFonts w:ascii="Lato" w:hAnsi="Lato"/>
                <w:b w:val="0"/>
                <w:i w:val="0"/>
                <w:color w:val="374151"/>
                <w:sz w:val="20"/>
              </w:rPr>
              <w:t>234</w:t>
            </w:r>
          </w:p>
        </w:tc>
        <w:tc>
          <w:tcPr>
            <w:tcW w:type="dxa" w:w="1881"/>
          </w:tcPr>
          <w:p>
            <w:pPr>
              <w:spacing w:before="60" w:after="60"/>
            </w:pPr>
            <w:r/>
            <w:r>
              <w:rPr>
                <w:rFonts w:ascii="Lato" w:hAnsi="Lato"/>
                <w:b w:val="0"/>
                <w:i w:val="0"/>
                <w:color w:val="374151"/>
                <w:sz w:val="20"/>
              </w:rPr>
              <w:t>11</w:t>
            </w:r>
          </w:p>
        </w:tc>
        <w:tc>
          <w:tcPr>
            <w:tcW w:type="dxa" w:w="1881"/>
          </w:tcPr>
          <w:p>
            <w:pPr>
              <w:spacing w:before="60" w:after="60"/>
            </w:pPr>
            <w:r/>
            <w:r>
              <w:rPr>
                <w:rFonts w:ascii="Lato" w:hAnsi="Lato"/>
                <w:b w:val="0"/>
                <w:i w:val="0"/>
                <w:color w:val="374151"/>
                <w:sz w:val="20"/>
              </w:rPr>
              <w:t>86</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Muscle Preservation</w:t>
            </w:r>
          </w:p>
        </w:tc>
        <w:tc>
          <w:tcPr>
            <w:tcW w:type="dxa" w:w="1881"/>
          </w:tcPr>
          <w:p>
            <w:pPr>
              <w:spacing w:before="60" w:after="60"/>
            </w:pPr>
            <w:r/>
            <w:r>
              <w:rPr>
                <w:rFonts w:ascii="Lato" w:hAnsi="Lato"/>
                <w:b w:val="0"/>
                <w:i w:val="0"/>
                <w:color w:val="374151"/>
                <w:sz w:val="20"/>
              </w:rPr>
              <w:t>191</w:t>
            </w:r>
          </w:p>
        </w:tc>
        <w:tc>
          <w:tcPr>
            <w:tcW w:type="dxa" w:w="1881"/>
          </w:tcPr>
          <w:p>
            <w:pPr>
              <w:spacing w:before="60" w:after="60"/>
            </w:pPr>
            <w:r/>
            <w:r>
              <w:rPr>
                <w:rFonts w:ascii="Lato" w:hAnsi="Lato"/>
                <w:b w:val="0"/>
                <w:i w:val="0"/>
                <w:color w:val="374151"/>
                <w:sz w:val="20"/>
              </w:rPr>
              <w:t>42</w:t>
            </w:r>
          </w:p>
        </w:tc>
        <w:tc>
          <w:tcPr>
            <w:tcW w:type="dxa" w:w="1881"/>
          </w:tcPr>
          <w:p>
            <w:pPr>
              <w:spacing w:before="60" w:after="60"/>
            </w:pPr>
            <w:r/>
            <w:r>
              <w:rPr>
                <w:rFonts w:ascii="Lato" w:hAnsi="Lato"/>
                <w:b w:val="0"/>
                <w:i w:val="0"/>
                <w:color w:val="374151"/>
                <w:sz w:val="20"/>
              </w:rPr>
              <w:t>26</w:t>
            </w:r>
          </w:p>
        </w:tc>
        <w:tc>
          <w:tcPr>
            <w:tcW w:type="dxa" w:w="1881"/>
          </w:tcPr>
          <w:p>
            <w:pPr>
              <w:spacing w:before="60" w:after="60"/>
            </w:pPr>
            <w:r/>
            <w:r>
              <w:rPr>
                <w:rFonts w:ascii="Lato" w:hAnsi="Lato"/>
                <w:b w:val="0"/>
                <w:i w:val="0"/>
                <w:color w:val="374151"/>
                <w:sz w:val="20"/>
              </w:rPr>
              <w:t>+8%</w:t>
            </w:r>
          </w:p>
        </w:tc>
      </w:tr>
      <w:tr>
        <w:tc>
          <w:tcPr>
            <w:tcW w:type="dxa" w:w="1881"/>
          </w:tcPr>
          <w:p>
            <w:pPr>
              <w:spacing w:before="60" w:after="60"/>
            </w:pPr>
            <w:r/>
            <w:r>
              <w:rPr>
                <w:rFonts w:ascii="Lato" w:hAnsi="Lato"/>
                <w:b w:val="0"/>
                <w:i w:val="0"/>
                <w:color w:val="374151"/>
                <w:sz w:val="20"/>
              </w:rPr>
              <w:t>Sustainability</w:t>
            </w:r>
          </w:p>
        </w:tc>
        <w:tc>
          <w:tcPr>
            <w:tcW w:type="dxa" w:w="1881"/>
          </w:tcPr>
          <w:p>
            <w:pPr>
              <w:spacing w:before="60" w:after="60"/>
            </w:pPr>
            <w:r/>
            <w:r>
              <w:rPr>
                <w:rFonts w:ascii="Lato" w:hAnsi="Lato"/>
                <w:b w:val="0"/>
                <w:i w:val="0"/>
                <w:color w:val="374151"/>
                <w:sz w:val="20"/>
              </w:rPr>
              <w:t>167</w:t>
            </w:r>
          </w:p>
        </w:tc>
        <w:tc>
          <w:tcPr>
            <w:tcW w:type="dxa" w:w="1881"/>
          </w:tcPr>
          <w:p>
            <w:pPr>
              <w:spacing w:before="60" w:after="60"/>
            </w:pPr>
            <w:r/>
            <w:r>
              <w:rPr>
                <w:rFonts w:ascii="Lato" w:hAnsi="Lato"/>
                <w:b w:val="0"/>
                <w:i w:val="0"/>
                <w:color w:val="374151"/>
                <w:sz w:val="20"/>
              </w:rPr>
              <w:t>111</w:t>
            </w:r>
          </w:p>
        </w:tc>
        <w:tc>
          <w:tcPr>
            <w:tcW w:type="dxa" w:w="1881"/>
          </w:tcPr>
          <w:p>
            <w:pPr>
              <w:spacing w:before="60" w:after="60"/>
            </w:pPr>
            <w:r/>
            <w:r>
              <w:rPr>
                <w:rFonts w:ascii="Lato" w:hAnsi="Lato"/>
                <w:b w:val="0"/>
                <w:i w:val="0"/>
                <w:color w:val="374151"/>
                <w:sz w:val="20"/>
              </w:rPr>
              <w:t>15</w:t>
            </w:r>
          </w:p>
        </w:tc>
        <w:tc>
          <w:tcPr>
            <w:tcW w:type="dxa" w:w="1881"/>
          </w:tcPr>
          <w:p>
            <w:pPr>
              <w:spacing w:before="60" w:after="60"/>
            </w:pPr>
            <w:r/>
            <w:r>
              <w:rPr>
                <w:rFonts w:ascii="Lato" w:hAnsi="Lato"/>
                <w:b w:val="0"/>
                <w:i w:val="0"/>
                <w:color w:val="374151"/>
                <w:sz w:val="20"/>
              </w:rPr>
              <w:t>+57%</w:t>
            </w:r>
          </w:p>
        </w:tc>
      </w:tr>
      <w:tr>
        <w:tc>
          <w:tcPr>
            <w:tcW w:type="dxa" w:w="1881"/>
          </w:tcPr>
          <w:p>
            <w:pPr>
              <w:spacing w:before="60" w:after="60"/>
            </w:pPr>
            <w:r/>
            <w:r>
              <w:rPr>
                <w:rFonts w:ascii="Lato" w:hAnsi="Lato"/>
                <w:b w:val="0"/>
                <w:i w:val="0"/>
                <w:color w:val="374151"/>
                <w:sz w:val="20"/>
              </w:rPr>
              <w:t>Natural Alternatives</w:t>
            </w:r>
          </w:p>
        </w:tc>
        <w:tc>
          <w:tcPr>
            <w:tcW w:type="dxa" w:w="1881"/>
          </w:tcPr>
          <w:p>
            <w:pPr>
              <w:spacing w:before="60" w:after="60"/>
            </w:pPr>
            <w:r/>
            <w:r>
              <w:rPr>
                <w:rFonts w:ascii="Lato" w:hAnsi="Lato"/>
                <w:b w:val="0"/>
                <w:i w:val="0"/>
                <w:color w:val="374151"/>
                <w:sz w:val="20"/>
              </w:rPr>
              <w:t>157</w:t>
            </w:r>
          </w:p>
        </w:tc>
        <w:tc>
          <w:tcPr>
            <w:tcW w:type="dxa" w:w="1881"/>
          </w:tcPr>
          <w:p>
            <w:pPr>
              <w:spacing w:before="60" w:after="60"/>
            </w:pPr>
            <w:r/>
            <w:r>
              <w:rPr>
                <w:rFonts w:ascii="Lato" w:hAnsi="Lato"/>
                <w:b w:val="0"/>
                <w:i w:val="0"/>
                <w:color w:val="374151"/>
                <w:sz w:val="20"/>
              </w:rPr>
              <w:t>124</w:t>
            </w:r>
          </w:p>
        </w:tc>
        <w:tc>
          <w:tcPr>
            <w:tcW w:type="dxa" w:w="1881"/>
          </w:tcPr>
          <w:p>
            <w:pPr>
              <w:spacing w:before="60" w:after="60"/>
            </w:pPr>
            <w:r/>
            <w:r>
              <w:rPr>
                <w:rFonts w:ascii="Lato" w:hAnsi="Lato"/>
                <w:b w:val="0"/>
                <w:i w:val="0"/>
                <w:color w:val="374151"/>
                <w:sz w:val="20"/>
              </w:rPr>
              <w:t>1</w:t>
            </w:r>
          </w:p>
        </w:tc>
        <w:tc>
          <w:tcPr>
            <w:tcW w:type="dxa" w:w="1881"/>
          </w:tcPr>
          <w:p>
            <w:pPr>
              <w:spacing w:before="60" w:after="60"/>
            </w:pPr>
            <w:r/>
            <w:r>
              <w:rPr>
                <w:rFonts w:ascii="Lato" w:hAnsi="Lato"/>
                <w:b w:val="0"/>
                <w:i w:val="0"/>
                <w:color w:val="374151"/>
                <w:sz w:val="20"/>
              </w:rPr>
              <w:t>+78%</w:t>
            </w:r>
          </w:p>
        </w:tc>
      </w:tr>
      <w:tr>
        <w:tc>
          <w:tcPr>
            <w:tcW w:type="dxa" w:w="1881"/>
          </w:tcPr>
          <w:p>
            <w:pPr>
              <w:spacing w:before="60" w:after="60"/>
            </w:pPr>
            <w:r/>
            <w:r>
              <w:rPr>
                <w:rFonts w:ascii="Lato" w:hAnsi="Lato"/>
                <w:b w:val="0"/>
                <w:i w:val="0"/>
                <w:color w:val="374151"/>
                <w:sz w:val="20"/>
              </w:rPr>
              <w:t>Stigma</w:t>
            </w:r>
          </w:p>
        </w:tc>
        <w:tc>
          <w:tcPr>
            <w:tcW w:type="dxa" w:w="1881"/>
          </w:tcPr>
          <w:p>
            <w:pPr>
              <w:spacing w:before="60" w:after="60"/>
            </w:pPr>
            <w:r/>
            <w:r>
              <w:rPr>
                <w:rFonts w:ascii="Lato" w:hAnsi="Lato"/>
                <w:b w:val="0"/>
                <w:i w:val="0"/>
                <w:color w:val="374151"/>
                <w:sz w:val="20"/>
              </w:rPr>
              <w:t>98</w:t>
            </w:r>
          </w:p>
        </w:tc>
        <w:tc>
          <w:tcPr>
            <w:tcW w:type="dxa" w:w="1881"/>
          </w:tcPr>
          <w:p>
            <w:pPr>
              <w:spacing w:before="60" w:after="60"/>
            </w:pPr>
            <w:r/>
            <w:r>
              <w:rPr>
                <w:rFonts w:ascii="Lato" w:hAnsi="Lato"/>
                <w:b w:val="0"/>
                <w:i w:val="0"/>
                <w:color w:val="374151"/>
                <w:sz w:val="20"/>
              </w:rPr>
              <w:t>0</w:t>
            </w:r>
          </w:p>
        </w:tc>
        <w:tc>
          <w:tcPr>
            <w:tcW w:type="dxa" w:w="1881"/>
          </w:tcPr>
          <w:p>
            <w:pPr>
              <w:spacing w:before="60" w:after="60"/>
            </w:pPr>
            <w:r/>
            <w:r>
              <w:rPr>
                <w:rFonts w:ascii="Lato" w:hAnsi="Lato"/>
                <w:b w:val="0"/>
                <w:i w:val="0"/>
                <w:color w:val="374151"/>
                <w:sz w:val="20"/>
              </w:rPr>
              <w:t>69</w:t>
            </w:r>
          </w:p>
        </w:tc>
        <w:tc>
          <w:tcPr>
            <w:tcW w:type="dxa" w:w="1881"/>
          </w:tcPr>
          <w:p>
            <w:pPr>
              <w:spacing w:before="60" w:after="60"/>
            </w:pPr>
            <w:r/>
            <w:r>
              <w:rPr>
                <w:rFonts w:ascii="Lato" w:hAnsi="Lato"/>
                <w:b w:val="0"/>
                <w:i w:val="0"/>
                <w:color w:val="374151"/>
                <w:sz w:val="20"/>
              </w:rPr>
              <w:t>-70%</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2640437"/>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2640437"/>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2,255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India Market Access &amp; Affordability</w:t>
            </w:r>
          </w:p>
        </w:tc>
        <w:tc>
          <w:tcPr>
            <w:tcW w:type="dxa" w:w="1568"/>
          </w:tcPr>
          <w:p>
            <w:pPr>
              <w:spacing w:before="60" w:after="60"/>
            </w:pPr>
            <w:r/>
            <w:r>
              <w:rPr>
                <w:rFonts w:ascii="Lato" w:hAnsi="Lato"/>
                <w:b w:val="0"/>
                <w:i w:val="0"/>
                <w:color w:val="374151"/>
                <w:sz w:val="20"/>
              </w:rPr>
              <w:t>994</w:t>
            </w:r>
          </w:p>
        </w:tc>
        <w:tc>
          <w:tcPr>
            <w:tcW w:type="dxa" w:w="1568"/>
          </w:tcPr>
          <w:p>
            <w:pPr>
              <w:spacing w:before="60" w:after="60"/>
            </w:pPr>
            <w:r/>
            <w:r>
              <w:rPr>
                <w:rFonts w:ascii="Lato" w:hAnsi="Lato"/>
                <w:b w:val="0"/>
                <w:i w:val="0"/>
                <w:color w:val="374151"/>
                <w:sz w:val="20"/>
              </w:rPr>
              <w:t>40.0%</w:t>
            </w:r>
          </w:p>
        </w:tc>
        <w:tc>
          <w:tcPr>
            <w:tcW w:type="dxa" w:w="1568"/>
          </w:tcPr>
          <w:p>
            <w:pPr>
              <w:spacing w:before="60" w:after="60"/>
            </w:pPr>
            <w:r/>
            <w:r>
              <w:rPr>
                <w:rFonts w:ascii="Lato" w:hAnsi="Lato"/>
                <w:b w:val="0"/>
                <w:i w:val="0"/>
                <w:color w:val="374151"/>
                <w:sz w:val="20"/>
              </w:rPr>
              <w:t>67% (Moderate)</w:t>
            </w:r>
          </w:p>
        </w:tc>
        <w:tc>
          <w:tcPr>
            <w:tcW w:type="dxa" w:w="1568"/>
          </w:tcPr>
          <w:p>
            <w:pPr>
              <w:spacing w:before="60" w:after="60"/>
            </w:pPr>
            <w:r/>
            <w:r>
              <w:rPr>
                <w:rFonts w:ascii="Lato" w:hAnsi="Lato"/>
                <w:b w:val="0"/>
                <w:i w:val="0"/>
                <w:color w:val="374151"/>
                <w:sz w:val="20"/>
              </w:rPr>
              <w:t>72% (Medium)</w:t>
            </w:r>
          </w:p>
        </w:tc>
        <w:tc>
          <w:tcPr>
            <w:tcW w:type="dxa" w:w="1568"/>
          </w:tcPr>
          <w:p>
            <w:pPr>
              <w:spacing w:before="60" w:after="60"/>
            </w:pPr>
            <w:r/>
            <w:r>
              <w:rPr>
                <w:rFonts w:ascii="Lato" w:hAnsi="Lato"/>
                <w:b w:val="0"/>
                <w:i w:val="0"/>
                <w:color w:val="374151"/>
                <w:sz w:val="20"/>
              </w:rPr>
              <w:t>+20%</w:t>
            </w:r>
          </w:p>
        </w:tc>
      </w:tr>
      <w:tr>
        <w:tc>
          <w:tcPr>
            <w:tcW w:type="dxa" w:w="1568"/>
          </w:tcPr>
          <w:p>
            <w:pPr>
              <w:spacing w:before="60" w:after="60"/>
            </w:pPr>
            <w:r/>
            <w:r>
              <w:rPr>
                <w:rFonts w:ascii="Lato" w:hAnsi="Lato"/>
                <w:b w:val="0"/>
                <w:i w:val="0"/>
                <w:color w:val="374151"/>
                <w:sz w:val="20"/>
              </w:rPr>
              <w:t>GLP-1 Medication Efficacy &amp; Personal Journeys</w:t>
            </w:r>
          </w:p>
        </w:tc>
        <w:tc>
          <w:tcPr>
            <w:tcW w:type="dxa" w:w="1568"/>
          </w:tcPr>
          <w:p>
            <w:pPr>
              <w:spacing w:before="60" w:after="60"/>
            </w:pPr>
            <w:r/>
            <w:r>
              <w:rPr>
                <w:rFonts w:ascii="Lato" w:hAnsi="Lato"/>
                <w:b w:val="0"/>
                <w:i w:val="0"/>
                <w:color w:val="374151"/>
                <w:sz w:val="20"/>
              </w:rPr>
              <w:t>990</w:t>
            </w:r>
          </w:p>
        </w:tc>
        <w:tc>
          <w:tcPr>
            <w:tcW w:type="dxa" w:w="1568"/>
          </w:tcPr>
          <w:p>
            <w:pPr>
              <w:spacing w:before="60" w:after="60"/>
            </w:pPr>
            <w:r/>
            <w:r>
              <w:rPr>
                <w:rFonts w:ascii="Lato" w:hAnsi="Lato"/>
                <w:b w:val="0"/>
                <w:i w:val="0"/>
                <w:color w:val="374151"/>
                <w:sz w:val="20"/>
              </w:rPr>
              <w:t>39.9%</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71% (Medium)</w:t>
            </w:r>
          </w:p>
        </w:tc>
        <w:tc>
          <w:tcPr>
            <w:tcW w:type="dxa" w:w="1568"/>
          </w:tcPr>
          <w:p>
            <w:pPr>
              <w:spacing w:before="60" w:after="60"/>
            </w:pPr>
            <w:r/>
            <w:r>
              <w:rPr>
                <w:rFonts w:ascii="Lato" w:hAnsi="Lato"/>
                <w:b w:val="0"/>
                <w:i w:val="0"/>
                <w:color w:val="374151"/>
                <w:sz w:val="20"/>
              </w:rPr>
              <w:t>+21%</w:t>
            </w:r>
          </w:p>
        </w:tc>
      </w:tr>
      <w:tr>
        <w:tc>
          <w:tcPr>
            <w:tcW w:type="dxa" w:w="1568"/>
          </w:tcPr>
          <w:p>
            <w:pPr>
              <w:spacing w:before="60" w:after="60"/>
            </w:pPr>
            <w:r/>
            <w:r>
              <w:rPr>
                <w:rFonts w:ascii="Lato" w:hAnsi="Lato"/>
                <w:b w:val="0"/>
                <w:i w:val="0"/>
                <w:color w:val="374151"/>
                <w:sz w:val="20"/>
              </w:rPr>
              <w:t>Diet &amp; Nutrition on GLP-1</w:t>
            </w:r>
          </w:p>
        </w:tc>
        <w:tc>
          <w:tcPr>
            <w:tcW w:type="dxa" w:w="1568"/>
          </w:tcPr>
          <w:p>
            <w:pPr>
              <w:spacing w:before="60" w:after="60"/>
            </w:pPr>
            <w:r/>
            <w:r>
              <w:rPr>
                <w:rFonts w:ascii="Lato" w:hAnsi="Lato"/>
                <w:b w:val="0"/>
                <w:i w:val="0"/>
                <w:color w:val="374151"/>
                <w:sz w:val="20"/>
              </w:rPr>
              <w:t>830</w:t>
            </w:r>
          </w:p>
        </w:tc>
        <w:tc>
          <w:tcPr>
            <w:tcW w:type="dxa" w:w="1568"/>
          </w:tcPr>
          <w:p>
            <w:pPr>
              <w:spacing w:before="60" w:after="60"/>
            </w:pPr>
            <w:r/>
            <w:r>
              <w:rPr>
                <w:rFonts w:ascii="Lato" w:hAnsi="Lato"/>
                <w:b w:val="0"/>
                <w:i w:val="0"/>
                <w:color w:val="374151"/>
                <w:sz w:val="20"/>
              </w:rPr>
              <w:t>33.4%</w:t>
            </w:r>
          </w:p>
        </w:tc>
        <w:tc>
          <w:tcPr>
            <w:tcW w:type="dxa" w:w="1568"/>
          </w:tcPr>
          <w:p>
            <w:pPr>
              <w:spacing w:before="60" w:after="60"/>
            </w:pPr>
            <w:r/>
            <w:r>
              <w:rPr>
                <w:rFonts w:ascii="Lato" w:hAnsi="Lato"/>
                <w:b w:val="0"/>
                <w:i w:val="0"/>
                <w:color w:val="374151"/>
                <w:sz w:val="20"/>
              </w:rPr>
              <w:t>71% (Moderate)</w:t>
            </w:r>
          </w:p>
        </w:tc>
        <w:tc>
          <w:tcPr>
            <w:tcW w:type="dxa" w:w="1568"/>
          </w:tcPr>
          <w:p>
            <w:pPr>
              <w:spacing w:before="60" w:after="60"/>
            </w:pPr>
            <w:r/>
            <w:r>
              <w:rPr>
                <w:rFonts w:ascii="Lato" w:hAnsi="Lato"/>
                <w:b w:val="0"/>
                <w:i w:val="0"/>
                <w:color w:val="374151"/>
                <w:sz w:val="20"/>
              </w:rPr>
              <w:t>72% (Medium)</w:t>
            </w:r>
          </w:p>
        </w:tc>
        <w:tc>
          <w:tcPr>
            <w:tcW w:type="dxa" w:w="1568"/>
          </w:tcPr>
          <w:p>
            <w:pPr>
              <w:spacing w:before="60" w:after="60"/>
            </w:pPr>
            <w:r/>
            <w:r>
              <w:rPr>
                <w:rFonts w:ascii="Lato" w:hAnsi="Lato"/>
                <w:b w:val="0"/>
                <w:i w:val="0"/>
                <w:color w:val="374151"/>
                <w:sz w:val="20"/>
              </w:rPr>
              <w:t>+26%</w:t>
            </w:r>
          </w:p>
        </w:tc>
      </w:tr>
      <w:tr>
        <w:tc>
          <w:tcPr>
            <w:tcW w:type="dxa" w:w="1568"/>
          </w:tcPr>
          <w:p>
            <w:pPr>
              <w:spacing w:before="60" w:after="60"/>
            </w:pPr>
            <w:r/>
            <w:r>
              <w:rPr>
                <w:rFonts w:ascii="Lato" w:hAnsi="Lato"/>
                <w:b w:val="0"/>
                <w:i w:val="0"/>
                <w:color w:val="374151"/>
                <w:sz w:val="20"/>
              </w:rPr>
              <w:t>Indian Weight Loss Culture &amp; Desi Diet</w:t>
            </w:r>
          </w:p>
        </w:tc>
        <w:tc>
          <w:tcPr>
            <w:tcW w:type="dxa" w:w="1568"/>
          </w:tcPr>
          <w:p>
            <w:pPr>
              <w:spacing w:before="60" w:after="60"/>
            </w:pPr>
            <w:r/>
            <w:r>
              <w:rPr>
                <w:rFonts w:ascii="Lato" w:hAnsi="Lato"/>
                <w:b w:val="0"/>
                <w:i w:val="0"/>
                <w:color w:val="374151"/>
                <w:sz w:val="20"/>
              </w:rPr>
              <w:t>513</w:t>
            </w:r>
          </w:p>
        </w:tc>
        <w:tc>
          <w:tcPr>
            <w:tcW w:type="dxa" w:w="1568"/>
          </w:tcPr>
          <w:p>
            <w:pPr>
              <w:spacing w:before="60" w:after="60"/>
            </w:pPr>
            <w:r/>
            <w:r>
              <w:rPr>
                <w:rFonts w:ascii="Lato" w:hAnsi="Lato"/>
                <w:b w:val="0"/>
                <w:i w:val="0"/>
                <w:color w:val="374151"/>
                <w:sz w:val="20"/>
              </w:rPr>
              <w:t>20.7%</w:t>
            </w:r>
          </w:p>
        </w:tc>
        <w:tc>
          <w:tcPr>
            <w:tcW w:type="dxa" w:w="1568"/>
          </w:tcPr>
          <w:p>
            <w:pPr>
              <w:spacing w:before="60" w:after="60"/>
            </w:pPr>
            <w:r/>
            <w:r>
              <w:rPr>
                <w:rFonts w:ascii="Lato" w:hAnsi="Lato"/>
                <w:b w:val="0"/>
                <w:i w:val="0"/>
                <w:color w:val="374151"/>
                <w:sz w:val="20"/>
              </w:rPr>
              <w:t>64%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+28%</w:t>
            </w:r>
          </w:p>
        </w:tc>
      </w:tr>
      <w:tr>
        <w:tc>
          <w:tcPr>
            <w:tcW w:type="dxa" w:w="1568"/>
          </w:tcPr>
          <w:p>
            <w:pPr>
              <w:spacing w:before="60" w:after="60"/>
            </w:pPr>
            <w:r/>
            <w:r>
              <w:rPr>
                <w:rFonts w:ascii="Lato" w:hAnsi="Lato"/>
                <w:b w:val="0"/>
                <w:i w:val="0"/>
                <w:color w:val="374151"/>
                <w:sz w:val="20"/>
              </w:rPr>
              <w:t>Medical Science &amp; GLP-1 Education</w:t>
            </w:r>
          </w:p>
        </w:tc>
        <w:tc>
          <w:tcPr>
            <w:tcW w:type="dxa" w:w="1568"/>
          </w:tcPr>
          <w:p>
            <w:pPr>
              <w:spacing w:before="60" w:after="60"/>
            </w:pPr>
            <w:r/>
            <w:r>
              <w:rPr>
                <w:rFonts w:ascii="Lato" w:hAnsi="Lato"/>
                <w:b w:val="0"/>
                <w:i w:val="0"/>
                <w:color w:val="374151"/>
                <w:sz w:val="20"/>
              </w:rPr>
              <w:t>508</w:t>
            </w:r>
          </w:p>
        </w:tc>
        <w:tc>
          <w:tcPr>
            <w:tcW w:type="dxa" w:w="1568"/>
          </w:tcPr>
          <w:p>
            <w:pPr>
              <w:spacing w:before="60" w:after="60"/>
            </w:pPr>
            <w:r/>
            <w:r>
              <w:rPr>
                <w:rFonts w:ascii="Lato" w:hAnsi="Lato"/>
                <w:b w:val="0"/>
                <w:i w:val="0"/>
                <w:color w:val="374151"/>
                <w:sz w:val="20"/>
              </w:rPr>
              <w:t>20.5%</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+21%</w:t>
            </w:r>
          </w:p>
        </w:tc>
      </w:tr>
      <w:tr>
        <w:tc>
          <w:tcPr>
            <w:tcW w:type="dxa" w:w="1568"/>
          </w:tcPr>
          <w:p>
            <w:pPr>
              <w:spacing w:before="60" w:after="60"/>
            </w:pPr>
            <w:r/>
            <w:r>
              <w:rPr>
                <w:rFonts w:ascii="Lato" w:hAnsi="Lato"/>
                <w:b w:val="0"/>
                <w:i w:val="0"/>
                <w:color w:val="374151"/>
                <w:sz w:val="20"/>
              </w:rPr>
              <w:t>Natural Alternatives &amp; Anti-Medication Stance</w:t>
            </w:r>
          </w:p>
        </w:tc>
        <w:tc>
          <w:tcPr>
            <w:tcW w:type="dxa" w:w="1568"/>
          </w:tcPr>
          <w:p>
            <w:pPr>
              <w:spacing w:before="60" w:after="60"/>
            </w:pPr>
            <w:r/>
            <w:r>
              <w:rPr>
                <w:rFonts w:ascii="Lato" w:hAnsi="Lato"/>
                <w:b w:val="0"/>
                <w:i w:val="0"/>
                <w:color w:val="374151"/>
                <w:sz w:val="20"/>
              </w:rPr>
              <w:t>323</w:t>
            </w:r>
          </w:p>
        </w:tc>
        <w:tc>
          <w:tcPr>
            <w:tcW w:type="dxa" w:w="1568"/>
          </w:tcPr>
          <w:p>
            <w:pPr>
              <w:spacing w:before="60" w:after="60"/>
            </w:pPr>
            <w:r/>
            <w:r>
              <w:rPr>
                <w:rFonts w:ascii="Lato" w:hAnsi="Lato"/>
                <w:b w:val="0"/>
                <w:i w:val="0"/>
                <w:color w:val="374151"/>
                <w:sz w:val="20"/>
              </w:rPr>
              <w:t>13.0%</w:t>
            </w:r>
          </w:p>
        </w:tc>
        <w:tc>
          <w:tcPr>
            <w:tcW w:type="dxa" w:w="1568"/>
          </w:tcPr>
          <w:p>
            <w:pPr>
              <w:spacing w:before="60" w:after="60"/>
            </w:pPr>
            <w:r/>
            <w:r>
              <w:rPr>
                <w:rFonts w:ascii="Lato" w:hAnsi="Lato"/>
                <w:b w:val="0"/>
                <w:i w:val="0"/>
                <w:color w:val="374151"/>
                <w:sz w:val="20"/>
              </w:rPr>
              <w:t>64%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+24%</w:t>
            </w:r>
          </w:p>
        </w:tc>
      </w:tr>
      <w:tr>
        <w:tc>
          <w:tcPr>
            <w:tcW w:type="dxa" w:w="1568"/>
          </w:tcPr>
          <w:p>
            <w:pPr>
              <w:spacing w:before="60" w:after="60"/>
            </w:pPr>
            <w:r/>
            <w:r>
              <w:rPr>
                <w:rFonts w:ascii="Lato" w:hAnsi="Lato"/>
                <w:b w:val="0"/>
                <w:i w:val="0"/>
                <w:color w:val="374151"/>
                <w:sz w:val="20"/>
              </w:rPr>
              <w:t>PCOS, Hormones &amp; Women's Health</w:t>
            </w:r>
          </w:p>
        </w:tc>
        <w:tc>
          <w:tcPr>
            <w:tcW w:type="dxa" w:w="1568"/>
          </w:tcPr>
          <w:p>
            <w:pPr>
              <w:spacing w:before="60" w:after="60"/>
            </w:pPr>
            <w:r/>
            <w:r>
              <w:rPr>
                <w:rFonts w:ascii="Lato" w:hAnsi="Lato"/>
                <w:b w:val="0"/>
                <w:i w:val="0"/>
                <w:color w:val="374151"/>
                <w:sz w:val="20"/>
              </w:rPr>
              <w:t>313</w:t>
            </w:r>
          </w:p>
        </w:tc>
        <w:tc>
          <w:tcPr>
            <w:tcW w:type="dxa" w:w="1568"/>
          </w:tcPr>
          <w:p>
            <w:pPr>
              <w:spacing w:before="60" w:after="60"/>
            </w:pPr>
            <w:r/>
            <w:r>
              <w:rPr>
                <w:rFonts w:ascii="Lato" w:hAnsi="Lato"/>
                <w:b w:val="0"/>
                <w:i w:val="0"/>
                <w:color w:val="374151"/>
                <w:sz w:val="20"/>
              </w:rPr>
              <w:t>12.6%</w:t>
            </w:r>
          </w:p>
        </w:tc>
        <w:tc>
          <w:tcPr>
            <w:tcW w:type="dxa" w:w="1568"/>
          </w:tcPr>
          <w:p>
            <w:pPr>
              <w:spacing w:before="60" w:after="60"/>
            </w:pPr>
            <w:r/>
            <w:r>
              <w:rPr>
                <w:rFonts w:ascii="Lato" w:hAnsi="Lato"/>
                <w:b w:val="0"/>
                <w:i w:val="0"/>
                <w:color w:val="374151"/>
                <w:sz w:val="20"/>
              </w:rPr>
              <w:t>64%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+25%</w:t>
            </w:r>
          </w:p>
        </w:tc>
      </w:tr>
      <w:tr>
        <w:tc>
          <w:tcPr>
            <w:tcW w:type="dxa" w:w="1568"/>
          </w:tcPr>
          <w:p>
            <w:pPr>
              <w:spacing w:before="60" w:after="60"/>
            </w:pPr>
            <w:r/>
            <w:r>
              <w:rPr>
                <w:rFonts w:ascii="Lato" w:hAnsi="Lato"/>
                <w:b w:val="0"/>
                <w:i w:val="0"/>
                <w:color w:val="374151"/>
                <w:sz w:val="20"/>
              </w:rPr>
              <w:t>Stigma, Shame &amp; Social Judgment</w:t>
            </w:r>
          </w:p>
        </w:tc>
        <w:tc>
          <w:tcPr>
            <w:tcW w:type="dxa" w:w="1568"/>
          </w:tcPr>
          <w:p>
            <w:pPr>
              <w:spacing w:before="60" w:after="60"/>
            </w:pPr>
            <w:r/>
            <w:r>
              <w:rPr>
                <w:rFonts w:ascii="Lato" w:hAnsi="Lato"/>
                <w:b w:val="0"/>
                <w:i w:val="0"/>
                <w:color w:val="374151"/>
                <w:sz w:val="20"/>
              </w:rPr>
              <w:t>297</w:t>
            </w:r>
          </w:p>
        </w:tc>
        <w:tc>
          <w:tcPr>
            <w:tcW w:type="dxa" w:w="1568"/>
          </w:tcPr>
          <w:p>
            <w:pPr>
              <w:spacing w:before="60" w:after="60"/>
            </w:pPr>
            <w:r/>
            <w:r>
              <w:rPr>
                <w:rFonts w:ascii="Lato" w:hAnsi="Lato"/>
                <w:b w:val="0"/>
                <w:i w:val="0"/>
                <w:color w:val="374151"/>
                <w:sz w:val="20"/>
              </w:rPr>
              <w:t>12.0%</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66% (Medium)</w:t>
            </w:r>
          </w:p>
        </w:tc>
        <w:tc>
          <w:tcPr>
            <w:tcW w:type="dxa" w:w="1568"/>
          </w:tcPr>
          <w:p>
            <w:pPr>
              <w:spacing w:before="60" w:after="60"/>
            </w:pPr>
            <w:r/>
            <w:r>
              <w:rPr>
                <w:rFonts w:ascii="Lato" w:hAnsi="Lato"/>
                <w:b w:val="0"/>
                <w:i w:val="0"/>
                <w:color w:val="374151"/>
                <w:sz w:val="20"/>
              </w:rPr>
              <w:t>+22%</w:t>
            </w:r>
          </w:p>
        </w:tc>
      </w:tr>
      <w:tr>
        <w:tc>
          <w:tcPr>
            <w:tcW w:type="dxa" w:w="1568"/>
          </w:tcPr>
          <w:p>
            <w:pPr>
              <w:spacing w:before="60" w:after="60"/>
            </w:pPr>
            <w:r/>
            <w:r>
              <w:rPr>
                <w:rFonts w:ascii="Lato" w:hAnsi="Lato"/>
                <w:b w:val="0"/>
                <w:i w:val="0"/>
                <w:color w:val="374151"/>
                <w:sz w:val="20"/>
              </w:rPr>
              <w:t>Side Effects &amp; Health Risks</w:t>
            </w:r>
          </w:p>
        </w:tc>
        <w:tc>
          <w:tcPr>
            <w:tcW w:type="dxa" w:w="1568"/>
          </w:tcPr>
          <w:p>
            <w:pPr>
              <w:spacing w:before="60" w:after="60"/>
            </w:pPr>
            <w:r/>
            <w:r>
              <w:rPr>
                <w:rFonts w:ascii="Lato" w:hAnsi="Lato"/>
                <w:b w:val="0"/>
                <w:i w:val="0"/>
                <w:color w:val="374151"/>
                <w:sz w:val="20"/>
              </w:rPr>
              <w:t>292</w:t>
            </w:r>
          </w:p>
        </w:tc>
        <w:tc>
          <w:tcPr>
            <w:tcW w:type="dxa" w:w="1568"/>
          </w:tcPr>
          <w:p>
            <w:pPr>
              <w:spacing w:before="60" w:after="60"/>
            </w:pPr>
            <w:r/>
            <w:r>
              <w:rPr>
                <w:rFonts w:ascii="Lato" w:hAnsi="Lato"/>
                <w:b w:val="0"/>
                <w:i w:val="0"/>
                <w:color w:val="374151"/>
                <w:sz w:val="20"/>
              </w:rPr>
              <w:t>11.8%</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-19%</w:t>
            </w:r>
          </w:p>
        </w:tc>
      </w:tr>
      <w:tr>
        <w:tc>
          <w:tcPr>
            <w:tcW w:type="dxa" w:w="1568"/>
          </w:tcPr>
          <w:p>
            <w:pPr>
              <w:spacing w:before="60" w:after="60"/>
            </w:pPr>
            <w:r/>
            <w:r>
              <w:rPr>
                <w:rFonts w:ascii="Lato" w:hAnsi="Lato"/>
                <w:b w:val="0"/>
                <w:i w:val="0"/>
                <w:color w:val="374151"/>
                <w:sz w:val="20"/>
              </w:rPr>
              <w:t>Sustainability &amp; Weight Regain Fears</w:t>
            </w:r>
          </w:p>
        </w:tc>
        <w:tc>
          <w:tcPr>
            <w:tcW w:type="dxa" w:w="1568"/>
          </w:tcPr>
          <w:p>
            <w:pPr>
              <w:spacing w:before="60" w:after="60"/>
            </w:pPr>
            <w:r/>
            <w:r>
              <w:rPr>
                <w:rFonts w:ascii="Lato" w:hAnsi="Lato"/>
                <w:b w:val="0"/>
                <w:i w:val="0"/>
                <w:color w:val="374151"/>
                <w:sz w:val="20"/>
              </w:rPr>
              <w:t>243</w:t>
            </w:r>
          </w:p>
        </w:tc>
        <w:tc>
          <w:tcPr>
            <w:tcW w:type="dxa" w:w="1568"/>
          </w:tcPr>
          <w:p>
            <w:pPr>
              <w:spacing w:before="60" w:after="60"/>
            </w:pPr>
            <w:r/>
            <w:r>
              <w:rPr>
                <w:rFonts w:ascii="Lato" w:hAnsi="Lato"/>
                <w:b w:val="0"/>
                <w:i w:val="0"/>
                <w:color w:val="374151"/>
                <w:sz w:val="20"/>
              </w:rPr>
              <w:t>9.8%</w:t>
            </w:r>
          </w:p>
        </w:tc>
        <w:tc>
          <w:tcPr>
            <w:tcW w:type="dxa" w:w="1568"/>
          </w:tcPr>
          <w:p>
            <w:pPr>
              <w:spacing w:before="60" w:after="60"/>
            </w:pPr>
            <w:r/>
            <w:r>
              <w:rPr>
                <w:rFonts w:ascii="Lato" w:hAnsi="Lato"/>
                <w:b w:val="0"/>
                <w:i w:val="0"/>
                <w:color w:val="374151"/>
                <w:sz w:val="20"/>
              </w:rPr>
              <w:t>70% (Moderate)</w:t>
            </w:r>
          </w:p>
        </w:tc>
        <w:tc>
          <w:tcPr>
            <w:tcW w:type="dxa" w:w="1568"/>
          </w:tcPr>
          <w:p>
            <w:pPr>
              <w:spacing w:before="60" w:after="60"/>
            </w:pPr>
            <w:r/>
            <w:r>
              <w:rPr>
                <w:rFonts w:ascii="Lato" w:hAnsi="Lato"/>
                <w:b w:val="0"/>
                <w:i w:val="0"/>
                <w:color w:val="374151"/>
                <w:sz w:val="20"/>
              </w:rPr>
              <w:t>63% (Medium)</w:t>
            </w:r>
          </w:p>
        </w:tc>
        <w:tc>
          <w:tcPr>
            <w:tcW w:type="dxa" w:w="1568"/>
          </w:tcPr>
          <w:p>
            <w:pPr>
              <w:spacing w:before="60" w:after="60"/>
            </w:pPr>
            <w:r/>
            <w:r>
              <w:rPr>
                <w:rFonts w:ascii="Lato" w:hAnsi="Lato"/>
                <w:b w:val="0"/>
                <w:i w:val="0"/>
                <w:color w:val="374151"/>
                <w:sz w:val="20"/>
              </w:rPr>
              <w:t>+25%</w:t>
            </w:r>
          </w:p>
        </w:tc>
      </w:tr>
      <w:tr>
        <w:tc>
          <w:tcPr>
            <w:tcW w:type="dxa" w:w="1568"/>
          </w:tcPr>
          <w:p>
            <w:pPr>
              <w:spacing w:before="60" w:after="60"/>
            </w:pPr>
            <w:r/>
            <w:r>
              <w:rPr>
                <w:rFonts w:ascii="Lato" w:hAnsi="Lato"/>
                <w:b w:val="0"/>
                <w:i w:val="0"/>
                <w:color w:val="374151"/>
                <w:sz w:val="20"/>
              </w:rPr>
              <w:t>Celebrity &amp; Bollywood Ozempic Speculation</w:t>
            </w:r>
          </w:p>
        </w:tc>
        <w:tc>
          <w:tcPr>
            <w:tcW w:type="dxa" w:w="1568"/>
          </w:tcPr>
          <w:p>
            <w:pPr>
              <w:spacing w:before="60" w:after="60"/>
            </w:pPr>
            <w:r/>
            <w:r>
              <w:rPr>
                <w:rFonts w:ascii="Lato" w:hAnsi="Lato"/>
                <w:b w:val="0"/>
                <w:i w:val="0"/>
                <w:color w:val="374151"/>
                <w:sz w:val="20"/>
              </w:rPr>
              <w:t>177</w:t>
            </w:r>
          </w:p>
        </w:tc>
        <w:tc>
          <w:tcPr>
            <w:tcW w:type="dxa" w:w="1568"/>
          </w:tcPr>
          <w:p>
            <w:pPr>
              <w:spacing w:before="60" w:after="60"/>
            </w:pPr>
            <w:r/>
            <w:r>
              <w:rPr>
                <w:rFonts w:ascii="Lato" w:hAnsi="Lato"/>
                <w:b w:val="0"/>
                <w:i w:val="0"/>
                <w:color w:val="374151"/>
                <w:sz w:val="20"/>
              </w:rPr>
              <w:t>7.1%</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62% (Medium)</w:t>
            </w:r>
          </w:p>
        </w:tc>
        <w:tc>
          <w:tcPr>
            <w:tcW w:type="dxa" w:w="1568"/>
          </w:tcPr>
          <w:p>
            <w:pPr>
              <w:spacing w:before="60" w:after="60"/>
            </w:pPr>
            <w:r/>
            <w:r>
              <w:rPr>
                <w:rFonts w:ascii="Lato" w:hAnsi="Lato"/>
                <w:b w:val="0"/>
                <w:i w:val="0"/>
                <w:color w:val="374151"/>
                <w:sz w:val="20"/>
              </w:rPr>
              <w:t>+13%</w:t>
            </w:r>
          </w:p>
        </w:tc>
      </w:tr>
      <w:tr>
        <w:tc>
          <w:tcPr>
            <w:tcW w:type="dxa" w:w="1568"/>
          </w:tcPr>
          <w:p>
            <w:pPr>
              <w:spacing w:before="60" w:after="60"/>
            </w:pPr>
            <w:r/>
            <w:r>
              <w:rPr>
                <w:rFonts w:ascii="Lato" w:hAnsi="Lato"/>
                <w:b w:val="0"/>
                <w:i w:val="0"/>
                <w:color w:val="374151"/>
                <w:sz w:val="20"/>
              </w:rPr>
              <w:t>Obesity Epidemic &amp; Systemic Food Issues</w:t>
            </w:r>
          </w:p>
        </w:tc>
        <w:tc>
          <w:tcPr>
            <w:tcW w:type="dxa" w:w="1568"/>
          </w:tcPr>
          <w:p>
            <w:pPr>
              <w:spacing w:before="60" w:after="60"/>
            </w:pPr>
            <w:r/>
            <w:r>
              <w:rPr>
                <w:rFonts w:ascii="Lato" w:hAnsi="Lato"/>
                <w:b w:val="0"/>
                <w:i w:val="0"/>
                <w:color w:val="374151"/>
                <w:sz w:val="20"/>
              </w:rPr>
              <w:t>120</w:t>
            </w:r>
          </w:p>
        </w:tc>
        <w:tc>
          <w:tcPr>
            <w:tcW w:type="dxa" w:w="1568"/>
          </w:tcPr>
          <w:p>
            <w:pPr>
              <w:spacing w:before="60" w:after="60"/>
            </w:pPr>
            <w:r/>
            <w:r>
              <w:rPr>
                <w:rFonts w:ascii="Lato" w:hAnsi="Lato"/>
                <w:b w:val="0"/>
                <w:i w:val="0"/>
                <w:color w:val="374151"/>
                <w:sz w:val="20"/>
              </w:rPr>
              <w:t>4.8%</w:t>
            </w:r>
          </w:p>
        </w:tc>
        <w:tc>
          <w:tcPr>
            <w:tcW w:type="dxa" w:w="1568"/>
          </w:tcPr>
          <w:p>
            <w:pPr>
              <w:spacing w:before="60" w:after="60"/>
            </w:pPr>
            <w:r/>
            <w:r>
              <w:rPr>
                <w:rFonts w:ascii="Lato" w:hAnsi="Lato"/>
                <w:b w:val="0"/>
                <w:i w:val="0"/>
                <w:color w:val="374151"/>
                <w:sz w:val="20"/>
              </w:rPr>
              <w:t>61%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+12%</w:t>
            </w:r>
          </w:p>
        </w:tc>
      </w:tr>
    </w:tbl>
    <w:p>
      <w:pPr>
        <w:jc w:val="center"/>
      </w:pPr>
      <w:r>
        <w:drawing>
          <wp:inline xmlns:a="http://schemas.openxmlformats.org/drawingml/2006/main" xmlns:pic="http://schemas.openxmlformats.org/drawingml/2006/picture">
            <wp:extent cx="5029200" cy="3759971"/>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59971"/>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Diet &amp; Nutrition on GLP-1</w:t>
      </w:r>
    </w:p>
    <w:p>
      <w:pPr>
        <w:spacing w:after="160"/>
      </w:pPr>
      <w:r>
        <w:rPr>
          <w:rFonts w:ascii="Lato" w:hAnsi="Lato"/>
          <w:b w:val="0"/>
          <w:i w:val="0"/>
          <w:color w:val="6B7280"/>
          <w:sz w:val="18"/>
        </w:rPr>
        <w:t>n=830</w:t>
      </w:r>
      <w:r>
        <w:rPr>
          <w:rFonts w:ascii="Lato" w:hAnsi="Lato"/>
          <w:b w:val="0"/>
          <w:i w:val="0"/>
          <w:color w:val="374151"/>
          <w:sz w:val="18"/>
        </w:rPr>
        <w:t xml:space="preserve">  |  Confidence: </w:t>
      </w:r>
      <w:r>
        <w:rPr>
          <w:rFonts w:ascii="Lato" w:hAnsi="Lato"/>
          <w:b/>
          <w:i w:val="0"/>
          <w:color w:val="D97706"/>
          <w:sz w:val="18"/>
        </w:rPr>
        <w:t>72% (Medium)</w:t>
      </w:r>
      <w:r>
        <w:rPr>
          <w:rFonts w:ascii="Lato" w:hAnsi="Lato"/>
          <w:b w:val="0"/>
          <w:i w:val="0"/>
          <w:color w:val="374151"/>
          <w:sz w:val="18"/>
        </w:rPr>
        <w:t xml:space="preserve">  |  Signal: </w:t>
      </w:r>
      <w:r>
        <w:rPr>
          <w:rFonts w:ascii="Lato" w:hAnsi="Lato"/>
          <w:b/>
          <w:i w:val="0"/>
          <w:color w:val="374151"/>
          <w:sz w:val="18"/>
        </w:rPr>
        <w:t>71% (Moderate)</w:t>
      </w:r>
      <w:r>
        <w:rPr>
          <w:rFonts w:ascii="Lato" w:hAnsi="Lato"/>
          <w:b w:val="0"/>
          <w:i w:val="0"/>
          <w:color w:val="6B7280"/>
          <w:sz w:val="18"/>
        </w:rPr>
        <w:t xml:space="preserve">  |  33.4% of Dataset</w:t>
      </w:r>
      <w:r>
        <w:rPr>
          <w:rFonts w:ascii="Lato" w:hAnsi="Lato"/>
          <w:b w:val="0"/>
          <w:i w:val="0"/>
          <w:color w:val="6B7280"/>
          <w:sz w:val="18"/>
        </w:rPr>
        <w:t xml:space="preserve">  |  NSS: </w:t>
      </w:r>
      <w:r>
        <w:rPr>
          <w:rFonts w:ascii="Lato" w:hAnsi="Lato"/>
          <w:b/>
          <w:i w:val="0"/>
          <w:color w:val="059669"/>
          <w:sz w:val="18"/>
        </w:rPr>
        <w:t>+26%</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7.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Diet &amp; Nutrition on GLP-1</w:t>
      </w:r>
    </w:p>
    <w:p>
      <w:pPr>
        <w:pStyle w:val="Heading3"/>
        <w:jc w:val="left"/>
      </w:pPr>
      <w:r>
        <w:rPr>
          <w:rFonts w:ascii="Lato" w:hAnsi="Lato"/>
          <w:b/>
          <w:color w:val="1E3A5F"/>
          <w:sz w:val="26"/>
        </w:rPr>
        <w:t>What the Data Shows</w:t>
      </w:r>
    </w:p>
    <w:p>
      <w:pPr>
        <w:spacing w:after="120" w:before="0"/>
      </w:pPr>
      <w:r>
        <w:rPr>
          <w:rFonts w:ascii="Lato" w:hAnsi="Lato"/>
          <w:b w:val="0"/>
          <w:i w:val="0"/>
          <w:sz w:val="22"/>
        </w:rPr>
        <w:t>Diet &amp; Nutrition on GLP-1 is the third-largest theme with 830 items (33.4% prevalence) and the second-highest NSS at +26.3% (328 positive, 115 negative, 268 neutral, 99 mixed). Joy dominates the emotional profile (221 items), with 'none' (248) and trust (106) also prominent. Discussion covers protein prioritisation, meal planning while on medication, food choices, calorie tracking, and eating challenges specific to GLP-1 users.</w:t>
      </w:r>
    </w:p>
    <w:p>
      <w:pPr>
        <w:pStyle w:val="Heading3"/>
        <w:jc w:val="left"/>
      </w:pPr>
      <w:r>
        <w:rPr>
          <w:rFonts w:ascii="Lato" w:hAnsi="Lato"/>
          <w:b/>
          <w:color w:val="1E3A5F"/>
          <w:sz w:val="26"/>
        </w:rPr>
        <w:t>What it Means</w:t>
      </w:r>
    </w:p>
    <w:p>
      <w:pPr>
        <w:spacing w:after="120" w:before="0"/>
      </w:pPr>
      <w:r>
        <w:rPr>
          <w:rFonts w:ascii="Lato" w:hAnsi="Lato"/>
          <w:b w:val="0"/>
          <w:i w:val="0"/>
          <w:sz w:val="22"/>
        </w:rPr>
        <w:t>The massive 268 neutral-sentiment items reveal that diet-on-GLP-1 is primarily an information exchange, not an opinion debate. Consumers are asking practical questions - 'How much protein per day on Mounjaro?', 'What to eat when you have no appetite?', 'How to hit macros on Indian vegetarian diet while on GLP-1?' This is a functional content gap. The high joy score (221) comes from users who have found solutions and are sharing them enthusiastically, creating a knowledge-sharing flywheel. The 115 negative items cluster around the challenge of eating enough (not too much) on GLP-1 - appetite suppression makes adequate nutrition difficult, which is the inverse of the typical weight loss challenge. This reversal of the food relationship is a novel consumer experience that existing diet content does not address.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Diet content is the highest-volume adjacent topic to GLP-1 medication discussion. Brands that own the nutritional guidance space for GLP-1 users in India gain an organic content distribution channel - every meal plan shared, every protein tip forwarded, carries implicit brand association. The first mover here captures a recurring content relationship (daily meals) rather than a one-time product transaction. The 268 neutral items are consumers actively seeking guidance that does not yet exist in an India-specific format.</w:t>
      </w:r>
    </w:p>
    <w:p>
      <w:pPr>
        <w:pStyle w:val="Heading3"/>
        <w:jc w:val="left"/>
      </w:pPr>
      <w:r>
        <w:rPr>
          <w:rFonts w:ascii="Lato" w:hAnsi="Lato"/>
          <w:b/>
          <w:color w:val="1E3A5F"/>
          <w:sz w:val="26"/>
        </w:rPr>
        <w:t>Recommendation</w:t>
      </w:r>
    </w:p>
    <w:p>
      <w:pPr>
        <w:spacing w:after="120" w:before="0"/>
      </w:pPr>
      <w:r>
        <w:rPr>
          <w:rFonts w:ascii="Lato" w:hAnsi="Lato"/>
          <w:b w:val="0"/>
          <w:i w:val="0"/>
          <w:sz w:val="22"/>
        </w:rPr>
        <w:t>Commission a registered Indian dietitian to develop a GLP-1-specific nutrition guide for Indian diets - vegetarian and non-vegetarian versions. Address the unique challenge of adequate protein and calorie intake with suppressed appetite. Include week-by-week meal plans aligned with standard GLP-1 dosage escalation schedules. Publish as a free downloadable PDF, promoted through Indian endocrinology clinics and the brand's social channels. Create a companion Instagram account posting daily meal ideas tagged by GLP-1 dosage phase.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dietary recall study (n=100 Indian GLP-1 users, 7-day food diary via mobile app, recruited from endocrinology clinics in 5 cities) to quantify actual protein intake versus clinical recommendations. Research question: What percentage of Indian GLP-1 users are meeting the recommended 1.2-1.6g protein per kg bodyweight, and what are the primary dietary barriers for those who are not?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"Yes you are right,  i was about to throw but then thought why waste food that is within its expiry time but then karma hit me"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"Do what works for you, but it sounds nutritionally restrictive. Make sure you’re getting enough B12 (through supplements) since that is passed through breast milk and your baby will be deficient if you are. You also need iron and calcium for yourself."</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"But here's the problem. Even if the food was good for me, I'd still eat too damn much of it"</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02. India Market Access &amp; Affordability</w:t>
      </w:r>
    </w:p>
    <w:p>
      <w:pPr>
        <w:spacing w:after="160"/>
      </w:pPr>
      <w:r>
        <w:rPr>
          <w:rFonts w:ascii="Lato" w:hAnsi="Lato"/>
          <w:b w:val="0"/>
          <w:i w:val="0"/>
          <w:color w:val="6B7280"/>
          <w:sz w:val="18"/>
        </w:rPr>
        <w:t>n=994</w:t>
      </w:r>
      <w:r>
        <w:rPr>
          <w:rFonts w:ascii="Lato" w:hAnsi="Lato"/>
          <w:b w:val="0"/>
          <w:i w:val="0"/>
          <w:color w:val="374151"/>
          <w:sz w:val="18"/>
        </w:rPr>
        <w:t xml:space="preserve">  |  Confidence: </w:t>
      </w:r>
      <w:r>
        <w:rPr>
          <w:rFonts w:ascii="Lato" w:hAnsi="Lato"/>
          <w:b/>
          <w:i w:val="0"/>
          <w:color w:val="D97706"/>
          <w:sz w:val="18"/>
        </w:rPr>
        <w:t>72% (Medium)</w:t>
      </w:r>
      <w:r>
        <w:rPr>
          <w:rFonts w:ascii="Lato" w:hAnsi="Lato"/>
          <w:b w:val="0"/>
          <w:i w:val="0"/>
          <w:color w:val="374151"/>
          <w:sz w:val="18"/>
        </w:rPr>
        <w:t xml:space="preserve">  |  Signal: </w:t>
      </w:r>
      <w:r>
        <w:rPr>
          <w:rFonts w:ascii="Lato" w:hAnsi="Lato"/>
          <w:b/>
          <w:i w:val="0"/>
          <w:color w:val="374151"/>
          <w:sz w:val="18"/>
        </w:rPr>
        <w:t>67% (Moderate)</w:t>
      </w:r>
      <w:r>
        <w:rPr>
          <w:rFonts w:ascii="Lato" w:hAnsi="Lato"/>
          <w:b w:val="0"/>
          <w:i w:val="0"/>
          <w:color w:val="6B7280"/>
          <w:sz w:val="18"/>
        </w:rPr>
        <w:t xml:space="preserve">  |  40.0% of Dataset</w:t>
      </w:r>
      <w:r>
        <w:rPr>
          <w:rFonts w:ascii="Lato" w:hAnsi="Lato"/>
          <w:b w:val="0"/>
          <w:i w:val="0"/>
          <w:color w:val="6B7280"/>
          <w:sz w:val="18"/>
        </w:rPr>
        <w:t xml:space="preserve">  |  NSS: </w:t>
      </w:r>
      <w:r>
        <w:rPr>
          <w:rFonts w:ascii="Lato" w:hAnsi="Lato"/>
          <w:b/>
          <w:i w:val="0"/>
          <w:color w:val="059669"/>
          <w:sz w:val="18"/>
        </w:rPr>
        <w:t>+20%</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3.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 Market Access &amp; Affordability</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 Market Access &amp; Affordability is the largest theme at 994 items (40.0% prevalence). Sentiment is net positive at +20.3% (397 positive, 196 negative, 258 neutral, 139 mixed). The high neutral count (258) is distinctive - the highest absolute neutral count of any theme. Discussion covers Mounjaro's India launch, pricing, prescription access, generic availability, and doctor recommendations across Indian cities including Bangalore, Chennai, Delhi, and Mumbai.</w:t>
      </w:r>
    </w:p>
    <w:p>
      <w:pPr>
        <w:pStyle w:val="Heading3"/>
        <w:jc w:val="left"/>
      </w:pPr>
      <w:r>
        <w:rPr>
          <w:rFonts w:ascii="Lato" w:hAnsi="Lato"/>
          <w:b/>
          <w:color w:val="1E3A5F"/>
          <w:sz w:val="26"/>
        </w:rPr>
        <w:t>What it Means</w:t>
      </w:r>
    </w:p>
    <w:p>
      <w:pPr>
        <w:spacing w:after="120" w:before="0"/>
      </w:pPr>
      <w:r>
        <w:rPr>
          <w:rFonts w:ascii="Lato" w:hAnsi="Lato"/>
          <w:b w:val="0"/>
          <w:i w:val="0"/>
          <w:sz w:val="22"/>
        </w:rPr>
        <w:t>The unusually high neutral count signals that a large segment of consumers is still in information-gathering mode rather than opinion-forming mode. These are pre-purchase consumers comparing prices across cities, asking which doctors prescribe, and trying to understand whether generics are equivalent - practical access questions that precede any emotional relationship with the medication. The 196 negative items are concentrated around cost barriers and prescription friction, not product dissatisfaction. This reveals a market where demand exists but the distribution and pricing infrastructure has not caught up - the classic pattern of a premium pharmaceutical entering a price-sensitive market without adequate access architecture.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gap between consumer demand (high search volume and discussion) and access frustration (196 negative items focused on cost and availability, not efficacy) represents a conversion bottleneck. Every consumer asking 'Where can I get this in Bangalore?' and not finding a clear answer is a lost patient. Competitors who solve the access problem first - through transparent pricing, online consultation pathways, or generic alternatives - will capture this demand regardless of brand preference.</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city-by-city access guide for GLP-1 medications in India covering the top 15 cities by search volume. Include verified pricing (MRP and typical discounted price), a list of prescribing endocrinologists accepting new patients, and whether online telemedicine consultation is available. Publish on the brand website and distribute through pharmacy chains (Apollo, MedPlus, Netmeds). Update pricing quarterly. Track conversion from guide views to prescription fills through pharmacy partnership data.</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pricing sensitivity study (Van Westendorp or Gabor-Granger method, n=400 Indian adults with BMI&gt;27, recruited in 4 metro cities) to determine acceptable price points for monthly GLP-1 medication. Research question: What is the maximum monthly cost at which Indian consumers would sustain GLP-1 medication for 12+ months without insurance coverage?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"Yes, Ayurvedic medicine uses diet and exercise and lifestyle changes as prescription for our ailments. And it actually works. My husband did it recently and reported mental clarity and less anxiety. And it’s benefitted me even though I am not the patient! </w:t>
        <w:br/>
        <w:t>Hugs were prescribed for the family (specific routines- 20 seconds then kiss on forehead) and it has done wonders for my anxiety and depression"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"Ozempic is insanely expensive cause that's a brand product. </w:t>
        <w:br/>
        <w:br/>
        <w:t xml:space="preserve">Ozempic is given 0.25-0.5mg s/c once weekly apparently. </w:t>
        <w:br/>
        <w:br/>
        <w:t>However tata1mg does show 7mg x10 tablets being available for 4k to give it a spin."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"“Greetings from India. We manufacture dehydrated onion &amp; garlic powder for global B2B buyers.”"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03. GLP-1 Medication Efficacy &amp; Personal Journeys</w:t>
      </w:r>
    </w:p>
    <w:p>
      <w:pPr>
        <w:spacing w:after="160"/>
      </w:pPr>
      <w:r>
        <w:rPr>
          <w:rFonts w:ascii="Lato" w:hAnsi="Lato"/>
          <w:b w:val="0"/>
          <w:i w:val="0"/>
          <w:color w:val="6B7280"/>
          <w:sz w:val="18"/>
        </w:rPr>
        <w:t>n=990</w:t>
      </w:r>
      <w:r>
        <w:rPr>
          <w:rFonts w:ascii="Lato" w:hAnsi="Lato"/>
          <w:b w:val="0"/>
          <w:i w:val="0"/>
          <w:color w:val="374151"/>
          <w:sz w:val="18"/>
        </w:rPr>
        <w:t xml:space="preserve">  |  Confidence: </w:t>
      </w:r>
      <w:r>
        <w:rPr>
          <w:rFonts w:ascii="Lato" w:hAnsi="Lato"/>
          <w:b/>
          <w:i w:val="0"/>
          <w:color w:val="D97706"/>
          <w:sz w:val="18"/>
        </w:rPr>
        <w:t>71%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39.9%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0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GLP-1 Medication Efficacy &amp; Personal Journeys</w:t>
      </w:r>
    </w:p>
    <w:p>
      <w:pPr>
        <w:pStyle w:val="Heading3"/>
        <w:jc w:val="left"/>
      </w:pPr>
      <w:r>
        <w:rPr>
          <w:rFonts w:ascii="Lato" w:hAnsi="Lato"/>
          <w:b/>
          <w:color w:val="1E3A5F"/>
          <w:sz w:val="26"/>
        </w:rPr>
        <w:t>What the Data Shows</w:t>
      </w:r>
    </w:p>
    <w:p>
      <w:pPr>
        <w:spacing w:after="120" w:before="0"/>
      </w:pPr>
      <w:r>
        <w:rPr>
          <w:rFonts w:ascii="Lato" w:hAnsi="Lato"/>
          <w:b w:val="0"/>
          <w:i w:val="0"/>
          <w:sz w:val="22"/>
        </w:rPr>
        <w:t>GLP-1 Medication Efficacy &amp; Personal Journeys is the joint-largest theme in the corpus with 990 items (39.9% prevalence). Sentiment skews positive - 403 positive, 197 negative, 235 neutral, 135 mixed - yielding an NSS of +21.2%. The dominant emotions are joy (248 items) and trust (157), but fear (110) and sadness (86) form a significant undercurrent. Content spans all three platforms (Instagram, Reddit, YouTube), with users sharing dosage timelines, progress photos, and before-after narratives.</w:t>
      </w:r>
    </w:p>
    <w:p>
      <w:pPr>
        <w:pStyle w:val="Heading3"/>
        <w:jc w:val="left"/>
      </w:pPr>
      <w:r>
        <w:rPr>
          <w:rFonts w:ascii="Lato" w:hAnsi="Lato"/>
          <w:b/>
          <w:color w:val="1E3A5F"/>
          <w:sz w:val="26"/>
        </w:rPr>
        <w:t>What it Means</w:t>
      </w:r>
    </w:p>
    <w:p>
      <w:pPr>
        <w:spacing w:after="120" w:before="0"/>
      </w:pPr>
      <w:r>
        <w:rPr>
          <w:rFonts w:ascii="Lato" w:hAnsi="Lato"/>
          <w:b w:val="0"/>
          <w:i w:val="0"/>
          <w:sz w:val="22"/>
        </w:rPr>
        <w:t>Consumers are not simply reporting clinical outcomes - they are constructing identity transformation narratives around GLP-1 medications. The high joy and trust scores alongside persistent fear and sadness reveal a psychological arc: hope at initiation, anxiety during the adjustment period, and relief when results materialise. The medication becomes a chapter marker in a personal reinvention story, not merely a treatment. This explains why progress-sharing content dominates - the act of narrating transformation is itself part of the therapeutic experience, providing social accountability and emotional validation that clinical settings do not offer.</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brand opportunity lies not in clinical messaging but in narrative infrastructure. Consumers are already doing the work of evangelising efficacy through personal stories, but they lack structured frameworks for sharing safely and accurately. Brands that enable and curate these narratives gain organic advocacy at scale. However, the fear and sadness signals (196 items combined) indicate that unmanaged negative journeys could generate equally powerful counter-narratives if left unaddressed.</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moderated digital community platform (or partner with an existing health community) specifically for Indian GLP-1 users to share structured journey logs - week-by-week dosage, side effects, and outcomes. Provide a templated format that encourages honest reporting of both positive and negative experiences. Seed the community with 50-100 verified patient stories from endocrinologists' practices within the first 90 days. Assign two community managers fluent in Hindi and English to moderate daily.</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longitudinal qualitative study (n=30 GLP-1 users in India, recruited from Reddit and Instagram, 3 monthly interviews each) to track how identity narratives evolve over the first 6 months of medication use. Research question: At what point in the GLP-1 journey do users shift from private consumption to public advocacy, and what triggers that shift?</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"While I understand your post, you are missing the point of insulin resistance and fat shaming instead.  I have been thin and fat.  I am a menopausal woman who worked out like crazy and counted every calorie.  I could not lose weight - just kept gaining.  My doctor suggested I try zepbound.  I started to lose immediately.  My blood work is now amazing."</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"Tanmay Bhat has had a very slow and gradual weight loss journey. I don’t think he’s Ozempic"</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04. Indian Weight Loss Culture &amp; Desi Diet</w:t>
      </w:r>
    </w:p>
    <w:p>
      <w:pPr>
        <w:spacing w:after="160"/>
      </w:pPr>
      <w:r>
        <w:rPr>
          <w:rFonts w:ascii="Lato" w:hAnsi="Lato"/>
          <w:b w:val="0"/>
          <w:i w:val="0"/>
          <w:color w:val="6B7280"/>
          <w:sz w:val="18"/>
        </w:rPr>
        <w:t>n=513</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20.7%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9.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Weight Loss Culture &amp; Desi Diet</w:t>
      </w:r>
    </w:p>
    <w:p>
      <w:pPr>
        <w:pStyle w:val="Heading3"/>
        <w:jc w:val="left"/>
      </w:pPr>
      <w:r>
        <w:rPr>
          <w:rFonts w:ascii="Lato" w:hAnsi="Lato"/>
          <w:b/>
          <w:color w:val="1E3A5F"/>
          <w:sz w:val="26"/>
        </w:rPr>
        <w:t>What the Data Shows</w:t>
      </w:r>
    </w:p>
    <w:p>
      <w:pPr>
        <w:spacing w:after="120" w:before="0"/>
      </w:pPr>
      <w:r>
        <w:rPr>
          <w:rFonts w:ascii="Lato" w:hAnsi="Lato"/>
          <w:b w:val="0"/>
          <w:i w:val="0"/>
          <w:sz w:val="22"/>
        </w:rPr>
        <w:t>Indian Weight Loss Culture &amp; Desi Diet is a substantial theme with 513 items (20.7% prevalence) and the highest NSS of any theme at +28.3% (205 positive, 66 negative, 156 neutral, 64 mixed). Joy is the dominant emotion (134), with trust (73) and 'none' (142) also prominent. Content covers Indian-specific diet plans, vegetarian protein challenges, traditional foods for weight loss, cultural eating patterns, and desi fitness approaches.</w:t>
      </w:r>
    </w:p>
    <w:p>
      <w:pPr>
        <w:pStyle w:val="Heading3"/>
        <w:jc w:val="left"/>
      </w:pPr>
      <w:r>
        <w:rPr>
          <w:rFonts w:ascii="Lato" w:hAnsi="Lato"/>
          <w:b/>
          <w:color w:val="1E3A5F"/>
          <w:sz w:val="26"/>
        </w:rPr>
        <w:t>What it Means</w:t>
      </w:r>
    </w:p>
    <w:p>
      <w:pPr>
        <w:spacing w:after="120" w:before="0"/>
      </w:pPr>
      <w:r>
        <w:rPr>
          <w:rFonts w:ascii="Lato" w:hAnsi="Lato"/>
          <w:b w:val="0"/>
          <w:i w:val="0"/>
          <w:sz w:val="22"/>
        </w:rPr>
        <w:t>This theme's leading NSS (+28.3%) reflects a deep cultural pride in Indian dietary traditions for weight management. The 156 neutral items are primarily informational exchanges about dal protein content, millet recipes, and ragi preparations - consumers treating traditional Indian foods as functional health tools. The 66 negative items reveal the tension point: vegetarian Indians struggle significantly with protein adequacy, a challenge that GLP-1 medications intensify because appetite suppression makes it harder to consume enough volume to hit protein targets on a plant-heavy diet. This creates a uniquely Indian problem at the intersection of cultural diet, medication pharmacology, and nutritional science that Western GLP-1 guidance does not address.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Indian GLP-1 market requires India-specific nutritional protocols, not translated Western guidelines. A brand that solves the vegetarian-protein-on-GLP-1 problem earns cultural credibility and practical utility simultaneously. The high positivity score means consumers are receptive to solutions framed within Indian dietary traditions - they do not want to abandon dal and roti for chicken breast and protein shakes. The brand that builds a bridge between GLP-1 pharmacology and desi dietary identity captures a loyalty position that generic Western guidance cannot displace.</w:t>
      </w:r>
    </w:p>
    <w:p>
      <w:pPr>
        <w:pStyle w:val="Heading3"/>
        <w:jc w:val="left"/>
      </w:pPr>
      <w:r>
        <w:rPr>
          <w:rFonts w:ascii="Lato" w:hAnsi="Lato"/>
          <w:b/>
          <w:color w:val="1E3A5F"/>
          <w:sz w:val="26"/>
        </w:rPr>
        <w:t>Recommendation</w:t>
      </w:r>
    </w:p>
    <w:p>
      <w:pPr>
        <w:spacing w:after="120" w:before="0"/>
      </w:pPr>
      <w:r>
        <w:rPr>
          <w:rFonts w:ascii="Lato" w:hAnsi="Lato"/>
          <w:b w:val="0"/>
          <w:i w:val="0"/>
          <w:sz w:val="22"/>
        </w:rPr>
        <w:t>Partner with 3 registered Indian dietitians (at least one specialising in vegetarian nutrition) to develop a 'GLP-1 + Desi Diet' protocol. Create region-specific meal plans (North Indian, South Indian, Gujarati vegetarian, Bengali) that hit GLP-1-phase-appropriate protein targets using traditional ingredients. Publish as a bilingual Hindi-English guide. Launch through a weekly Instagram Reels series demonstrating one recipe per episode. Target distribution through 50 endocrinology clinics in tier-1 and tier-2 cities within 6 months.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nutritional adequacy assessment (n=150 Indian vegetarian GLP-1 users, recruited via endocrinology clinics in 6 cities, 3-day dietary recall with dietitian analysis) comparing actual versus recommended macronutrient intake. Research question: What is the protein gap (grams per day) for Indian vegetarian GLP-1 users, and which traditional Indian foods most efficiently close that gap within typical meal structures?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"Fino hair mask </w:t>
        <w:br/>
        <w:br/>
        <w:t xml:space="preserve">Hair type: thick, wavy/straight hair and fine </w:t>
        <w:br/>
        <w:br/>
        <w:t>Review: this mask makes my hair look shiny (not oily) and it looks healthier. It also leaves my hair feeling softer</w:t>
        <w:br/>
        <w:br/>
        <w:t>Price: $-$$ I only take one to two scoops of the hair mask so it last me for months"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"Mother nature tofu! Tastes great and reasonable or at least less expensive than healthonplants. Health on plants is also v good but yeah expensive"</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don’t think there’s any way you are 210 pounds before but you look amazing now."</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05. Medical Science &amp; GLP-1 Education</w:t>
      </w:r>
    </w:p>
    <w:p>
      <w:pPr>
        <w:spacing w:after="160"/>
      </w:pPr>
      <w:r>
        <w:rPr>
          <w:rFonts w:ascii="Lato" w:hAnsi="Lato"/>
          <w:b w:val="0"/>
          <w:i w:val="0"/>
          <w:color w:val="6B7280"/>
          <w:sz w:val="18"/>
        </w:rPr>
        <w:t>n=508</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20.5% of Dataset</w:t>
      </w:r>
      <w:r>
        <w:rPr>
          <w:rFonts w:ascii="Lato" w:hAnsi="Lato"/>
          <w:b w:val="0"/>
          <w:i w:val="0"/>
          <w:color w:val="6B7280"/>
          <w:sz w:val="18"/>
        </w:rPr>
        <w:t xml:space="preserve">  |  NSS: </w:t>
      </w:r>
      <w:r>
        <w:rPr>
          <w:rFonts w:ascii="Lato" w:hAnsi="Lato"/>
          <w:b/>
          <w:i w:val="0"/>
          <w:color w:val="059669"/>
          <w:sz w:val="18"/>
        </w:rPr>
        <w:t>+21%</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0.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Medical Science &amp; GLP-1 Education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Medical Science &amp; GLP-1 Education comprises 508 items (20.5% prevalence) with an NSS of +21.2% (204 positive, 97 negative, 107 neutral, 96 mixed). Trust is the dominant emotion by a wide margin (175 items), far exceeding any other theme's trust count. Content covers GLP-1 mechanism of action, clinical trial data, insulin resistance education, the diabetes-obesity connection, and physician explanations.</w:t>
      </w:r>
    </w:p>
    <w:p>
      <w:pPr>
        <w:pStyle w:val="Heading3"/>
        <w:jc w:val="left"/>
      </w:pPr>
      <w:r>
        <w:rPr>
          <w:rFonts w:ascii="Lato" w:hAnsi="Lato"/>
          <w:b/>
          <w:color w:val="1E3A5F"/>
          <w:sz w:val="26"/>
        </w:rPr>
        <w:t>What it Means</w:t>
      </w:r>
    </w:p>
    <w:p>
      <w:pPr>
        <w:spacing w:after="120" w:before="0"/>
      </w:pPr>
      <w:r>
        <w:rPr>
          <w:rFonts w:ascii="Lato" w:hAnsi="Lato"/>
          <w:b w:val="0"/>
          <w:i w:val="0"/>
          <w:sz w:val="22"/>
        </w:rPr>
        <w:t>The trust-dominant emotional signature (175 out of 508 items - 34.4%) reveals that when consumers encounter scientific education about GLP-1 mechanisms, they respond with confidence rather than scepticism. This is unusual in pharmaceutical discourse, where scientific content often triggers cynicism about industry motives. The explanation is source credibility: much of this content originates from physicians, medical professionals, and academic sources rather than brand channels. The 97 negative items concentrate on two sub-patterns: (a) consumers who learn the science but cannot access the medication (linking to THM_03), and (b) consumers who feel their doctors lack GLP-1 knowledge and prescribe outdated weight loss approaches. The latter represents a physician education gap that directly impacts patient outcomes.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Scientific education content generates trust - the most commercially valuable emotion - at a rate 3-4x higher than personal journey content or celebrity discussion. The strategic implication is that investment in physician and consumer education yields trust dividends that direct-to-consumer advertising cannot replicate. However, the 97 negative items around physician knowledge gaps suggest that the educational bottleneck is not consumer willingness to learn but physician readiness to prescribe. A brand that invests in physician education simultaneously addresses the trust pathway and the access pathway.</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two-track education programme: (1) Consumer track - a monthly webinar series in Hindi and English featuring endocrinologists explaining GLP-1 science in accessible language, promoted through Instagram and YouTube, targeting 5,000 registrations per session. (2) Physician track - CME-accredited workshops in 20 Indian cities for general practitioners and internists covering GLP-1 prescribing protocols, patient selection criteria, and monitoring guidelines. Target 500 physicians in year one. Track prescribing rates before and after physician education in intervention cities versus control cities.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physician knowledge assessment (n=200 Indian GPs and internists across 10 cities, structured survey plus clinical vignette responses) measuring GLP-1 prescribing confidence, knowledge accuracy, and attitudinal barriers. Research question: What proportion of Indian general practitioners feel confident prescribing GLP-1 medications, and what specific knowledge gaps most strongly predict prescribing hesitancy?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"Lavanya katakam. The doctor is good but the staff and management are shit. You can't book appointments and have long waiting hours."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 xml:space="preserve">"Doctor srikanth endocare hospital. </w:t>
        <w:br/>
        <w:t>Lady doctor kavali ankntey Dr katakam lavanya but obesity related aithey srikanth ae best."</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"These are not SHORTCUT at all dear! Tool u may call them! Your research is incomplete!!! It’s easier for a slim or even an overweight person to say this. But chronically obese ? These are a landmark invention saving lives… There are document physiological neurobiological changes in the obese… n henceforth these drug’s work remarkably well … pls don’t spread this misinformation or fear based on ur "</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06. Stigma, Shame &amp; Social Judgment</w:t>
      </w:r>
    </w:p>
    <w:p>
      <w:pPr>
        <w:spacing w:after="160"/>
      </w:pPr>
      <w:r>
        <w:rPr>
          <w:rFonts w:ascii="Lato" w:hAnsi="Lato"/>
          <w:b w:val="0"/>
          <w:i w:val="0"/>
          <w:color w:val="6B7280"/>
          <w:sz w:val="18"/>
        </w:rPr>
        <w:t>n=297</w:t>
      </w:r>
      <w:r>
        <w:rPr>
          <w:rFonts w:ascii="Lato" w:hAnsi="Lato"/>
          <w:b w:val="0"/>
          <w:i w:val="0"/>
          <w:color w:val="374151"/>
          <w:sz w:val="18"/>
        </w:rPr>
        <w:t xml:space="preserve">  |  Confidence: </w:t>
      </w:r>
      <w:r>
        <w:rPr>
          <w:rFonts w:ascii="Lato" w:hAnsi="Lato"/>
          <w:b/>
          <w:i w:val="0"/>
          <w:color w:val="D97706"/>
          <w:sz w:val="18"/>
        </w:rPr>
        <w:t>66%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12.0%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6.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Stigma, Shame &amp; Social Judgment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Stigma, Shame &amp; Social Judgment contains 297 items (12.0% prevalence) with a positive NSS of +22.2% (122 positive, 57 negative, 45 neutral, 69 mixed). Joy is the leading emotion at 82 items, followed by trust (62) and 'none' (39). Content covers medication stigma, the 'easy way out' narrative, fat shaming, body image issues, celebrity non-disclosure, and moral judgment around weight loss choices.</w:t>
      </w:r>
    </w:p>
    <w:p>
      <w:pPr>
        <w:pStyle w:val="Heading3"/>
        <w:jc w:val="left"/>
      </w:pPr>
      <w:r>
        <w:rPr>
          <w:rFonts w:ascii="Lato" w:hAnsi="Lato"/>
          <w:b/>
          <w:color w:val="1E3A5F"/>
          <w:sz w:val="26"/>
        </w:rPr>
        <w:t>What it Means</w:t>
      </w:r>
    </w:p>
    <w:p>
      <w:pPr>
        <w:spacing w:after="120" w:before="0"/>
      </w:pPr>
      <w:r>
        <w:rPr>
          <w:rFonts w:ascii="Lato" w:hAnsi="Lato"/>
          <w:b w:val="0"/>
          <w:i w:val="0"/>
          <w:sz w:val="22"/>
        </w:rPr>
        <w:t>The positive NSS in a stigma-themed conversation is the key finding here. Consumers discussing stigma are not primarily expressing shame - they are pushing back against it. The 122 positive-sentiment items and 82 joy-coded items reveal a counter-narrative: people who have used medication and are defiantly rejecting the 'cheating' label, reframing medication as a rational health decision rather than a moral failure. This is a stigma-resistance movement forming organically. However, the 57 negative and 69 mixed items show the resistance is not yet dominant - approximately 42% of the stigma conversation is still caught in shame or ambivalence. The battleground is not whether stigma exists but whether the counter-narrative can achieve cultural escape velocity.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brand has an opportunity to accelerate an organic cultural shift that is already underway. Consumers are doing the destigmatisation work themselves, but they lack institutional validation. A pharmaceutical brand that explicitly names and challenges weight loss medication stigma - rather than ignoring it - can position itself as an ally of the emerging counter-narrative. The risk of inaction is that competitors, healthcare providers, or patient advocacy groups claim this cultural leadership position first.</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destigmatisation campaign under a unifying theme (e.g., 'My Health, My Choice') featuring 10-15 real Indian patients who have used GLP-1 medications and are willing to speak publicly. Structure the campaign around confronting specific stigma phrases identified in the data ('easy way out,' 'just eat less,' 'cheating'). Run as a 3-month Instagram and YouTube series with each episode addressing one stigma myth. Include an endocrinologist co-presenter for clinical credibility. Measure success by tracking sentiment shift in the stigma conversation over the campaign period.</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quantitative survey (n=800, Indian adults aged 25-55, stratified by BMI category and gender) measuring internalised weight bias and medication stigma using validated scales (Weight Bias Internalisation Scale, adapted for medication). Research question: What proportion of Indian adults who would benefit from GLP-1 medication are deterred specifically by social stigma rather than cost, access, or side effect concerns?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"Both my parents are ayurvedic Doctors, as long as it wasnt an emergency (like and accident or a heart attack or something for example) I use ayurvedic medicines and it has always worked for me most of the time (even better than modern medicine in some cases), Id say ayurveda shines in treating chronic diseases mostly. If anyone has anything to ask about ayurveda, ill be happy to ask my parents and"</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"You can get approved by a doctor matched to you by Noom -- so you don't need to find a doctor on your own and submit approval, you can do it all in the app.</w:t>
        <w:br/>
        <w:br/>
        <w:t>As long as you are "obese" -- which is all self-reported data -- they'll approve you. To be totally transparent, I am not obese and so I lied about my height/weight to qualify. Obviously do this at your own risk."</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 take Ozempic for diabetes and I am also obese so weight loss is the bonus. I do at times have to wait for my script due to shortage. With the media hyping up the weight loss and celebrity aspect, it is understandable that people put two and two together but end up with 3. I believe that those with diabetes should be prioritised but I don't agree that people should be bullied or stigmatized if th"</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07. Side Effects &amp; Health Risks</w:t>
      </w:r>
    </w:p>
    <w:p>
      <w:pPr>
        <w:spacing w:after="160"/>
      </w:pPr>
      <w:r>
        <w:rPr>
          <w:rFonts w:ascii="Lato" w:hAnsi="Lato"/>
          <w:b w:val="0"/>
          <w:i w:val="0"/>
          <w:color w:val="6B7280"/>
          <w:sz w:val="18"/>
        </w:rPr>
        <w:t>n=292</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11.8% of Dataset</w:t>
      </w:r>
      <w:r>
        <w:rPr>
          <w:rFonts w:ascii="Lato" w:hAnsi="Lato"/>
          <w:b w:val="0"/>
          <w:i w:val="0"/>
          <w:color w:val="6B7280"/>
          <w:sz w:val="18"/>
        </w:rPr>
        <w:t xml:space="preserve">  |  NSS: </w:t>
      </w:r>
      <w:r>
        <w:rPr>
          <w:rFonts w:ascii="Lato" w:hAnsi="Lato"/>
          <w:b/>
          <w:i w:val="0"/>
          <w:color w:val="DC2626"/>
          <w:sz w:val="18"/>
        </w:rPr>
        <w:t>-19%</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Side Effects &amp; Health Risks</w:t>
      </w:r>
    </w:p>
    <w:p>
      <w:pPr>
        <w:pStyle w:val="Heading3"/>
        <w:jc w:val="left"/>
      </w:pPr>
      <w:r>
        <w:rPr>
          <w:rFonts w:ascii="Lato" w:hAnsi="Lato"/>
          <w:b/>
          <w:color w:val="1E3A5F"/>
          <w:sz w:val="26"/>
        </w:rPr>
        <w:t>What the Data Shows</w:t>
      </w:r>
    </w:p>
    <w:p>
      <w:pPr>
        <w:spacing w:after="120" w:before="0"/>
      </w:pPr>
      <w:r>
        <w:rPr>
          <w:rFonts w:ascii="Lato" w:hAnsi="Lato"/>
          <w:b w:val="0"/>
          <w:i w:val="0"/>
          <w:sz w:val="22"/>
        </w:rPr>
        <w:t>Side Effects &amp; Health Risks contains 292 items (11.8% prevalence) and is the only theme with a negative NSS at -19.3%. Sentiment is sharply negative: 120 negative, 65 positive, 86 mixed, and just 14 neutral. Fear is the dominant emotion (110 items) - far exceeding any other theme's fear count. Discussion centres on nausea, muscle loss, hair loss, 'Ozempic face,' and safety concerns.</w:t>
      </w:r>
    </w:p>
    <w:p>
      <w:pPr>
        <w:pStyle w:val="Heading3"/>
        <w:jc w:val="left"/>
      </w:pPr>
      <w:r>
        <w:rPr>
          <w:rFonts w:ascii="Lato" w:hAnsi="Lato"/>
          <w:b/>
          <w:color w:val="1E3A5F"/>
          <w:sz w:val="26"/>
        </w:rPr>
        <w:t>What it Means</w:t>
      </w:r>
    </w:p>
    <w:p>
      <w:pPr>
        <w:spacing w:after="120" w:before="0"/>
      </w:pPr>
      <w:r>
        <w:rPr>
          <w:rFonts w:ascii="Lato" w:hAnsi="Lato"/>
          <w:b w:val="0"/>
          <w:i w:val="0"/>
          <w:sz w:val="22"/>
        </w:rPr>
        <w:t>The extremely low neutral count (only 14 items out of 292) reveals that side effects are not being discussed dispassionately - consumers are either alarmed or reassuring, with almost no one presenting balanced clinical information. This polarisation suggests that side effect conversations are driven by emotional contagion rather than evidence evaluation. When a user reports hair loss or 'Ozempic face,' respondents immediately catastrophise or dismiss - neither response serves the information-seeking consumer. The fear-dominant emotional signature (110 of 292 items) indicates that side effect anxiety may be suppressing trial intent among potential users who encounter these discussions before consulting a physician.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absence of authoritative, neutral side effect information in consumer spaces creates a vacuum that alarmist content fills. For pharmaceutical brands and healthcare providers, this represents both a reputation risk and a patient safety concern - consumers making dosage decisions based on peer fear rather than clinical guidance. The 86 mixed-sentiment items suggest many consumers are actively weighing risks and benefits but lack trustworthy frameworks for doing so.</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physician-endorsed side effect FAQ specifically for Indian GLP-1 users, covering the top 5 concerns surfaced in this data (nausea management, muscle preservation protocols, hair health, facial changes, long-term safety). Distribute through endocrinology clinics in top 10 Indian metros as a printed handout and digital PDF. Partner with 3-5 Indian endocrinologists to create short-form video content (under 90 seconds each) addressing each concern with clinical evidence, posted on Instagram Reels and YouTube Shorts.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discrete choice experiment (n=500 Indian adults considering weight loss medication, recruited via online panel) to quantify how side effect information framing affects trial intent. Research question: Does presenting side effect data with base rates and management protocols reduce fear-driven avoidance compared to unframed peer reports?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 got so so sick with the worst upper stomach pains of my life. Worse than labor pains. I finally made it to 10mg after 5 months and I ended up in the ER for 10 hours with no answers, I never did an injection again and that pain had never come back. The constant nausea and stomach hurting wasn’t worth it for me. I truly hope it works for you, I wanted it to be someone that worked for me so badly."</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 xml:space="preserve">"The side effects are nothing compared to the life improvement she would get by not being overweight. Just think India are one of the top nations with obese related diseases. Diabetes, hypertension, cardiac arrest etc. </w:t>
        <w:br/>
        <w:br/>
        <w:t>I would rather give my mother Ozempic or wegovy(basic the same) and supplement with vitamins, daily training and a nutritionist who can improve her diet."</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08. Natural Alternatives &amp; Anti-Medication Stance</w:t>
      </w:r>
    </w:p>
    <w:p>
      <w:pPr>
        <w:spacing w:after="160"/>
      </w:pPr>
      <w:r>
        <w:rPr>
          <w:rFonts w:ascii="Lato" w:hAnsi="Lato"/>
          <w:b w:val="0"/>
          <w:i w:val="0"/>
          <w:color w:val="6B7280"/>
          <w:sz w:val="18"/>
        </w:rPr>
        <w:t>n=323</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13.0% of Dataset</w:t>
      </w:r>
      <w:r>
        <w:rPr>
          <w:rFonts w:ascii="Lato" w:hAnsi="Lato"/>
          <w:b w:val="0"/>
          <w:i w:val="0"/>
          <w:color w:val="6B7280"/>
          <w:sz w:val="18"/>
        </w:rPr>
        <w:t xml:space="preserve">  |  NSS: </w:t>
      </w:r>
      <w:r>
        <w:rPr>
          <w:rFonts w:ascii="Lato" w:hAnsi="Lato"/>
          <w:b/>
          <w:i w:val="0"/>
          <w:color w:val="059669"/>
          <w:sz w:val="18"/>
        </w:rPr>
        <w:t>+24%</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5.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Natural Alternatives &amp; Anti-Medication Stance</w:t>
      </w:r>
    </w:p>
    <w:p>
      <w:pPr>
        <w:pStyle w:val="Heading3"/>
        <w:jc w:val="left"/>
      </w:pPr>
      <w:r>
        <w:rPr>
          <w:rFonts w:ascii="Lato" w:hAnsi="Lato"/>
          <w:b/>
          <w:color w:val="1E3A5F"/>
          <w:sz w:val="26"/>
        </w:rPr>
        <w:t>What the Data Shows</w:t>
      </w:r>
    </w:p>
    <w:p>
      <w:pPr>
        <w:spacing w:after="120" w:before="0"/>
      </w:pPr>
      <w:r>
        <w:rPr>
          <w:rFonts w:ascii="Lato" w:hAnsi="Lato"/>
          <w:b w:val="0"/>
          <w:i w:val="0"/>
          <w:sz w:val="22"/>
        </w:rPr>
        <w:t>Natural Alternatives &amp; Anti-Medication Stance contains 323 items (13.0% prevalence) with a surprisingly positive NSS of +24.1% (126 positive, 50 negative, 62 neutral, 77 mixed). Joy (74) and trust (64) are the leading emotions, but fear (39) and mixed sentiment (77 items) indicate internal tension. Content advocates for natural GLP-1 boosters, Ayurvedic remedies, diet-and-exercise-first approaches, and criticism of medication as a 'shortcut.'</w:t>
      </w:r>
    </w:p>
    <w:p>
      <w:pPr>
        <w:pStyle w:val="Heading3"/>
        <w:jc w:val="left"/>
      </w:pPr>
      <w:r>
        <w:rPr>
          <w:rFonts w:ascii="Lato" w:hAnsi="Lato"/>
          <w:b/>
          <w:color w:val="1E3A5F"/>
          <w:sz w:val="26"/>
        </w:rPr>
        <w:t>What it Means</w:t>
      </w:r>
    </w:p>
    <w:p>
      <w:pPr>
        <w:spacing w:after="120" w:before="0"/>
      </w:pPr>
      <w:r>
        <w:rPr>
          <w:rFonts w:ascii="Lato" w:hAnsi="Lato"/>
          <w:b w:val="0"/>
          <w:i w:val="0"/>
          <w:sz w:val="22"/>
        </w:rPr>
        <w:t>The positive NSS (+24.1%) in an anti-medication theme is counterintuitive until you recognise that these consumers are not angry at medications - they are enthusiastic about alternatives. The high joy score (74) reveals a community that derives genuine satisfaction and identity from the 'natural path.' The 77 mixed-sentiment items are the most strategically interesting: these are consumers who acknowledge medication efficacy but feel conflicted about using it, caught between pragmatism and a cultural value system that prizes discipline and natural remedies. In the Indian context, this maps directly onto Ayurvedic health philosophy and the cultural framing of weight management as a matter of willpower and lifestyle rather than medical intervention.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theme represents a persuadable middle segment, not a lost audience. The 77 mixed-sentiment consumers are actively deliberating. A brand that positions medication as complementary to - rather than a replacement for - diet and lifestyle changes can convert conflicted consumers without triggering the 'shortcut' objection. Conversely, messaging that positions medication as the primary solution will alienate this 13% of the conversation and give them ammunition for counter-advocacy.</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an integrated treatment narrative - 'Medication + Movement + Meals' - that positions GLP-1 therapy as one pillar of a three-pillar approach. Create content showing real patients combining medication with traditional Indian dietary practices (millets, dal-based protein, Ayurvedic principles) and structured exercise. Distribute through the same Instagram and YouTube channels where natural-alternative content thrives. Partner with 2-3 Indian fitness influencers who have medical advisory relationships to bridge the natural-vs-medication divide.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qualitative study (4 focus groups of 8 participants each, recruited from natural health communities in Mumbai and Delhi, mixed gender, ages 30-50) exploring the specific cultural and philosophical objections to medication-assisted weight loss. Research question: What specific framing of GLP-1 medications would make 'natural path' advocates consider them as a complement to, rather than a replacement for, lifestyle interventions?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"Exactly my point. Suddenly Kjo discovered OMAD, Vidya discovered Ayurvedic diets for inflammation. What rubbish"</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"And is all natural without the side affects or whip saw effect once you stop the drugs!👏"</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09. PCOS, Hormones &amp; Women's Health</w:t>
      </w:r>
    </w:p>
    <w:p>
      <w:pPr>
        <w:spacing w:after="160"/>
      </w:pPr>
      <w:r>
        <w:rPr>
          <w:rFonts w:ascii="Lato" w:hAnsi="Lato"/>
          <w:b w:val="0"/>
          <w:i w:val="0"/>
          <w:color w:val="6B7280"/>
          <w:sz w:val="18"/>
        </w:rPr>
        <w:t>n=313</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2.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PCOS, Hormones &amp; Women's Health</w:t>
      </w:r>
    </w:p>
    <w:p>
      <w:pPr>
        <w:pStyle w:val="Heading3"/>
        <w:jc w:val="left"/>
      </w:pPr>
      <w:r>
        <w:rPr>
          <w:rFonts w:ascii="Lato" w:hAnsi="Lato"/>
          <w:b/>
          <w:color w:val="1E3A5F"/>
          <w:sz w:val="26"/>
        </w:rPr>
        <w:t>What the Data Shows</w:t>
      </w:r>
    </w:p>
    <w:p>
      <w:pPr>
        <w:spacing w:after="120" w:before="0"/>
      </w:pPr>
      <w:r>
        <w:rPr>
          <w:rFonts w:ascii="Lato" w:hAnsi="Lato"/>
          <w:b w:val="0"/>
          <w:i w:val="0"/>
          <w:sz w:val="22"/>
        </w:rPr>
        <w:t>PCOS, Hormones &amp; Women's Health contains 313 items (12.6% prevalence) with an NSS of +24.5% (136 positive, 60 negative, 59 neutral, 55 mixed). Joy is the dominant emotion (85 items), followed by trust (60) and 'none' (50). Fear (35) and anticipation (32) are also present. Discussion covers PCOS-specific weight struggles, hormonal weight management, postpartum weight loss, menopause, and women's unique challenges with weight.</w:t>
      </w:r>
    </w:p>
    <w:p>
      <w:pPr>
        <w:pStyle w:val="Heading3"/>
        <w:jc w:val="left"/>
      </w:pPr>
      <w:r>
        <w:rPr>
          <w:rFonts w:ascii="Lato" w:hAnsi="Lato"/>
          <w:b/>
          <w:color w:val="1E3A5F"/>
          <w:sz w:val="26"/>
        </w:rPr>
        <w:t>What it Means</w:t>
      </w:r>
    </w:p>
    <w:p>
      <w:pPr>
        <w:spacing w:after="120" w:before="0"/>
      </w:pPr>
      <w:r>
        <w:rPr>
          <w:rFonts w:ascii="Lato" w:hAnsi="Lato"/>
          <w:b w:val="0"/>
          <w:i w:val="0"/>
          <w:sz w:val="22"/>
        </w:rPr>
        <w:t>The high joy score (85 items) in a theme about hormonal health struggles reveals that women in this conversation are not primarily seeking sympathy - they are celebrating breakthroughs. For PCOS patients specifically, GLP-1 medications represent the first pharmacological option that addresses both insulin resistance and weight simultaneously, solving a problem that years of dietary advice alone could not. The 60 negative items concentrate on the frustration of being dismissed by doctors who attribute PCOS weight gain to 'eating too much' - a medical gaslighting pattern that GLP-1 medication indirectly validates by proving the weight was metabolically driven, not behavioural. The 55 mixed items reflect women navigating the intersection of fertility concerns, hormonal treatment, and weight management - a complex multi-variable decision space where GLP-1 is one new variable.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Women with PCOS represent a high-value, high-loyalty patient segment for GLP-1 medications. Their weight management challenge is chronic, hormonally mediated, and poorly served by current options. A brand that explicitly addresses PCOS as a GLP-1 use case - rather than treating it as a secondary benefit - can capture a segment that is actively searching for solutions and will demonstrate strong adherence due to the chronic nature of their condition. The fertility intersection (55 mixed items) requires careful navigation - GLP-1 medications must be positioned within the context of reproductive planning, not in isolation from it.</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PCOS-specific treatment pathway guide developed with Indian endocrinologists and gynaecologists jointly. Address the three key decision points women in this data are struggling with: (1) Is GLP-1 appropriate for PCOS-related insulin resistance? (2) How does GLP-1 interact with fertility treatments and contraceptives? (3) What monitoring is needed during GLP-1 use for PCOS patients? Distribute through gynaecology clinics in addition to endocrinology practices - PCOS patients often see gynaecologists first. Create a dedicated social media content series ('PCOS + GLP-1') on Instagram targeting women aged 25-40.</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clinical outcomes review (n=100 Indian PCOS patients prescribed GLP-1 medications, retrospective chart review from 15 endocrinology and gynaecology practices) tracking weight, insulin resistance markers (HOMA-IR), and menstrual regularity at 3 and 6 months. Research question: Do Indian PCOS patients show differential GLP-1 treatment response compared to non-PCOS patients, and does improved insulin sensitivity correlate with menstrual cycle regularisation?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 xml:space="preserve">"Exenatide was developed from a natural peptide called exendin-4, which was first isolated from the saliva of the Gila monster (a venomous lizard). </w:t>
        <w:br/>
        <w:t>That peptide mimicked the human hormone GLP-1, and researchers later created synthetic versions.</w:t>
        <w:br/>
        <w:br/>
        <w:t>•</w:t>
        <w:tab/>
        <w:t>Exenatide (Byetta) → originally derived from Gila monster saliva peptide.</w:t>
        <w:br/>
        <w:tab/>
        <w:t>•</w:t>
        <w:tab/>
        <w:t>Semaglutide (Ozempic) → entirely synthetic, but works in a similar way.</w:t>
        <w:br/>
        <w:br/>
        <w:t>th"</w:t>
      </w:r>
      <w:r>
        <w:rPr>
          <w:rFonts w:ascii="Lato" w:hAnsi="Lato"/>
          <w:b w:val="0"/>
          <w:i w:val="0"/>
          <w:color w:val="6B7280"/>
          <w:sz w:val="18"/>
        </w:rPr>
        <w:t xml:space="preserve">  - instagram</w:t>
      </w:r>
    </w:p>
    <w:p>
      <w:pPr>
        <w:spacing w:before="80" w:after="80"/>
        <w:ind w:left="680" w:right="680"/>
      </w:pPr>
      <w:r>
        <w:rPr>
          <w:rFonts w:ascii="Lato" w:hAnsi="Lato"/>
          <w:b w:val="0"/>
          <w:i/>
          <w:color w:val="374151"/>
          <w:sz w:val="20"/>
        </w:rPr>
        <w:t>"Sanfe is owned by two men who are IIT Delhi graduates. They claim to have gotten the idea to start this brand when their friend was having abdominal cramps. While none of their products are for abdominal cramps most of them are either skin brightening or hair removal🤡. Two men who are feeding into women’s insecurities by releasing these shitty products. Their weird ads are still adding to these pr"</w:t>
      </w:r>
      <w:r>
        <w:rPr>
          <w:rFonts w:ascii="Lato" w:hAnsi="Lato"/>
          <w:b w:val="0"/>
          <w:i w:val="0"/>
          <w:color w:val="6B7280"/>
          <w:sz w:val="18"/>
        </w:rPr>
        <w:t xml:space="preserve">  - reddit</w:t>
      </w:r>
    </w:p>
    <w:p>
      <w:pPr>
        <w:spacing w:before="80" w:after="80"/>
        <w:pBdr>
          <w:bottom w:val="single" w:sz="4" w:space="1" w:color="6B7280"/>
        </w:pBdr>
      </w:pPr>
    </w:p>
    <w:p>
      <w:pPr>
        <w:pStyle w:val="Heading2"/>
        <w:jc w:val="left"/>
      </w:pPr>
      <w:r>
        <w:rPr>
          <w:rFonts w:ascii="Lato" w:hAnsi="Lato"/>
          <w:b/>
          <w:color w:val="1E3A5F"/>
          <w:sz w:val="32"/>
        </w:rPr>
        <w:t>10. Sustainability &amp; Weight Regain Fears</w:t>
      </w:r>
    </w:p>
    <w:p>
      <w:pPr>
        <w:spacing w:after="160"/>
      </w:pPr>
      <w:r>
        <w:rPr>
          <w:rFonts w:ascii="Lato" w:hAnsi="Lato"/>
          <w:b w:val="0"/>
          <w:i w:val="0"/>
          <w:color w:val="6B7280"/>
          <w:sz w:val="18"/>
        </w:rPr>
        <w:t>n=243</w:t>
      </w:r>
      <w:r>
        <w:rPr>
          <w:rFonts w:ascii="Lato" w:hAnsi="Lato"/>
          <w:b w:val="0"/>
          <w:i w:val="0"/>
          <w:color w:val="374151"/>
          <w:sz w:val="18"/>
        </w:rPr>
        <w:t xml:space="preserve">  |  Confidence: </w:t>
      </w:r>
      <w:r>
        <w:rPr>
          <w:rFonts w:ascii="Lato" w:hAnsi="Lato"/>
          <w:b/>
          <w:i w:val="0"/>
          <w:color w:val="D97706"/>
          <w:sz w:val="18"/>
        </w:rPr>
        <w:t>63% (Medium)</w:t>
      </w:r>
      <w:r>
        <w:rPr>
          <w:rFonts w:ascii="Lato" w:hAnsi="Lato"/>
          <w:b w:val="0"/>
          <w:i w:val="0"/>
          <w:color w:val="374151"/>
          <w:sz w:val="18"/>
        </w:rPr>
        <w:t xml:space="preserve">  |  Signal: </w:t>
      </w:r>
      <w:r>
        <w:rPr>
          <w:rFonts w:ascii="Lato" w:hAnsi="Lato"/>
          <w:b/>
          <w:i w:val="0"/>
          <w:color w:val="374151"/>
          <w:sz w:val="18"/>
        </w:rPr>
        <w:t>70% (Moderate)</w:t>
      </w:r>
      <w:r>
        <w:rPr>
          <w:rFonts w:ascii="Lato" w:hAnsi="Lato"/>
          <w:b w:val="0"/>
          <w:i w:val="0"/>
          <w:color w:val="6B7280"/>
          <w:sz w:val="18"/>
        </w:rPr>
        <w:t xml:space="preserve">  |  9.8% of Dataset</w:t>
      </w:r>
      <w:r>
        <w:rPr>
          <w:rFonts w:ascii="Lato" w:hAnsi="Lato"/>
          <w:b w:val="0"/>
          <w:i w:val="0"/>
          <w:color w:val="6B7280"/>
          <w:sz w:val="18"/>
        </w:rPr>
        <w:t xml:space="preserve">  |  NSS: </w:t>
      </w:r>
      <w:r>
        <w:rPr>
          <w:rFonts w:ascii="Lato" w:hAnsi="Lato"/>
          <w:b/>
          <w:i w:val="0"/>
          <w:color w:val="059669"/>
          <w:sz w:val="18"/>
        </w:rPr>
        <w:t>+25%</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8.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Sustainability &amp; Weight Regain Fears</w:t>
      </w:r>
    </w:p>
    <w:p>
      <w:pPr>
        <w:pStyle w:val="Heading3"/>
        <w:jc w:val="left"/>
      </w:pPr>
      <w:r>
        <w:rPr>
          <w:rFonts w:ascii="Lato" w:hAnsi="Lato"/>
          <w:b/>
          <w:color w:val="1E3A5F"/>
          <w:sz w:val="26"/>
        </w:rPr>
        <w:t>What the Data Shows</w:t>
      </w:r>
    </w:p>
    <w:p>
      <w:pPr>
        <w:spacing w:after="120" w:before="0"/>
      </w:pPr>
      <w:r>
        <w:rPr>
          <w:rFonts w:ascii="Lato" w:hAnsi="Lato"/>
          <w:b w:val="0"/>
          <w:i w:val="0"/>
          <w:sz w:val="22"/>
        </w:rPr>
        <w:t>Sustainability &amp; Weight Regain Fears contains 243 items (9.8% prevalence) with a positive NSS of +24.8% (103 positive, 43 negative, 39 neutral, 57 mixed). Trust (53) and joy (53) are co-dominant emotions, with anticipation (37) also elevated. Discussion covers lifelong medication dependency concerns, weight regain after stopping, exit strategies, and long-term maintenance planning.</w:t>
      </w:r>
    </w:p>
    <w:p>
      <w:pPr>
        <w:pStyle w:val="Heading3"/>
        <w:jc w:val="left"/>
      </w:pPr>
      <w:r>
        <w:rPr>
          <w:rFonts w:ascii="Lato" w:hAnsi="Lato"/>
          <w:b/>
          <w:color w:val="1E3A5F"/>
          <w:sz w:val="26"/>
        </w:rPr>
        <w:t>What it Means</w:t>
      </w:r>
    </w:p>
    <w:p>
      <w:pPr>
        <w:spacing w:after="120" w:before="0"/>
      </w:pPr>
      <w:r>
        <w:rPr>
          <w:rFonts w:ascii="Lato" w:hAnsi="Lato"/>
          <w:b w:val="0"/>
          <w:i w:val="0"/>
          <w:sz w:val="22"/>
        </w:rPr>
        <w:t>The positive NSS in a fear-themed conversation reveals a critical nuance: consumers are not paralysed by sustainability concerns - they are actively problem-solving around them. The 103 positive items include users who have developed personal exit strategies (tapering protocols, maintenance exercise routines, caloric baselines) and are sharing them confidently. The 57 mixed items represent consumers who accept the trade-off consciously - they know regain is likely but value the current quality-of-life improvement enough to continue. The real insight is that 'lifelong dependency' is framed as a moral failure by non-users but as a pragmatic health management decision by current users - mirroring how chronic conditions like hypertension or diabetes are managed. The gap is that this reframing has not penetrated mainstream consumer discourse yet.</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Weight regain fear is the single largest barrier between trial intent and sustained adherence. Consumers who start GLP-1 medication but stop prematurely due to dependency fears represent both lost revenue and a patient safety concern (yo-yo weight cycling carries independent health risks). Brands that provide transparent, evidence-based guidance on what happens when you stop - and what the options are - will reduce early discontinuation and build trust that competitors who avoid the topic cannot match.</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'What to Expect' guide covering the full GLP-1 lifecycle: initiation, dose escalation, maintenance, and - critically - what happens if you taper or stop. Include clinical data on average weight regain percentages and timelines, alongside patient-reported strategies for minimising regain. Distribute through prescribing physicians at the point of prescription. Create a 6-month and 12-month check-in programme (automated SMS or WhatsApp reminders) that proactively addresses sustainability concerns at the moments when discontinuation risk is highest.</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retrospective cohort analysis (n=200 Indian GLP-1 patients who completed at least 6 months of treatment, sourced from 10 endocrinology practices) tracking weight outcomes at 3, 6, and 12 months post-discontinuation. Research question: What behavioural and dietary factors during active treatment predict lower weight regain after GLP-1 medication cessation in Indian patients?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"lift weights</w:t>
        <w:br/>
        <w:br/>
        <w:t>eat high protein low calorie diet</w:t>
        <w:br/>
        <w:br/>
        <w:t>try to increase your overall muscle mass , this is the long term permanent solution"</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"In my experience, these are the same actions required for maintenance for those of us who remain on our GLP1. The medications help support these actions but the work is the same, in my experience."</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11. Celebrity &amp; Bollywood Ozempic Speculation</w:t>
      </w:r>
    </w:p>
    <w:p>
      <w:pPr>
        <w:spacing w:after="160"/>
      </w:pPr>
      <w:r>
        <w:rPr>
          <w:rFonts w:ascii="Lato" w:hAnsi="Lato"/>
          <w:b w:val="0"/>
          <w:i w:val="0"/>
          <w:color w:val="6B7280"/>
          <w:sz w:val="18"/>
        </w:rPr>
        <w:t>n=177</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7.1% of Dataset</w:t>
      </w:r>
      <w:r>
        <w:rPr>
          <w:rFonts w:ascii="Lato" w:hAnsi="Lato"/>
          <w:b w:val="0"/>
          <w:i w:val="0"/>
          <w:color w:val="6B7280"/>
          <w:sz w:val="18"/>
        </w:rPr>
        <w:t xml:space="preserve">  |  NSS: </w:t>
      </w:r>
      <w:r>
        <w:rPr>
          <w:rFonts w:ascii="Lato" w:hAnsi="Lato"/>
          <w:b/>
          <w:i w:val="0"/>
          <w:color w:val="059669"/>
          <w:sz w:val="18"/>
        </w:rPr>
        <w:t>+13%</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Celebrity &amp; Bollywood Ozempic Speculation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Celebrity &amp; Bollywood Ozempic Speculation comprises 177 items (7.1% prevalence) with a mildly positive NSS of +13.4% (47 positive, 26 negative, 61 neutral, 23 mixed). The dominant emotion is 'none' (55 items), followed by joy (34) and trust (17). Discussion includes speculation about Bollywood figures like Bhumi Pednekar, Sara Ali Khan, and Ram Kapoor, as well as cricketers like Prithvi Shaw.</w:t>
      </w:r>
    </w:p>
    <w:p>
      <w:pPr>
        <w:pStyle w:val="Heading3"/>
        <w:jc w:val="left"/>
      </w:pPr>
      <w:r>
        <w:rPr>
          <w:rFonts w:ascii="Lato" w:hAnsi="Lato"/>
          <w:b/>
          <w:color w:val="1E3A5F"/>
          <w:sz w:val="26"/>
        </w:rPr>
        <w:t>What it Means</w:t>
      </w:r>
    </w:p>
    <w:p>
      <w:pPr>
        <w:spacing w:after="120" w:before="0"/>
      </w:pPr>
      <w:r>
        <w:rPr>
          <w:rFonts w:ascii="Lato" w:hAnsi="Lato"/>
          <w:b w:val="0"/>
          <w:i w:val="0"/>
          <w:sz w:val="22"/>
        </w:rPr>
        <w:t>The high proportion of emotionally neutral items (55 'none' out of 177) combined with high factual neutrality (61 neutral sentiment) reveals that celebrity Ozempic speculation functions primarily as entertainment gossip rather than health information-seeking. Consumers are not fearful or inspired by celebrity use - they are amused and curious. However, the subtext is consequential: celebrity non-disclosure reinforces the stigma theme (THM_06) by implicitly communicating that medication-assisted weight loss is something to hide. When consumers see celebrities denying Ozempic use while clearly having transformed their bodies, the message received is that this medication is effective but shameful.</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Celebrity speculation is a double-edged cultural force. It generates awareness (177 items discussing the medication without any brand spending) but simultaneously reinforces the shame narrative. Brands cannot control celebrity disclosure decisions, but they can influence the cultural frame around medication-assisted weight loss by partnering with public figures who are willing to discuss their journeys openly. In India's celebrity-driven consumer culture, one honest Bollywood endorsement could shift the stigma conversation more than any clinical campaign.</w:t>
      </w:r>
    </w:p>
    <w:p>
      <w:pPr>
        <w:pStyle w:val="Heading3"/>
        <w:jc w:val="left"/>
      </w:pPr>
      <w:r>
        <w:rPr>
          <w:rFonts w:ascii="Lato" w:hAnsi="Lato"/>
          <w:b/>
          <w:color w:val="1E3A5F"/>
          <w:sz w:val="26"/>
        </w:rPr>
        <w:t>Recommendation</w:t>
      </w:r>
    </w:p>
    <w:p>
      <w:pPr>
        <w:spacing w:after="120" w:before="0"/>
      </w:pPr>
      <w:r>
        <w:rPr>
          <w:rFonts w:ascii="Lato" w:hAnsi="Lato"/>
          <w:b w:val="0"/>
          <w:i w:val="0"/>
          <w:sz w:val="22"/>
        </w:rPr>
        <w:t>Identify and approach 2-3 Indian public figures (actors, cricketers, business leaders) who have publicly discussed weight struggles and would consider openly sharing a GLP-1 medication journey. Structure the partnership as a 6-month documented journey (not a one-time endorsement) across Instagram and YouTube. Ensure the narrative includes setbacks and side effects for authenticity. Brief legal and medical compliance teams before outreach to ensure DTCA regulatory compliance in India.</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social media experiment (A/B message testing, n=1000 per cell, Indian Instagram users aged 25-45) comparing consumer trust and trial intent when exposed to: (A) a celebrity openly discussing GLP-1 use, (B) a celebrity transformation with no medication attribution, (C) a physician testimonial. Research question: Does celebrity transparency about medication use increase or decrease trial intent compared to ambiguous celebrity transformations?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"Someone who knows, please say , see sarfaraz Khan's before picture, his hairline is clearly visible, but see the after picture. A head full of hair , is fat loss somehow related to hair health ?"</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"Maine particularly is aadmi ko nahi kaha hai. You asked "ozempic" se kya dikkat hai. Not Ram kapoor se kya dikkat hai. It all started when big names Kusha, Kjo lied publicly about NOT taking ozempic. (Jhooth)</w:t>
        <w:br/>
        <w:br/>
        <w:t>If we're dogla, you are DUMB."</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"It is illogical to suggest that everyone can easily lose weight through exercise and dieting. Many individuals struggle with weight loss due to biological factors such as appetite regulation. Those who are morbidly obese often require medication to lower their risk of early mortality. For these individuals, recommending exercise and dieting may not be helpful."</w:t>
      </w:r>
      <w:r>
        <w:rPr>
          <w:rFonts w:ascii="Lato" w:hAnsi="Lato"/>
          <w:b w:val="0"/>
          <w:i w:val="0"/>
          <w:color w:val="6B7280"/>
          <w:sz w:val="18"/>
        </w:rPr>
        <w:t xml:space="preserve">  - instagram</w:t>
      </w:r>
    </w:p>
    <w:p>
      <w:pPr>
        <w:spacing w:before="80" w:after="80"/>
        <w:pBdr>
          <w:bottom w:val="single" w:sz="4" w:space="1" w:color="6B7280"/>
        </w:pBdr>
      </w:pPr>
    </w:p>
    <w:p>
      <w:pPr>
        <w:pStyle w:val="Heading2"/>
        <w:jc w:val="left"/>
      </w:pPr>
      <w:r>
        <w:rPr>
          <w:rFonts w:ascii="Lato" w:hAnsi="Lato"/>
          <w:b/>
          <w:color w:val="1E3A5F"/>
          <w:sz w:val="32"/>
        </w:rPr>
        <w:t>12. Obesity Epidemic &amp; Systemic Food Issues</w:t>
      </w:r>
    </w:p>
    <w:p>
      <w:pPr>
        <w:spacing w:after="160"/>
      </w:pPr>
      <w:r>
        <w:rPr>
          <w:rFonts w:ascii="Lato" w:hAnsi="Lato"/>
          <w:b w:val="0"/>
          <w:i w:val="0"/>
          <w:color w:val="6B7280"/>
          <w:sz w:val="18"/>
        </w:rPr>
        <w:t>n=120</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61% (Moderate)</w:t>
      </w:r>
      <w:r>
        <w:rPr>
          <w:rFonts w:ascii="Lato" w:hAnsi="Lato"/>
          <w:b w:val="0"/>
          <w:i w:val="0"/>
          <w:color w:val="6B7280"/>
          <w:sz w:val="18"/>
        </w:rPr>
        <w:t xml:space="preserve">  |  4.8%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11.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Obesity Epidemic &amp; Systemic Food Issues</w:t>
      </w:r>
    </w:p>
    <w:p>
      <w:pPr>
        <w:pStyle w:val="Heading3"/>
        <w:jc w:val="left"/>
      </w:pPr>
      <w:r>
        <w:rPr>
          <w:rFonts w:ascii="Lato" w:hAnsi="Lato"/>
          <w:b/>
          <w:color w:val="1E3A5F"/>
          <w:sz w:val="26"/>
        </w:rPr>
        <w:t>What the Data Shows</w:t>
      </w:r>
    </w:p>
    <w:p>
      <w:pPr>
        <w:spacing w:after="120" w:before="0"/>
      </w:pPr>
      <w:r>
        <w:rPr>
          <w:rFonts w:ascii="Lato" w:hAnsi="Lato"/>
          <w:b w:val="0"/>
          <w:i w:val="0"/>
          <w:sz w:val="22"/>
        </w:rPr>
        <w:t>Obesity Epidemic &amp; Systemic Food Issues is the smallest theme at 120 items (4.8% prevalence) with the lowest positive NSS at +11.8% (42 positive, 28 negative, 25 neutral, 24 mixed). Trust (31) and 'none' (20) are the leading emotions, with anticipation (17) and sadness (16) also present. Discussion covers ultra-processed food as a root cause, food industry blame, obesity as a systemic and societal problem, and pharmaceutical industry dynamics.</w:t>
      </w:r>
    </w:p>
    <w:p>
      <w:pPr>
        <w:pStyle w:val="Heading3"/>
        <w:jc w:val="left"/>
      </w:pPr>
      <w:r>
        <w:rPr>
          <w:rFonts w:ascii="Lato" w:hAnsi="Lato"/>
          <w:b/>
          <w:color w:val="1E3A5F"/>
          <w:sz w:val="26"/>
        </w:rPr>
        <w:t>What it Means</w:t>
      </w:r>
    </w:p>
    <w:p>
      <w:pPr>
        <w:spacing w:after="120" w:before="0"/>
      </w:pPr>
      <w:r>
        <w:rPr>
          <w:rFonts w:ascii="Lato" w:hAnsi="Lato"/>
          <w:b w:val="0"/>
          <w:i w:val="0"/>
          <w:sz w:val="22"/>
        </w:rPr>
        <w:t>This small but intellectually dense theme contains the systemic critics - consumers who view individual weight loss medication as treating symptoms while ignoring root causes. The trust-dominant emotion (31 items) is counterintuitive for a critique-heavy theme until you recognise that these consumers trust the systemic analysis (food industry manipulation, policy failures) even while distrusting individual pharmaceutical solutions. The 24 mixed-sentiment items reveal the core tension: consumers who intellectually oppose pharmaceutical approaches to a food-system problem but personally consider medication because systemic change is too slow. This is the classic individual-versus-structural health dilemma. At 4.8% prevalence, this is a minority voice, but it includes opinion leaders, medical professionals, and policy-adjacent commentators whose influence exceeds their numbers.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theme poses a reputational framing risk rather than a volume threat. If the systemic critique narrative - 'pharma profits from a food system it helped create' - gains mainstream traction (via journalists, documentaries, or policy debates), it could reframe GLP-1 medications from health solutions to corporate symptom management. The brand's best defence is pre-emptive: acknowledge the systemic reality while positioning medication as a bridge solution for individuals who cannot wait for systemic change.</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corporate communications position paper that explicitly acknowledges the role of ultra-processed food environments in the obesity epidemic and positions GLP-1 medication as one tool within a broader public health response - not the sole solution. Use this framing in all earned media and physician engagement. Sponsor one policy research initiative (e.g., partnering with an Indian public health institute) studying ultra-processed food consumption patterns in India. This pre-empts the 'pharma is the problem' narrative by demonstrating systemic awareness.</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media content analysis (12-month retrospective, covering Indian English and Hindi media) tracking the frequency and framing of obesity-as-systemic-issue narratives versus obesity-as-individual-responsibility narratives. Research question: Is the systemic framing of obesity gaining share of voice in Indian media, and at what rate?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"Pede ao médico alternativa para Ozempic. O importante é a tua mãe tenha acesso a um tratamento, nao que tenha que ser um de ultima geração.</w:t>
        <w:br/>
        <w:br/>
        <w:t>Também te aconselho de mandes um e-mail à [Novonordisk.pt](http://Novonordisk.pt) a perguntar porque é que há rotura de stock (outra vez). Tinha prometido que isto não ia a voltar a acontecer, mas parece que se ficaram pelas boas intenções."</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"Fascinating. The chaotic side of me hopes this will be a self curing accident. Everyone gets obese from capitalism, capitalism sells the cure, the cure works, food capitalism dies, no one has to take the drugs anymore because the problem withered away."</w:t>
      </w:r>
      <w:r>
        <w:rPr>
          <w:rFonts w:ascii="Lato" w:hAnsi="Lato"/>
          <w:b w:val="0"/>
          <w:i w:val="0"/>
          <w:color w:val="6B7280"/>
          <w:sz w:val="18"/>
        </w:rPr>
        <w:t xml:space="preserve">  - reddit</w:t>
      </w:r>
    </w:p>
    <w:p>
      <w:pPr>
        <w:spacing w:before="80" w:after="80"/>
        <w:ind w:left="680" w:right="680"/>
      </w:pPr>
      <w:r>
        <w:rPr>
          <w:rFonts w:ascii="Lato" w:hAnsi="Lato"/>
          <w:b w:val="0"/>
          <w:i/>
          <w:color w:val="374151"/>
          <w:sz w:val="20"/>
        </w:rPr>
        <w:t>"No it’s just people have eating addictions 😂 and use eating cope with stress and hardships"</w:t>
      </w:r>
      <w:r>
        <w:rPr>
          <w:rFonts w:ascii="Lato" w:hAnsi="Lato"/>
          <w:b w:val="0"/>
          <w:i w:val="0"/>
          <w:color w:val="6B7280"/>
          <w:sz w:val="18"/>
        </w:rPr>
        <w:t xml:space="preserve">  - instagram</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66/100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58.4</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98.6</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DC2626"/>
                <w:sz w:val="20"/>
              </w:rPr>
              <w:t>37.0</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059669"/>
                <w:sz w:val="20"/>
              </w:rPr>
              <w:t>87.3</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34.0</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(34/100)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Data ingested from external sources across Instagram, Reddit, Youtube. Original collection methodology unknown.</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1,404</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923</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157</w:t>
            </w:r>
          </w:p>
        </w:tc>
      </w:tr>
    </w:tbl>
    <w:p>
      <w:pPr>
        <w:spacing w:after="120" w:before="0"/>
      </w:pPr>
      <w:r>
        <w:rPr>
          <w:rFonts w:ascii="Lato" w:hAnsi="Lato"/>
          <w:b w:val="0"/>
          <w:i w:val="0"/>
          <w:sz w:val="22"/>
        </w:rPr>
        <w:t>Corpus composition: 852 posts and 1,632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market context: India. Content is collected using market-specific queries (brand names, regional terms, India-specific keywords) and filtered for topical relevance. However, no platform provides verified geolocation data. Geographic origin is inferred from context (language, currency references, retailer mentions, cultural markers) rather than verified. Audit of comparable studies found 2-3% of corpus items originate from non-target markets (e.g., US product listings, UK healthcare discussions) that pass topical relevance filters. Findings in this report describe conversations about the brand in the India market context, not verified conversations from India consumers.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Feb 2024 - Feb 2026 (24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Instagram skews female, urban, and 18-34 with strong influencer and health-creator content that shapes but does not represent consumer opinion; Reddit skews male, urban, and 18-34; YouTube is more balanced across gender but skews younger audiences; creator content dominates over consumer discussion.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