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20"/>
        <w:jc w:val="left"/>
      </w:pPr>
      <w:r>
        <w:rPr>
          <w:rFonts w:ascii="Lato" w:hAnsi="Lato"/>
          <w:b/>
          <w:i w:val="0"/>
          <w:color w:val="0F2440"/>
          <w:sz w:val="72"/>
        </w:rPr>
        <w:t>Make in India</w:t>
      </w:r>
    </w:p>
    <w:p>
      <w:pPr>
        <w:spacing w:after="80"/>
        <w:jc w:val="left"/>
      </w:pPr>
      <w:r>
        <w:rPr>
          <w:rFonts w:ascii="Lato" w:hAnsi="Lato"/>
          <w:b w:val="0"/>
          <w:i w:val="0"/>
          <w:color w:val="374151"/>
          <w:sz w:val="28"/>
        </w:rPr>
        <w:t>Research Report: Consumer Sentiment &amp; Brand Perception</w:t>
      </w:r>
    </w:p>
    <w:p>
      <w:pPr>
        <w:spacing w:after="560"/>
        <w:jc w:val="left"/>
      </w:pPr>
      <w:r>
        <w:rPr>
          <w:rFonts w:ascii="Lato" w:hAnsi="Lato"/>
          <w:b w:val="0"/>
          <w:i w:val="0"/>
          <w:color w:val="6B7280"/>
          <w:sz w:val="22"/>
        </w:rPr>
        <w:t>Analysis Date: April 2026</w:t>
      </w:r>
    </w:p>
    <w:p>
      <w:pPr>
        <w:spacing w:before="80" w:after="80"/>
        <w:pBdr>
          <w:bottom w:val="single" w:sz="4" w:space="1" w:color="6B7280"/>
        </w:pBdr>
      </w:pPr>
    </w:p>
    <w:p/>
    <w:p>
      <w:pPr>
        <w:spacing w:before="80" w:after="80"/>
        <w:pBdr>
          <w:bottom w:val="single" w:sz="4" w:space="1" w:color="6B7280"/>
        </w:pBdr>
      </w:pPr>
    </w:p>
    <w:p>
      <w:pPr>
        <w:pStyle w:val="Heading2"/>
        <w:jc w:val="left"/>
      </w:pPr>
      <w:r>
        <w:rPr>
          <w:rFonts w:ascii="Lato" w:hAnsi="Lato"/>
          <w:b/>
          <w:color w:val="1E3A5F"/>
          <w:sz w:val="32"/>
        </w:rPr>
        <w:t>Summary of Data and Findings</w:t>
      </w:r>
    </w:p>
    <w:tbl>
      <w:tblPr>
        <w:tblStyle w:val="TableGrid"/>
        <w:tblW w:type="auto" w:w="0"/>
        <w:jc w:val="left"/>
        <w:tblLook w:firstColumn="1" w:firstRow="1" w:lastColumn="0" w:lastRow="0" w:noHBand="0" w:noVBand="1" w:val="04A0"/>
      </w:tblPr>
      <w:tblGrid>
        <w:gridCol w:w="4703"/>
        <w:gridCol w:w="4703"/>
      </w:tblGrid>
      <w:tr>
        <w:tc>
          <w:tcPr>
            <w:tcW w:type="dxa" w:w="4703"/>
          </w:tcPr>
          <w:p>
            <w:pPr>
              <w:spacing w:before="80" w:after="80"/>
            </w:pPr>
            <w:r/>
            <w:r>
              <w:rPr>
                <w:rFonts w:ascii="Lato" w:hAnsi="Lato"/>
                <w:b w:val="0"/>
                <w:i w:val="0"/>
                <w:color w:val="374151"/>
                <w:sz w:val="22"/>
              </w:rPr>
              <w:t>Items Analysed</w:t>
            </w:r>
          </w:p>
        </w:tc>
        <w:tc>
          <w:tcPr>
            <w:tcW w:type="dxa" w:w="4703"/>
          </w:tcPr>
          <w:p>
            <w:pPr>
              <w:spacing w:before="80" w:after="80"/>
            </w:pPr>
            <w:r/>
            <w:r>
              <w:rPr>
                <w:rFonts w:ascii="Lato" w:hAnsi="Lato"/>
                <w:b/>
                <w:i w:val="0"/>
                <w:color w:val="1E3A5F"/>
                <w:sz w:val="26"/>
              </w:rPr>
              <w:t>3,516</w:t>
            </w:r>
          </w:p>
        </w:tc>
      </w:tr>
      <w:tr>
        <w:tc>
          <w:tcPr>
            <w:tcW w:type="dxa" w:w="4703"/>
          </w:tcPr>
          <w:p>
            <w:pPr>
              <w:spacing w:before="80" w:after="80"/>
            </w:pPr>
            <w:r/>
            <w:r>
              <w:rPr>
                <w:rFonts w:ascii="Lato" w:hAnsi="Lato"/>
                <w:b w:val="0"/>
                <w:i w:val="0"/>
                <w:color w:val="374151"/>
                <w:sz w:val="22"/>
              </w:rPr>
              <w:t>Content Date Range</w:t>
            </w:r>
          </w:p>
        </w:tc>
        <w:tc>
          <w:tcPr>
            <w:tcW w:type="dxa" w:w="4703"/>
          </w:tcPr>
          <w:p>
            <w:pPr>
              <w:spacing w:before="80" w:after="80"/>
            </w:pPr>
            <w:r/>
            <w:r>
              <w:rPr>
                <w:rFonts w:ascii="Lato" w:hAnsi="Lato"/>
                <w:b/>
                <w:i w:val="0"/>
                <w:color w:val="1E3A5F"/>
                <w:sz w:val="26"/>
              </w:rPr>
              <w:t>Dec 2024 - Jan 2026</w:t>
            </w:r>
          </w:p>
        </w:tc>
      </w:tr>
      <w:tr>
        <w:tc>
          <w:tcPr>
            <w:tcW w:type="dxa" w:w="4703"/>
          </w:tcPr>
          <w:p>
            <w:pPr>
              <w:spacing w:before="80" w:after="80"/>
            </w:pPr>
            <w:r/>
            <w:r>
              <w:rPr>
                <w:rFonts w:ascii="Lato" w:hAnsi="Lato"/>
                <w:b w:val="0"/>
                <w:i w:val="0"/>
                <w:color w:val="374151"/>
                <w:sz w:val="22"/>
              </w:rPr>
              <w:t>Insights Identified</w:t>
            </w:r>
          </w:p>
        </w:tc>
        <w:tc>
          <w:tcPr>
            <w:tcW w:type="dxa" w:w="4703"/>
          </w:tcPr>
          <w:p>
            <w:pPr>
              <w:spacing w:before="80" w:after="80"/>
            </w:pPr>
            <w:r/>
            <w:r>
              <w:rPr>
                <w:rFonts w:ascii="Lato" w:hAnsi="Lato"/>
                <w:b/>
                <w:i w:val="0"/>
                <w:color w:val="1E3A5F"/>
                <w:sz w:val="26"/>
              </w:rPr>
              <w:t>12</w:t>
            </w:r>
          </w:p>
        </w:tc>
      </w:tr>
      <w:tr>
        <w:tc>
          <w:tcPr>
            <w:tcW w:type="dxa" w:w="4703"/>
          </w:tcPr>
          <w:p>
            <w:pPr>
              <w:spacing w:before="80" w:after="80"/>
            </w:pPr>
            <w:r/>
            <w:r>
              <w:rPr>
                <w:rFonts w:ascii="Lato" w:hAnsi="Lato"/>
                <w:b w:val="0"/>
                <w:i w:val="0"/>
                <w:color w:val="374151"/>
                <w:sz w:val="22"/>
              </w:rPr>
              <w:t>Net Sentiment Score</w:t>
            </w:r>
          </w:p>
        </w:tc>
        <w:tc>
          <w:tcPr>
            <w:tcW w:type="dxa" w:w="4703"/>
          </w:tcPr>
          <w:p>
            <w:pPr>
              <w:spacing w:before="80" w:after="80"/>
            </w:pPr>
            <w:r/>
            <w:r>
              <w:rPr>
                <w:rFonts w:ascii="Lato" w:hAnsi="Lato"/>
                <w:b/>
                <w:i w:val="0"/>
                <w:color w:val="059669"/>
                <w:sz w:val="26"/>
              </w:rPr>
              <w:t>+23.9%</w:t>
            </w:r>
          </w:p>
        </w:tc>
      </w:tr>
      <w:tr>
        <w:tc>
          <w:tcPr>
            <w:tcW w:type="dxa" w:w="4703"/>
          </w:tcPr>
          <w:p>
            <w:pPr>
              <w:spacing w:before="80" w:after="80"/>
            </w:pPr>
            <w:r/>
            <w:r>
              <w:rPr>
                <w:rFonts w:ascii="Lato" w:hAnsi="Lato"/>
                <w:b w:val="0"/>
                <w:i w:val="0"/>
                <w:color w:val="374151"/>
                <w:sz w:val="22"/>
              </w:rPr>
              <w:t>Brand Health Score</w:t>
            </w:r>
          </w:p>
        </w:tc>
        <w:tc>
          <w:tcPr>
            <w:tcW w:type="dxa" w:w="4703"/>
          </w:tcPr>
          <w:p>
            <w:pPr>
              <w:spacing w:before="80" w:after="80"/>
            </w:pPr>
            <w:r/>
            <w:r>
              <w:rPr>
                <w:rFonts w:ascii="Lato" w:hAnsi="Lato"/>
                <w:b/>
                <w:i w:val="0"/>
                <w:color w:val="D97706"/>
                <w:sz w:val="26"/>
              </w:rPr>
              <w:t>69/100</w:t>
            </w:r>
          </w:p>
        </w:tc>
      </w:tr>
      <w:tr>
        <w:tc>
          <w:tcPr>
            <w:tcW w:type="dxa" w:w="4703"/>
          </w:tcPr>
          <w:p>
            <w:pPr>
              <w:spacing w:before="80" w:after="80"/>
            </w:pPr>
            <w:r/>
            <w:r>
              <w:rPr>
                <w:rFonts w:ascii="Lato" w:hAnsi="Lato"/>
                <w:b w:val="0"/>
                <w:i w:val="0"/>
                <w:color w:val="374151"/>
                <w:sz w:val="22"/>
              </w:rPr>
              <w:t>Data Sources</w:t>
            </w:r>
          </w:p>
        </w:tc>
        <w:tc>
          <w:tcPr>
            <w:tcW w:type="dxa" w:w="4703"/>
          </w:tcPr>
          <w:p>
            <w:pPr>
              <w:spacing w:before="80" w:after="80"/>
            </w:pPr>
            <w:r/>
            <w:r>
              <w:rPr>
                <w:rFonts w:ascii="Lato" w:hAnsi="Lato"/>
                <w:b/>
                <w:i w:val="0"/>
                <w:color w:val="1E3A5F"/>
                <w:sz w:val="26"/>
              </w:rPr>
              <w:t>4 platforms</w:t>
            </w:r>
          </w:p>
        </w:tc>
      </w:tr>
    </w:tbl>
    <w:p>
      <w:r>
        <w:br w:type="page"/>
      </w:r>
    </w:p>
    <w:p>
      <w:pPr>
        <w:pStyle w:val="Heading1"/>
        <w:jc w:val="left"/>
      </w:pPr>
      <w:r>
        <w:rPr>
          <w:rFonts w:ascii="Lato" w:hAnsi="Lato"/>
          <w:b/>
          <w:color w:val="1E3A5F"/>
          <w:sz w:val="44"/>
        </w:rPr>
        <w:t>Data Universe</w:t>
      </w:r>
    </w:p>
    <w:p>
      <w:pPr>
        <w:pStyle w:val="Heading2"/>
        <w:jc w:val="left"/>
      </w:pPr>
      <w:r>
        <w:rPr>
          <w:rFonts w:ascii="Lato" w:hAnsi="Lato"/>
          <w:b/>
          <w:color w:val="1E3A5F"/>
          <w:sz w:val="32"/>
        </w:rPr>
        <w:t>Collection Funnel</w:t>
      </w:r>
    </w:p>
    <w:p>
      <w:pPr>
        <w:spacing w:after="120" w:before="0"/>
      </w:pPr>
      <w:r>
        <w:rPr>
          <w:rFonts w:ascii="Lato" w:hAnsi="Lato"/>
          <w:b w:val="0"/>
          <w:i w:val="0"/>
          <w:sz w:val="22"/>
        </w:rPr>
        <w:t>Of 282,355 raw data points collected across all sources, 22,860 remained after deduplication and quality filtering, and 3,516 passed LLM relevance classification (1.2% of total collected). These 3,516 items form the analysis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Stage</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Notes</w:t>
            </w:r>
          </w:p>
        </w:tc>
      </w:tr>
      <w:tr>
        <w:tc>
          <w:tcPr>
            <w:tcW w:type="dxa" w:w="3135"/>
          </w:tcPr>
          <w:p>
            <w:pPr>
              <w:spacing w:before="60" w:after="60"/>
            </w:pPr>
            <w:r/>
            <w:r>
              <w:rPr>
                <w:rFonts w:ascii="Lato" w:hAnsi="Lato"/>
                <w:b w:val="0"/>
                <w:i w:val="0"/>
                <w:color w:val="374151"/>
                <w:sz w:val="20"/>
              </w:rPr>
              <w:t>Raw collected</w:t>
            </w:r>
          </w:p>
        </w:tc>
        <w:tc>
          <w:tcPr>
            <w:tcW w:type="dxa" w:w="3135"/>
          </w:tcPr>
          <w:p>
            <w:pPr>
              <w:spacing w:before="60" w:after="60"/>
            </w:pPr>
            <w:r/>
            <w:r>
              <w:rPr>
                <w:rFonts w:ascii="Lato" w:hAnsi="Lato"/>
                <w:b w:val="0"/>
                <w:i w:val="0"/>
                <w:color w:val="374151"/>
                <w:sz w:val="20"/>
              </w:rPr>
              <w:t>282,355</w:t>
            </w:r>
          </w:p>
        </w:tc>
        <w:tc>
          <w:tcPr>
            <w:tcW w:type="dxa" w:w="3135"/>
          </w:tcPr>
          <w:p>
            <w:pPr>
              <w:spacing w:before="60" w:after="60"/>
            </w:pPr>
            <w:r/>
            <w:r>
              <w:rPr>
                <w:rFonts w:ascii="Lato" w:hAnsi="Lato"/>
                <w:b w:val="0"/>
                <w:i w:val="0"/>
                <w:color w:val="374151"/>
                <w:sz w:val="20"/>
              </w:rPr>
              <w:t>All posts, comments, articles and videos gathered across all platforms</w:t>
            </w:r>
          </w:p>
        </w:tc>
      </w:tr>
      <w:tr>
        <w:tc>
          <w:tcPr>
            <w:tcW w:type="dxa" w:w="3135"/>
          </w:tcPr>
          <w:p>
            <w:pPr>
              <w:spacing w:before="60" w:after="60"/>
            </w:pPr>
            <w:r/>
            <w:r>
              <w:rPr>
                <w:rFonts w:ascii="Lato" w:hAnsi="Lato"/>
                <w:b w:val="0"/>
                <w:i w:val="0"/>
                <w:color w:val="374151"/>
                <w:sz w:val="20"/>
              </w:rPr>
              <w:t>After deduplication &amp; quality filter</w:t>
            </w:r>
          </w:p>
        </w:tc>
        <w:tc>
          <w:tcPr>
            <w:tcW w:type="dxa" w:w="3135"/>
          </w:tcPr>
          <w:p>
            <w:pPr>
              <w:spacing w:before="60" w:after="60"/>
            </w:pPr>
            <w:r/>
            <w:r>
              <w:rPr>
                <w:rFonts w:ascii="Lato" w:hAnsi="Lato"/>
                <w:b w:val="0"/>
                <w:i w:val="0"/>
                <w:color w:val="374151"/>
                <w:sz w:val="20"/>
              </w:rPr>
              <w:t>22,860</w:t>
            </w:r>
          </w:p>
        </w:tc>
        <w:tc>
          <w:tcPr>
            <w:tcW w:type="dxa" w:w="3135"/>
          </w:tcPr>
          <w:p>
            <w:pPr>
              <w:spacing w:before="60" w:after="60"/>
            </w:pPr>
            <w:r/>
            <w:r>
              <w:rPr>
                <w:rFonts w:ascii="Lato" w:hAnsi="Lato"/>
                <w:b w:val="0"/>
                <w:i w:val="0"/>
                <w:color w:val="374151"/>
                <w:sz w:val="20"/>
              </w:rPr>
              <w:t>Thread dedup (max 5 comments/thread, random selection), empty/short text removed</w:t>
            </w:r>
          </w:p>
        </w:tc>
      </w:tr>
      <w:tr>
        <w:tc>
          <w:tcPr>
            <w:tcW w:type="dxa" w:w="3135"/>
          </w:tcPr>
          <w:p>
            <w:pPr>
              <w:spacing w:before="60" w:after="60"/>
            </w:pPr>
            <w:r/>
            <w:r>
              <w:rPr>
                <w:rFonts w:ascii="Lato" w:hAnsi="Lato"/>
                <w:b w:val="0"/>
                <w:i w:val="0"/>
                <w:color w:val="374151"/>
                <w:sz w:val="20"/>
              </w:rPr>
              <w:t>After relevance classification</w:t>
            </w:r>
          </w:p>
        </w:tc>
        <w:tc>
          <w:tcPr>
            <w:tcW w:type="dxa" w:w="3135"/>
          </w:tcPr>
          <w:p>
            <w:pPr>
              <w:spacing w:before="60" w:after="60"/>
            </w:pPr>
            <w:r/>
            <w:r>
              <w:rPr>
                <w:rFonts w:ascii="Lato" w:hAnsi="Lato"/>
                <w:b w:val="0"/>
                <w:i w:val="0"/>
                <w:color w:val="374151"/>
                <w:sz w:val="20"/>
              </w:rPr>
              <w:t>3,516</w:t>
            </w:r>
          </w:p>
        </w:tc>
        <w:tc>
          <w:tcPr>
            <w:tcW w:type="dxa" w:w="3135"/>
          </w:tcPr>
          <w:p>
            <w:pPr>
              <w:spacing w:before="60" w:after="60"/>
            </w:pPr>
            <w:r/>
            <w:r>
              <w:rPr>
                <w:rFonts w:ascii="Lato" w:hAnsi="Lato"/>
                <w:b w:val="0"/>
                <w:i w:val="0"/>
                <w:color w:val="374151"/>
                <w:sz w:val="20"/>
              </w:rPr>
              <w:t>LLM relevance filter — 1.2% of raw collected. Analysis corpus.</w:t>
            </w:r>
          </w:p>
        </w:tc>
      </w:tr>
    </w:tbl>
    <w:p/>
    <w:p>
      <w:pPr>
        <w:pStyle w:val="Heading2"/>
        <w:jc w:val="left"/>
      </w:pPr>
      <w:r>
        <w:rPr>
          <w:rFonts w:ascii="Lato" w:hAnsi="Lato"/>
          <w:b/>
          <w:color w:val="1E3A5F"/>
          <w:sz w:val="32"/>
        </w:rPr>
        <w:t>Platform Breakdown</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Platform</w:t>
            </w:r>
          </w:p>
        </w:tc>
        <w:tc>
          <w:tcPr>
            <w:tcW w:type="dxa" w:w="3135"/>
            <w:shd w:val="clear" w:color="auto" w:fill="1E3A5F"/>
          </w:tcPr>
          <w:p>
            <w:pPr>
              <w:spacing w:before="60" w:after="60"/>
            </w:pPr>
            <w:r/>
            <w:r>
              <w:rPr>
                <w:rFonts w:ascii="Lato" w:hAnsi="Lato"/>
                <w:b/>
                <w:i w:val="0"/>
                <w:color w:val="FFFFFF"/>
                <w:sz w:val="20"/>
              </w:rPr>
              <w:t>Items</w:t>
            </w:r>
          </w:p>
        </w:tc>
        <w:tc>
          <w:tcPr>
            <w:tcW w:type="dxa" w:w="3135"/>
            <w:shd w:val="clear" w:color="auto" w:fill="1E3A5F"/>
          </w:tcPr>
          <w:p>
            <w:pPr>
              <w:spacing w:before="60" w:after="60"/>
            </w:pPr>
            <w:r/>
            <w:r>
              <w:rPr>
                <w:rFonts w:ascii="Lato" w:hAnsi="Lato"/>
                <w:b/>
                <w:i w:val="0"/>
                <w:color w:val="FFFFFF"/>
                <w:sz w:val="20"/>
              </w:rPr>
              <w:t>Share of Corpus</w:t>
            </w:r>
          </w:p>
        </w:tc>
      </w:tr>
      <w:tr>
        <w:tc>
          <w:tcPr>
            <w:tcW w:type="dxa" w:w="3135"/>
          </w:tcPr>
          <w:p>
            <w:pPr>
              <w:spacing w:before="60" w:after="60"/>
            </w:pPr>
            <w:r/>
            <w:r>
              <w:rPr>
                <w:rFonts w:ascii="Lato" w:hAnsi="Lato"/>
                <w:b w:val="0"/>
                <w:i w:val="0"/>
                <w:color w:val="374151"/>
                <w:sz w:val="20"/>
              </w:rPr>
              <w:t>Twitter</w:t>
            </w:r>
          </w:p>
        </w:tc>
        <w:tc>
          <w:tcPr>
            <w:tcW w:type="dxa" w:w="3135"/>
          </w:tcPr>
          <w:p>
            <w:pPr>
              <w:spacing w:before="60" w:after="60"/>
            </w:pPr>
            <w:r/>
            <w:r>
              <w:rPr>
                <w:rFonts w:ascii="Lato" w:hAnsi="Lato"/>
                <w:b w:val="0"/>
                <w:i w:val="0"/>
                <w:color w:val="374151"/>
                <w:sz w:val="20"/>
              </w:rPr>
              <w:t>2266</w:t>
            </w:r>
          </w:p>
        </w:tc>
        <w:tc>
          <w:tcPr>
            <w:tcW w:type="dxa" w:w="3135"/>
          </w:tcPr>
          <w:p>
            <w:pPr>
              <w:spacing w:before="60" w:after="60"/>
            </w:pPr>
            <w:r/>
            <w:r>
              <w:rPr>
                <w:rFonts w:ascii="Lato" w:hAnsi="Lato"/>
                <w:b w:val="0"/>
                <w:i w:val="0"/>
                <w:color w:val="374151"/>
                <w:sz w:val="20"/>
              </w:rPr>
              <w:t>64.4%</w:t>
            </w:r>
          </w:p>
        </w:tc>
      </w:tr>
      <w:tr>
        <w:tc>
          <w:tcPr>
            <w:tcW w:type="dxa" w:w="3135"/>
          </w:tcPr>
          <w:p>
            <w:pPr>
              <w:spacing w:before="60" w:after="60"/>
            </w:pPr>
            <w:r/>
            <w:r>
              <w:rPr>
                <w:rFonts w:ascii="Lato" w:hAnsi="Lato"/>
                <w:b w:val="0"/>
                <w:i w:val="0"/>
                <w:color w:val="374151"/>
                <w:sz w:val="20"/>
              </w:rPr>
              <w:t>Youtube</w:t>
            </w:r>
          </w:p>
        </w:tc>
        <w:tc>
          <w:tcPr>
            <w:tcW w:type="dxa" w:w="3135"/>
          </w:tcPr>
          <w:p>
            <w:pPr>
              <w:spacing w:before="60" w:after="60"/>
            </w:pPr>
            <w:r/>
            <w:r>
              <w:rPr>
                <w:rFonts w:ascii="Lato" w:hAnsi="Lato"/>
                <w:b w:val="0"/>
                <w:i w:val="0"/>
                <w:color w:val="374151"/>
                <w:sz w:val="20"/>
              </w:rPr>
              <w:t>887</w:t>
            </w:r>
          </w:p>
        </w:tc>
        <w:tc>
          <w:tcPr>
            <w:tcW w:type="dxa" w:w="3135"/>
          </w:tcPr>
          <w:p>
            <w:pPr>
              <w:spacing w:before="60" w:after="60"/>
            </w:pPr>
            <w:r/>
            <w:r>
              <w:rPr>
                <w:rFonts w:ascii="Lato" w:hAnsi="Lato"/>
                <w:b w:val="0"/>
                <w:i w:val="0"/>
                <w:color w:val="374151"/>
                <w:sz w:val="20"/>
              </w:rPr>
              <w:t>25.2%</w:t>
            </w:r>
          </w:p>
        </w:tc>
      </w:tr>
      <w:tr>
        <w:tc>
          <w:tcPr>
            <w:tcW w:type="dxa" w:w="3135"/>
          </w:tcPr>
          <w:p>
            <w:pPr>
              <w:spacing w:before="60" w:after="60"/>
            </w:pPr>
            <w:r/>
            <w:r>
              <w:rPr>
                <w:rFonts w:ascii="Lato" w:hAnsi="Lato"/>
                <w:b w:val="0"/>
                <w:i w:val="0"/>
                <w:color w:val="374151"/>
                <w:sz w:val="20"/>
              </w:rPr>
              <w:t>Reddit</w:t>
            </w:r>
          </w:p>
        </w:tc>
        <w:tc>
          <w:tcPr>
            <w:tcW w:type="dxa" w:w="3135"/>
          </w:tcPr>
          <w:p>
            <w:pPr>
              <w:spacing w:before="60" w:after="60"/>
            </w:pPr>
            <w:r/>
            <w:r>
              <w:rPr>
                <w:rFonts w:ascii="Lato" w:hAnsi="Lato"/>
                <w:b w:val="0"/>
                <w:i w:val="0"/>
                <w:color w:val="374151"/>
                <w:sz w:val="20"/>
              </w:rPr>
              <w:t>310</w:t>
            </w:r>
          </w:p>
        </w:tc>
        <w:tc>
          <w:tcPr>
            <w:tcW w:type="dxa" w:w="3135"/>
          </w:tcPr>
          <w:p>
            <w:pPr>
              <w:spacing w:before="60" w:after="60"/>
            </w:pPr>
            <w:r/>
            <w:r>
              <w:rPr>
                <w:rFonts w:ascii="Lato" w:hAnsi="Lato"/>
                <w:b w:val="0"/>
                <w:i w:val="0"/>
                <w:color w:val="374151"/>
                <w:sz w:val="20"/>
              </w:rPr>
              <w:t>8.8%</w:t>
            </w:r>
          </w:p>
        </w:tc>
      </w:tr>
      <w:tr>
        <w:tc>
          <w:tcPr>
            <w:tcW w:type="dxa" w:w="3135"/>
          </w:tcPr>
          <w:p>
            <w:pPr>
              <w:spacing w:before="60" w:after="60"/>
            </w:pPr>
            <w:r/>
            <w:r>
              <w:rPr>
                <w:rFonts w:ascii="Lato" w:hAnsi="Lato"/>
                <w:b w:val="0"/>
                <w:i w:val="0"/>
                <w:color w:val="374151"/>
                <w:sz w:val="20"/>
              </w:rPr>
              <w:t>Instagram</w:t>
            </w:r>
          </w:p>
        </w:tc>
        <w:tc>
          <w:tcPr>
            <w:tcW w:type="dxa" w:w="3135"/>
          </w:tcPr>
          <w:p>
            <w:pPr>
              <w:spacing w:before="60" w:after="60"/>
            </w:pPr>
            <w:r/>
            <w:r>
              <w:rPr>
                <w:rFonts w:ascii="Lato" w:hAnsi="Lato"/>
                <w:b w:val="0"/>
                <w:i w:val="0"/>
                <w:color w:val="374151"/>
                <w:sz w:val="20"/>
              </w:rPr>
              <w:t>53</w:t>
            </w:r>
          </w:p>
        </w:tc>
        <w:tc>
          <w:tcPr>
            <w:tcW w:type="dxa" w:w="3135"/>
          </w:tcPr>
          <w:p>
            <w:pPr>
              <w:spacing w:before="60" w:after="60"/>
            </w:pPr>
            <w:r/>
            <w:r>
              <w:rPr>
                <w:rFonts w:ascii="Lato" w:hAnsi="Lato"/>
                <w:b w:val="0"/>
                <w:i w:val="0"/>
                <w:color w:val="374151"/>
                <w:sz w:val="20"/>
              </w:rPr>
              <w:t>1.5%</w:t>
            </w:r>
          </w:p>
        </w:tc>
      </w:tr>
    </w:tbl>
    <w:p>
      <w:pPr>
        <w:jc w:val="center"/>
      </w:pPr>
      <w:r>
        <w:drawing>
          <wp:inline xmlns:a="http://schemas.openxmlformats.org/drawingml/2006/main" xmlns:pic="http://schemas.openxmlformats.org/drawingml/2006/picture">
            <wp:extent cx="4114800" cy="1408928"/>
            <wp:docPr id="1" name="Picture 1"/>
            <wp:cNvGraphicFramePr>
              <a:graphicFrameLocks noChangeAspect="1"/>
            </wp:cNvGraphicFramePr>
            <a:graphic>
              <a:graphicData uri="http://schemas.openxmlformats.org/drawingml/2006/picture">
                <pic:pic>
                  <pic:nvPicPr>
                    <pic:cNvPr id="0" name="chart_platforms.png"/>
                    <pic:cNvPicPr/>
                  </pic:nvPicPr>
                  <pic:blipFill>
                    <a:blip r:embed="rId9"/>
                    <a:stretch>
                      <a:fillRect/>
                    </a:stretch>
                  </pic:blipFill>
                  <pic:spPr>
                    <a:xfrm>
                      <a:off x="0" y="0"/>
                      <a:ext cx="4114800" cy="1408928"/>
                    </a:xfrm>
                    <a:prstGeom prst="rect"/>
                  </pic:spPr>
                </pic:pic>
              </a:graphicData>
            </a:graphic>
          </wp:inline>
        </w:drawing>
      </w:r>
    </w:p>
    <w:p>
      <w:pPr>
        <w:spacing w:after="240"/>
        <w:jc w:val="center"/>
      </w:pPr>
      <w:r>
        <w:rPr>
          <w:rFonts w:ascii="Lato" w:hAnsi="Lato"/>
          <w:b w:val="0"/>
          <w:i/>
          <w:color w:val="6B7280"/>
          <w:sz w:val="18"/>
        </w:rPr>
        <w:t>Figure 1: Item distribution by source platform</w:t>
      </w:r>
    </w:p>
    <w:p>
      <w:pPr>
        <w:pStyle w:val="Heading2"/>
        <w:jc w:val="left"/>
      </w:pPr>
      <w:r>
        <w:rPr>
          <w:rFonts w:ascii="Lato" w:hAnsi="Lato"/>
          <w:b/>
          <w:color w:val="1E3A5F"/>
          <w:sz w:val="32"/>
        </w:rPr>
        <w:t>Temporal Distribution</w:t>
      </w:r>
    </w:p>
    <w:p>
      <w:pPr>
        <w:spacing w:after="120" w:before="0"/>
      </w:pPr>
      <w:r>
        <w:rPr>
          <w:rFonts w:ascii="Lato" w:hAnsi="Lato"/>
          <w:b w:val="0"/>
          <w:i w:val="0"/>
          <w:sz w:val="22"/>
        </w:rPr>
        <w:t>The chart below shows when the analysed content was originally published, based on source timestamps. Percentages are of the full corpus. Items without a source timestamp are shown separately as 'Undated'.</w:t>
      </w:r>
    </w:p>
    <w:p>
      <w:pPr>
        <w:jc w:val="center"/>
      </w:pPr>
      <w:r>
        <w:drawing>
          <wp:inline xmlns:a="http://schemas.openxmlformats.org/drawingml/2006/main" xmlns:pic="http://schemas.openxmlformats.org/drawingml/2006/picture">
            <wp:extent cx="4572000" cy="1968099"/>
            <wp:docPr id="2" name="Picture 2"/>
            <wp:cNvGraphicFramePr>
              <a:graphicFrameLocks noChangeAspect="1"/>
            </wp:cNvGraphicFramePr>
            <a:graphic>
              <a:graphicData uri="http://schemas.openxmlformats.org/drawingml/2006/picture">
                <pic:pic>
                  <pic:nvPicPr>
                    <pic:cNvPr id="0" name="chart_temporal.png"/>
                    <pic:cNvPicPr/>
                  </pic:nvPicPr>
                  <pic:blipFill>
                    <a:blip r:embed="rId10"/>
                    <a:stretch>
                      <a:fillRect/>
                    </a:stretch>
                  </pic:blipFill>
                  <pic:spPr>
                    <a:xfrm>
                      <a:off x="0" y="0"/>
                      <a:ext cx="4572000" cy="1968099"/>
                    </a:xfrm>
                    <a:prstGeom prst="rect"/>
                  </pic:spPr>
                </pic:pic>
              </a:graphicData>
            </a:graphic>
          </wp:inline>
        </w:drawing>
      </w:r>
    </w:p>
    <w:p>
      <w:pPr>
        <w:spacing w:after="240"/>
        <w:jc w:val="center"/>
      </w:pPr>
      <w:r>
        <w:rPr>
          <w:rFonts w:ascii="Lato" w:hAnsi="Lato"/>
          <w:b w:val="0"/>
          <w:i/>
          <w:color w:val="6B7280"/>
          <w:sz w:val="18"/>
        </w:rPr>
        <w:t>Figure 2: Content publication date by year (full corpus denominator)</w:t>
      </w:r>
    </w:p>
    <w:p>
      <w:pPr>
        <w:pStyle w:val="Heading2"/>
        <w:jc w:val="left"/>
      </w:pPr>
      <w:r>
        <w:rPr>
          <w:rFonts w:ascii="Lato" w:hAnsi="Lato"/>
          <w:b/>
          <w:color w:val="1E3A5F"/>
          <w:sz w:val="32"/>
        </w:rPr>
        <w:t>Collection Methodology</w:t>
      </w:r>
    </w:p>
    <w:p>
      <w:pPr>
        <w:spacing w:after="120" w:before="0"/>
      </w:pPr>
      <w:r>
        <w:rPr>
          <w:rFonts w:ascii="Lato" w:hAnsi="Lato"/>
          <w:b w:val="0"/>
          <w:i w:val="0"/>
          <w:sz w:val="22"/>
        </w:rPr>
        <w:t>Data was ingested from externally collected sources. The original collection methodology, sampling strategy, and any platform-specific filtering applied prior to ingestion are not documented in this pipeline and should be considered unknown.</w:t>
      </w:r>
    </w:p>
    <w:p>
      <w:pPr>
        <w:spacing w:after="120" w:before="0"/>
      </w:pPr>
      <w:r>
        <w:rPr>
          <w:rFonts w:ascii="Lato" w:hAnsi="Lato"/>
          <w:b w:val="0"/>
          <w:i w:val="0"/>
          <w:sz w:val="22"/>
        </w:rPr>
        <w:t>Thread-level deduplication caps comments per thread (max 5, randomly selected) to prevent over-indexing vocal threads. Engagement metrics are preserved as metadata for signal strength scoring but do not gate corpus admission. All items passed an LLM relevance classification step before analysis.</w:t>
      </w:r>
    </w:p>
    <w:p>
      <w:r>
        <w:br w:type="page"/>
      </w:r>
    </w:p>
    <w:p>
      <w:pPr>
        <w:pStyle w:val="Heading1"/>
        <w:jc w:val="left"/>
      </w:pPr>
      <w:r>
        <w:rPr>
          <w:rFonts w:ascii="Lato" w:hAnsi="Lato"/>
          <w:b/>
          <w:color w:val="1E3A5F"/>
          <w:sz w:val="44"/>
        </w:rPr>
        <w:t>Sentiment &amp; Emotion Analysis</w:t>
      </w:r>
    </w:p>
    <w:p>
      <w:pPr>
        <w:pStyle w:val="Heading2"/>
        <w:jc w:val="left"/>
      </w:pPr>
      <w:r>
        <w:rPr>
          <w:rFonts w:ascii="Lato" w:hAnsi="Lato"/>
          <w:b/>
          <w:color w:val="1E3A5F"/>
          <w:sz w:val="32"/>
        </w:rPr>
        <w:t>Overall Sentiment Distribution</w:t>
      </w:r>
    </w:p>
    <w:p>
      <w:pPr>
        <w:spacing w:after="120" w:before="0"/>
      </w:pPr>
      <w:r>
        <w:rPr>
          <w:rFonts w:ascii="Lato" w:hAnsi="Lato"/>
          <w:b w:val="0"/>
          <w:i w:val="0"/>
          <w:sz w:val="22"/>
        </w:rPr>
        <w:t>Net Sentiment Score (NSS): +23.9%  |  Positive: 1494 (42.5%)  |  Negative: 652 (18.5%)  |  Neutral: 992 (28.2%)</w:t>
      </w:r>
    </w:p>
    <w:p>
      <w:pPr>
        <w:spacing w:after="120" w:before="0"/>
      </w:pPr>
      <w:r>
        <w:rPr>
          <w:rFonts w:ascii="Lato" w:hAnsi="Lato"/>
          <w:b w:val="0"/>
          <w:i/>
          <w:color w:val="6B7280"/>
          <w:sz w:val="22"/>
        </w:rPr>
        <w:t>NSS is computed as (positive - negative) / total items. Range: -1.0 (all negative) to +1.0 (all positive). Neutral and mixed items remain in the denominator, anchoring the score to the full corpus rather than just polarised items. A positive NSS indicates net favourable sentiment; a negative NSS indicates net unfavourable.</w:t>
      </w:r>
    </w:p>
    <w:p>
      <w:pPr>
        <w:jc w:val="center"/>
      </w:pPr>
      <w:r>
        <w:drawing>
          <wp:inline xmlns:a="http://schemas.openxmlformats.org/drawingml/2006/main" xmlns:pic="http://schemas.openxmlformats.org/drawingml/2006/picture">
            <wp:extent cx="4572000" cy="1681223"/>
            <wp:docPr id="3" name="Picture 3"/>
            <wp:cNvGraphicFramePr>
              <a:graphicFrameLocks noChangeAspect="1"/>
            </wp:cNvGraphicFramePr>
            <a:graphic>
              <a:graphicData uri="http://schemas.openxmlformats.org/drawingml/2006/picture">
                <pic:pic>
                  <pic:nvPicPr>
                    <pic:cNvPr id="0" name="chart_sentiment.png"/>
                    <pic:cNvPicPr/>
                  </pic:nvPicPr>
                  <pic:blipFill>
                    <a:blip r:embed="rId11"/>
                    <a:stretch>
                      <a:fillRect/>
                    </a:stretch>
                  </pic:blipFill>
                  <pic:spPr>
                    <a:xfrm>
                      <a:off x="0" y="0"/>
                      <a:ext cx="4572000" cy="1681223"/>
                    </a:xfrm>
                    <a:prstGeom prst="rect"/>
                  </pic:spPr>
                </pic:pic>
              </a:graphicData>
            </a:graphic>
          </wp:inline>
        </w:drawing>
      </w:r>
    </w:p>
    <w:p>
      <w:pPr>
        <w:spacing w:after="240"/>
        <w:jc w:val="center"/>
      </w:pPr>
      <w:r>
        <w:rPr>
          <w:rFonts w:ascii="Lato" w:hAnsi="Lato"/>
          <w:b w:val="0"/>
          <w:i/>
          <w:color w:val="6B7280"/>
          <w:sz w:val="18"/>
        </w:rPr>
        <w:t>Figure 2: Sentiment distribution across 3,516 items</w:t>
      </w:r>
    </w:p>
    <w:p>
      <w:pPr>
        <w:pStyle w:val="Heading2"/>
        <w:jc w:val="left"/>
      </w:pPr>
      <w:r>
        <w:rPr>
          <w:rFonts w:ascii="Lato" w:hAnsi="Lato"/>
          <w:b/>
          <w:color w:val="1E3A5F"/>
          <w:sz w:val="32"/>
        </w:rPr>
        <w:t>Emotion Profile (Plutchik 8-Emotion Model)</w:t>
      </w:r>
    </w:p>
    <w:tbl>
      <w:tblPr>
        <w:tblStyle w:val="TableGrid"/>
        <w:tblW w:type="auto" w:w="0"/>
        <w:tblLook w:firstColumn="1" w:firstRow="1" w:lastColumn="0" w:lastRow="0" w:noHBand="0" w:noVBand="1" w:val="04A0"/>
      </w:tblPr>
      <w:tblGrid>
        <w:gridCol w:w="4703"/>
        <w:gridCol w:w="4703"/>
      </w:tblGrid>
      <w:tr>
        <w:tc>
          <w:tcPr>
            <w:tcW w:type="dxa" w:w="4703"/>
            <w:shd w:val="clear" w:color="auto" w:fill="1E3A5F"/>
          </w:tcPr>
          <w:p>
            <w:pPr>
              <w:spacing w:before="60" w:after="60"/>
            </w:pPr>
            <w:r/>
            <w:r>
              <w:rPr>
                <w:rFonts w:ascii="Lato" w:hAnsi="Lato"/>
                <w:b/>
                <w:i w:val="0"/>
                <w:color w:val="FFFFFF"/>
                <w:sz w:val="20"/>
              </w:rPr>
              <w:t>Emotion</w:t>
            </w:r>
          </w:p>
        </w:tc>
        <w:tc>
          <w:tcPr>
            <w:tcW w:type="dxa" w:w="4703"/>
            <w:shd w:val="clear" w:color="auto" w:fill="1E3A5F"/>
          </w:tcPr>
          <w:p>
            <w:pPr>
              <w:spacing w:before="60" w:after="60"/>
            </w:pPr>
            <w:r/>
            <w:r>
              <w:rPr>
                <w:rFonts w:ascii="Lato" w:hAnsi="Lato"/>
                <w:b/>
                <w:i w:val="0"/>
                <w:color w:val="FFFFFF"/>
                <w:sz w:val="20"/>
              </w:rPr>
              <w:t>Count</w:t>
            </w:r>
          </w:p>
        </w:tc>
      </w:tr>
      <w:tr>
        <w:tc>
          <w:tcPr>
            <w:tcW w:type="dxa" w:w="4703"/>
          </w:tcPr>
          <w:p>
            <w:pPr>
              <w:spacing w:before="60" w:after="60"/>
            </w:pPr>
            <w:r/>
            <w:r>
              <w:rPr>
                <w:rFonts w:ascii="Lato" w:hAnsi="Lato"/>
                <w:b w:val="0"/>
                <w:i w:val="0"/>
                <w:color w:val="374151"/>
                <w:sz w:val="20"/>
              </w:rPr>
              <w:t>Trust</w:t>
            </w:r>
          </w:p>
        </w:tc>
        <w:tc>
          <w:tcPr>
            <w:tcW w:type="dxa" w:w="4703"/>
          </w:tcPr>
          <w:p>
            <w:pPr>
              <w:spacing w:before="60" w:after="60"/>
            </w:pPr>
            <w:r/>
            <w:r>
              <w:rPr>
                <w:rFonts w:ascii="Lato" w:hAnsi="Lato"/>
                <w:b w:val="0"/>
                <w:i w:val="0"/>
                <w:color w:val="374151"/>
                <w:sz w:val="20"/>
              </w:rPr>
              <w:t>944</w:t>
            </w:r>
          </w:p>
        </w:tc>
      </w:tr>
      <w:tr>
        <w:tc>
          <w:tcPr>
            <w:tcW w:type="dxa" w:w="4703"/>
          </w:tcPr>
          <w:p>
            <w:pPr>
              <w:spacing w:before="60" w:after="60"/>
            </w:pPr>
            <w:r/>
            <w:r>
              <w:rPr>
                <w:rFonts w:ascii="Lato" w:hAnsi="Lato"/>
                <w:b w:val="0"/>
                <w:i w:val="0"/>
                <w:color w:val="374151"/>
                <w:sz w:val="20"/>
              </w:rPr>
              <w:t>Joy</w:t>
            </w:r>
          </w:p>
        </w:tc>
        <w:tc>
          <w:tcPr>
            <w:tcW w:type="dxa" w:w="4703"/>
          </w:tcPr>
          <w:p>
            <w:pPr>
              <w:spacing w:before="60" w:after="60"/>
            </w:pPr>
            <w:r/>
            <w:r>
              <w:rPr>
                <w:rFonts w:ascii="Lato" w:hAnsi="Lato"/>
                <w:b w:val="0"/>
                <w:i w:val="0"/>
                <w:color w:val="374151"/>
                <w:sz w:val="20"/>
              </w:rPr>
              <w:t>852</w:t>
            </w:r>
          </w:p>
        </w:tc>
      </w:tr>
      <w:tr>
        <w:tc>
          <w:tcPr>
            <w:tcW w:type="dxa" w:w="4703"/>
          </w:tcPr>
          <w:p>
            <w:pPr>
              <w:spacing w:before="60" w:after="60"/>
            </w:pPr>
            <w:r/>
            <w:r>
              <w:rPr>
                <w:rFonts w:ascii="Lato" w:hAnsi="Lato"/>
                <w:b w:val="0"/>
                <w:i w:val="0"/>
                <w:color w:val="374151"/>
                <w:sz w:val="20"/>
              </w:rPr>
              <w:t>None</w:t>
            </w:r>
          </w:p>
        </w:tc>
        <w:tc>
          <w:tcPr>
            <w:tcW w:type="dxa" w:w="4703"/>
          </w:tcPr>
          <w:p>
            <w:pPr>
              <w:spacing w:before="60" w:after="60"/>
            </w:pPr>
            <w:r/>
            <w:r>
              <w:rPr>
                <w:rFonts w:ascii="Lato" w:hAnsi="Lato"/>
                <w:b w:val="0"/>
                <w:i w:val="0"/>
                <w:color w:val="374151"/>
                <w:sz w:val="20"/>
              </w:rPr>
              <w:t>726</w:t>
            </w:r>
          </w:p>
        </w:tc>
      </w:tr>
      <w:tr>
        <w:tc>
          <w:tcPr>
            <w:tcW w:type="dxa" w:w="4703"/>
          </w:tcPr>
          <w:p>
            <w:pPr>
              <w:spacing w:before="60" w:after="60"/>
            </w:pPr>
            <w:r/>
            <w:r>
              <w:rPr>
                <w:rFonts w:ascii="Lato" w:hAnsi="Lato"/>
                <w:b w:val="0"/>
                <w:i w:val="0"/>
                <w:color w:val="374151"/>
                <w:sz w:val="20"/>
              </w:rPr>
              <w:t>Anger</w:t>
            </w:r>
          </w:p>
        </w:tc>
        <w:tc>
          <w:tcPr>
            <w:tcW w:type="dxa" w:w="4703"/>
          </w:tcPr>
          <w:p>
            <w:pPr>
              <w:spacing w:before="60" w:after="60"/>
            </w:pPr>
            <w:r/>
            <w:r>
              <w:rPr>
                <w:rFonts w:ascii="Lato" w:hAnsi="Lato"/>
                <w:b w:val="0"/>
                <w:i w:val="0"/>
                <w:color w:val="374151"/>
                <w:sz w:val="20"/>
              </w:rPr>
              <w:t>461</w:t>
            </w:r>
          </w:p>
        </w:tc>
      </w:tr>
      <w:tr>
        <w:tc>
          <w:tcPr>
            <w:tcW w:type="dxa" w:w="4703"/>
          </w:tcPr>
          <w:p>
            <w:pPr>
              <w:spacing w:before="60" w:after="60"/>
            </w:pPr>
            <w:r/>
            <w:r>
              <w:rPr>
                <w:rFonts w:ascii="Lato" w:hAnsi="Lato"/>
                <w:b w:val="0"/>
                <w:i w:val="0"/>
                <w:color w:val="374151"/>
                <w:sz w:val="20"/>
              </w:rPr>
              <w:t>Anticipation</w:t>
            </w:r>
          </w:p>
        </w:tc>
        <w:tc>
          <w:tcPr>
            <w:tcW w:type="dxa" w:w="4703"/>
          </w:tcPr>
          <w:p>
            <w:pPr>
              <w:spacing w:before="60" w:after="60"/>
            </w:pPr>
            <w:r/>
            <w:r>
              <w:rPr>
                <w:rFonts w:ascii="Lato" w:hAnsi="Lato"/>
                <w:b w:val="0"/>
                <w:i w:val="0"/>
                <w:color w:val="374151"/>
                <w:sz w:val="20"/>
              </w:rPr>
              <w:t>424</w:t>
            </w:r>
          </w:p>
        </w:tc>
      </w:tr>
      <w:tr>
        <w:tc>
          <w:tcPr>
            <w:tcW w:type="dxa" w:w="4703"/>
          </w:tcPr>
          <w:p>
            <w:pPr>
              <w:spacing w:before="60" w:after="60"/>
            </w:pPr>
            <w:r/>
            <w:r>
              <w:rPr>
                <w:rFonts w:ascii="Lato" w:hAnsi="Lato"/>
                <w:b w:val="0"/>
                <w:i w:val="0"/>
                <w:color w:val="374151"/>
                <w:sz w:val="20"/>
              </w:rPr>
              <w:t>Sadness</w:t>
            </w:r>
          </w:p>
        </w:tc>
        <w:tc>
          <w:tcPr>
            <w:tcW w:type="dxa" w:w="4703"/>
          </w:tcPr>
          <w:p>
            <w:pPr>
              <w:spacing w:before="60" w:after="60"/>
            </w:pPr>
            <w:r/>
            <w:r>
              <w:rPr>
                <w:rFonts w:ascii="Lato" w:hAnsi="Lato"/>
                <w:b w:val="0"/>
                <w:i w:val="0"/>
                <w:color w:val="374151"/>
                <w:sz w:val="20"/>
              </w:rPr>
              <w:t>66</w:t>
            </w:r>
          </w:p>
        </w:tc>
      </w:tr>
      <w:tr>
        <w:tc>
          <w:tcPr>
            <w:tcW w:type="dxa" w:w="4703"/>
          </w:tcPr>
          <w:p>
            <w:pPr>
              <w:spacing w:before="60" w:after="60"/>
            </w:pPr>
            <w:r/>
            <w:r>
              <w:rPr>
                <w:rFonts w:ascii="Lato" w:hAnsi="Lato"/>
                <w:b w:val="0"/>
                <w:i w:val="0"/>
                <w:color w:val="374151"/>
                <w:sz w:val="20"/>
              </w:rPr>
              <w:t>Fear</w:t>
            </w:r>
          </w:p>
        </w:tc>
        <w:tc>
          <w:tcPr>
            <w:tcW w:type="dxa" w:w="4703"/>
          </w:tcPr>
          <w:p>
            <w:pPr>
              <w:spacing w:before="60" w:after="60"/>
            </w:pPr>
            <w:r/>
            <w:r>
              <w:rPr>
                <w:rFonts w:ascii="Lato" w:hAnsi="Lato"/>
                <w:b w:val="0"/>
                <w:i w:val="0"/>
                <w:color w:val="374151"/>
                <w:sz w:val="20"/>
              </w:rPr>
              <w:t>37</w:t>
            </w:r>
          </w:p>
        </w:tc>
      </w:tr>
      <w:tr>
        <w:tc>
          <w:tcPr>
            <w:tcW w:type="dxa" w:w="4703"/>
          </w:tcPr>
          <w:p>
            <w:pPr>
              <w:spacing w:before="60" w:after="60"/>
            </w:pPr>
            <w:r/>
            <w:r>
              <w:rPr>
                <w:rFonts w:ascii="Lato" w:hAnsi="Lato"/>
                <w:b w:val="0"/>
                <w:i w:val="0"/>
                <w:color w:val="374151"/>
                <w:sz w:val="20"/>
              </w:rPr>
              <w:t>Disgust</w:t>
            </w:r>
          </w:p>
        </w:tc>
        <w:tc>
          <w:tcPr>
            <w:tcW w:type="dxa" w:w="4703"/>
          </w:tcPr>
          <w:p>
            <w:pPr>
              <w:spacing w:before="60" w:after="60"/>
            </w:pPr>
            <w:r/>
            <w:r>
              <w:rPr>
                <w:rFonts w:ascii="Lato" w:hAnsi="Lato"/>
                <w:b w:val="0"/>
                <w:i w:val="0"/>
                <w:color w:val="374151"/>
                <w:sz w:val="20"/>
              </w:rPr>
              <w:t>5</w:t>
            </w:r>
          </w:p>
        </w:tc>
      </w:tr>
      <w:tr>
        <w:tc>
          <w:tcPr>
            <w:tcW w:type="dxa" w:w="4703"/>
          </w:tcPr>
          <w:p>
            <w:pPr>
              <w:spacing w:before="60" w:after="60"/>
            </w:pPr>
            <w:r/>
            <w:r>
              <w:rPr>
                <w:rFonts w:ascii="Lato" w:hAnsi="Lato"/>
                <w:b w:val="0"/>
                <w:i w:val="0"/>
                <w:color w:val="374151"/>
                <w:sz w:val="20"/>
              </w:rPr>
              <w:t>Surprise</w:t>
            </w:r>
          </w:p>
        </w:tc>
        <w:tc>
          <w:tcPr>
            <w:tcW w:type="dxa" w:w="4703"/>
          </w:tcPr>
          <w:p>
            <w:pPr>
              <w:spacing w:before="60" w:after="60"/>
            </w:pPr>
            <w:r/>
            <w:r>
              <w:rPr>
                <w:rFonts w:ascii="Lato" w:hAnsi="Lato"/>
                <w:b w:val="0"/>
                <w:i w:val="0"/>
                <w:color w:val="374151"/>
                <w:sz w:val="20"/>
              </w:rPr>
              <w:t>1</w:t>
            </w:r>
          </w:p>
        </w:tc>
      </w:tr>
    </w:tbl>
    <w:p>
      <w:pPr>
        <w:jc w:val="center"/>
      </w:pPr>
      <w:r>
        <w:drawing>
          <wp:inline xmlns:a="http://schemas.openxmlformats.org/drawingml/2006/main" xmlns:pic="http://schemas.openxmlformats.org/drawingml/2006/picture">
            <wp:extent cx="4572000" cy="2262792"/>
            <wp:docPr id="4" name="Picture 4"/>
            <wp:cNvGraphicFramePr>
              <a:graphicFrameLocks noChangeAspect="1"/>
            </wp:cNvGraphicFramePr>
            <a:graphic>
              <a:graphicData uri="http://schemas.openxmlformats.org/drawingml/2006/picture">
                <pic:pic>
                  <pic:nvPicPr>
                    <pic:cNvPr id="0" name="chart_emotions.png"/>
                    <pic:cNvPicPr/>
                  </pic:nvPicPr>
                  <pic:blipFill>
                    <a:blip r:embed="rId12"/>
                    <a:stretch>
                      <a:fillRect/>
                    </a:stretch>
                  </pic:blipFill>
                  <pic:spPr>
                    <a:xfrm>
                      <a:off x="0" y="0"/>
                      <a:ext cx="4572000" cy="2262792"/>
                    </a:xfrm>
                    <a:prstGeom prst="rect"/>
                  </pic:spPr>
                </pic:pic>
              </a:graphicData>
            </a:graphic>
          </wp:inline>
        </w:drawing>
      </w:r>
    </w:p>
    <w:p>
      <w:pPr>
        <w:spacing w:after="240"/>
        <w:jc w:val="center"/>
      </w:pPr>
      <w:r>
        <w:rPr>
          <w:rFonts w:ascii="Lato" w:hAnsi="Lato"/>
          <w:b w:val="0"/>
          <w:i/>
          <w:color w:val="6B7280"/>
          <w:sz w:val="18"/>
        </w:rPr>
        <w:t>Figure 3: Plutchik emotion distribution</w:t>
      </w:r>
    </w:p>
    <w:p>
      <w:pPr>
        <w:pStyle w:val="Heading2"/>
        <w:jc w:val="left"/>
      </w:pPr>
      <w:r>
        <w:rPr>
          <w:rFonts w:ascii="Lato" w:hAnsi="Lato"/>
          <w:b/>
          <w:color w:val="1E3A5F"/>
          <w:sz w:val="32"/>
        </w:rPr>
        <w:t>Aspect-Based Sentiment Analysis (ABSA)</w:t>
      </w:r>
    </w:p>
    <w:p>
      <w:pPr>
        <w:spacing w:after="120" w:before="0"/>
      </w:pPr>
      <w:r>
        <w:rPr>
          <w:rFonts w:ascii="Lato" w:hAnsi="Lato"/>
          <w:b w:val="0"/>
          <w:i w:val="0"/>
          <w:sz w:val="22"/>
        </w:rPr>
        <w:t>Aspects with ≥10 mentions are shown below. NSS is statistically meaningful only at this threshold.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shd w:val="clear" w:color="auto" w:fill="1E3A5F"/>
          </w:tcPr>
          <w:p>
            <w:pPr>
              <w:spacing w:before="60" w:after="60"/>
            </w:pPr>
            <w:r/>
            <w:r>
              <w:rPr>
                <w:rFonts w:ascii="Lato" w:hAnsi="Lato"/>
                <w:b/>
                <w:i w:val="0"/>
                <w:color w:val="FFFFFF"/>
                <w:sz w:val="20"/>
              </w:rPr>
              <w:t>Aspect</w:t>
            </w:r>
          </w:p>
        </w:tc>
        <w:tc>
          <w:tcPr>
            <w:tcW w:type="dxa" w:w="1881"/>
            <w:shd w:val="clear" w:color="auto" w:fill="1E3A5F"/>
          </w:tcPr>
          <w:p>
            <w:pPr>
              <w:spacing w:before="60" w:after="60"/>
            </w:pPr>
            <w:r/>
            <w:r>
              <w:rPr>
                <w:rFonts w:ascii="Lato" w:hAnsi="Lato"/>
                <w:b/>
                <w:i w:val="0"/>
                <w:color w:val="FFFFFF"/>
                <w:sz w:val="20"/>
              </w:rPr>
              <w:t>Total</w:t>
            </w:r>
          </w:p>
        </w:tc>
        <w:tc>
          <w:tcPr>
            <w:tcW w:type="dxa" w:w="1881"/>
            <w:shd w:val="clear" w:color="auto" w:fill="1E3A5F"/>
          </w:tcPr>
          <w:p>
            <w:pPr>
              <w:spacing w:before="60" w:after="60"/>
            </w:pPr>
            <w:r/>
            <w:r>
              <w:rPr>
                <w:rFonts w:ascii="Lato" w:hAnsi="Lato"/>
                <w:b/>
                <w:i w:val="0"/>
                <w:color w:val="FFFFFF"/>
                <w:sz w:val="20"/>
              </w:rPr>
              <w:t>Positive</w:t>
            </w:r>
          </w:p>
        </w:tc>
        <w:tc>
          <w:tcPr>
            <w:tcW w:type="dxa" w:w="1881"/>
            <w:shd w:val="clear" w:color="auto" w:fill="1E3A5F"/>
          </w:tcPr>
          <w:p>
            <w:pPr>
              <w:spacing w:before="60" w:after="60"/>
            </w:pPr>
            <w:r/>
            <w:r>
              <w:rPr>
                <w:rFonts w:ascii="Lato" w:hAnsi="Lato"/>
                <w:b/>
                <w:i w:val="0"/>
                <w:color w:val="FFFFFF"/>
                <w:sz w:val="20"/>
              </w:rPr>
              <w:t>Negative</w:t>
            </w:r>
          </w:p>
        </w:tc>
        <w:tc>
          <w:tcPr>
            <w:tcW w:type="dxa" w:w="1881"/>
            <w:shd w:val="clear" w:color="auto" w:fill="1E3A5F"/>
          </w:tcPr>
          <w:p>
            <w:pPr>
              <w:spacing w:before="60" w:after="60"/>
            </w:pPr>
            <w:r/>
            <w:r>
              <w:rPr>
                <w:rFonts w:ascii="Lato" w:hAnsi="Lato"/>
                <w:b/>
                <w:i w:val="0"/>
                <w:color w:val="FFFFFF"/>
                <w:sz w:val="20"/>
              </w:rPr>
              <w:t>NSS</w:t>
            </w:r>
          </w:p>
        </w:tc>
      </w:tr>
      <w:tr>
        <w:tc>
          <w:tcPr>
            <w:tcW w:type="dxa" w:w="1881"/>
          </w:tcPr>
          <w:p>
            <w:pPr>
              <w:spacing w:before="60" w:after="60"/>
            </w:pPr>
            <w:r/>
            <w:r>
              <w:rPr>
                <w:rFonts w:ascii="Lato" w:hAnsi="Lato"/>
                <w:b w:val="0"/>
                <w:i w:val="0"/>
                <w:color w:val="374151"/>
                <w:sz w:val="20"/>
              </w:rPr>
              <w:t>Infrastructure</w:t>
            </w:r>
          </w:p>
        </w:tc>
        <w:tc>
          <w:tcPr>
            <w:tcW w:type="dxa" w:w="1881"/>
          </w:tcPr>
          <w:p>
            <w:pPr>
              <w:spacing w:before="60" w:after="60"/>
            </w:pPr>
            <w:r/>
            <w:r>
              <w:rPr>
                <w:rFonts w:ascii="Lato" w:hAnsi="Lato"/>
                <w:b w:val="0"/>
                <w:i w:val="0"/>
                <w:color w:val="374151"/>
                <w:sz w:val="20"/>
              </w:rPr>
              <w:t>1626</w:t>
            </w:r>
          </w:p>
        </w:tc>
        <w:tc>
          <w:tcPr>
            <w:tcW w:type="dxa" w:w="1881"/>
          </w:tcPr>
          <w:p>
            <w:pPr>
              <w:spacing w:before="60" w:after="60"/>
            </w:pPr>
            <w:r/>
            <w:r>
              <w:rPr>
                <w:rFonts w:ascii="Lato" w:hAnsi="Lato"/>
                <w:b w:val="0"/>
                <w:i w:val="0"/>
                <w:color w:val="374151"/>
                <w:sz w:val="20"/>
              </w:rPr>
              <w:t>119</w:t>
            </w:r>
          </w:p>
        </w:tc>
        <w:tc>
          <w:tcPr>
            <w:tcW w:type="dxa" w:w="1881"/>
          </w:tcPr>
          <w:p>
            <w:pPr>
              <w:spacing w:before="60" w:after="60"/>
            </w:pPr>
            <w:r/>
            <w:r>
              <w:rPr>
                <w:rFonts w:ascii="Lato" w:hAnsi="Lato"/>
                <w:b w:val="0"/>
                <w:i w:val="0"/>
                <w:color w:val="374151"/>
                <w:sz w:val="20"/>
              </w:rPr>
              <w:t>699</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Global Competitiveness</w:t>
            </w:r>
          </w:p>
        </w:tc>
        <w:tc>
          <w:tcPr>
            <w:tcW w:type="dxa" w:w="1881"/>
          </w:tcPr>
          <w:p>
            <w:pPr>
              <w:spacing w:before="60" w:after="60"/>
            </w:pPr>
            <w:r/>
            <w:r>
              <w:rPr>
                <w:rFonts w:ascii="Lato" w:hAnsi="Lato"/>
                <w:b w:val="0"/>
                <w:i w:val="0"/>
                <w:color w:val="374151"/>
                <w:sz w:val="20"/>
              </w:rPr>
              <w:t>1279</w:t>
            </w:r>
          </w:p>
        </w:tc>
        <w:tc>
          <w:tcPr>
            <w:tcW w:type="dxa" w:w="1881"/>
          </w:tcPr>
          <w:p>
            <w:pPr>
              <w:spacing w:before="60" w:after="60"/>
            </w:pPr>
            <w:r/>
            <w:r>
              <w:rPr>
                <w:rFonts w:ascii="Lato" w:hAnsi="Lato"/>
                <w:b w:val="0"/>
                <w:i w:val="0"/>
                <w:color w:val="374151"/>
                <w:sz w:val="20"/>
              </w:rPr>
              <w:t>97</w:t>
            </w:r>
          </w:p>
        </w:tc>
        <w:tc>
          <w:tcPr>
            <w:tcW w:type="dxa" w:w="1881"/>
          </w:tcPr>
          <w:p>
            <w:pPr>
              <w:spacing w:before="60" w:after="60"/>
            </w:pPr>
            <w:r/>
            <w:r>
              <w:rPr>
                <w:rFonts w:ascii="Lato" w:hAnsi="Lato"/>
                <w:b w:val="0"/>
                <w:i w:val="0"/>
                <w:color w:val="374151"/>
                <w:sz w:val="20"/>
              </w:rPr>
              <w:t>553</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Brand Perception</w:t>
            </w:r>
          </w:p>
        </w:tc>
        <w:tc>
          <w:tcPr>
            <w:tcW w:type="dxa" w:w="1881"/>
          </w:tcPr>
          <w:p>
            <w:pPr>
              <w:spacing w:before="60" w:after="60"/>
            </w:pPr>
            <w:r/>
            <w:r>
              <w:rPr>
                <w:rFonts w:ascii="Lato" w:hAnsi="Lato"/>
                <w:b w:val="0"/>
                <w:i w:val="0"/>
                <w:color w:val="374151"/>
                <w:sz w:val="20"/>
              </w:rPr>
              <w:t>1077</w:t>
            </w:r>
          </w:p>
        </w:tc>
        <w:tc>
          <w:tcPr>
            <w:tcW w:type="dxa" w:w="1881"/>
          </w:tcPr>
          <w:p>
            <w:pPr>
              <w:spacing w:before="60" w:after="60"/>
            </w:pPr>
            <w:r/>
            <w:r>
              <w:rPr>
                <w:rFonts w:ascii="Lato" w:hAnsi="Lato"/>
                <w:b w:val="0"/>
                <w:i w:val="0"/>
                <w:color w:val="374151"/>
                <w:sz w:val="20"/>
              </w:rPr>
              <w:t>41</w:t>
            </w:r>
          </w:p>
        </w:tc>
        <w:tc>
          <w:tcPr>
            <w:tcW w:type="dxa" w:w="1881"/>
          </w:tcPr>
          <w:p>
            <w:pPr>
              <w:spacing w:before="60" w:after="60"/>
            </w:pPr>
            <w:r/>
            <w:r>
              <w:rPr>
                <w:rFonts w:ascii="Lato" w:hAnsi="Lato"/>
                <w:b w:val="0"/>
                <w:i w:val="0"/>
                <w:color w:val="374151"/>
                <w:sz w:val="20"/>
              </w:rPr>
              <w:t>493</w:t>
            </w:r>
          </w:p>
        </w:tc>
        <w:tc>
          <w:tcPr>
            <w:tcW w:type="dxa" w:w="1881"/>
          </w:tcPr>
          <w:p>
            <w:pPr>
              <w:spacing w:before="60" w:after="60"/>
            </w:pPr>
            <w:r/>
            <w:r>
              <w:rPr>
                <w:rFonts w:ascii="Lato" w:hAnsi="Lato"/>
                <w:b w:val="0"/>
                <w:i w:val="0"/>
                <w:color w:val="374151"/>
                <w:sz w:val="20"/>
              </w:rPr>
              <w:t>-42%</w:t>
            </w:r>
          </w:p>
        </w:tc>
      </w:tr>
      <w:tr>
        <w:tc>
          <w:tcPr>
            <w:tcW w:type="dxa" w:w="1881"/>
          </w:tcPr>
          <w:p>
            <w:pPr>
              <w:spacing w:before="60" w:after="60"/>
            </w:pPr>
            <w:r/>
            <w:r>
              <w:rPr>
                <w:rFonts w:ascii="Lato" w:hAnsi="Lato"/>
                <w:b w:val="0"/>
                <w:i w:val="0"/>
                <w:color w:val="374151"/>
                <w:sz w:val="20"/>
              </w:rPr>
              <w:t>Manufacturing</w:t>
            </w:r>
          </w:p>
        </w:tc>
        <w:tc>
          <w:tcPr>
            <w:tcW w:type="dxa" w:w="1881"/>
          </w:tcPr>
          <w:p>
            <w:pPr>
              <w:spacing w:before="60" w:after="60"/>
            </w:pPr>
            <w:r/>
            <w:r>
              <w:rPr>
                <w:rFonts w:ascii="Lato" w:hAnsi="Lato"/>
                <w:b w:val="0"/>
                <w:i w:val="0"/>
                <w:color w:val="374151"/>
                <w:sz w:val="20"/>
              </w:rPr>
              <w:t>1039</w:t>
            </w:r>
          </w:p>
        </w:tc>
        <w:tc>
          <w:tcPr>
            <w:tcW w:type="dxa" w:w="1881"/>
          </w:tcPr>
          <w:p>
            <w:pPr>
              <w:spacing w:before="60" w:after="60"/>
            </w:pPr>
            <w:r/>
            <w:r>
              <w:rPr>
                <w:rFonts w:ascii="Lato" w:hAnsi="Lato"/>
                <w:b w:val="0"/>
                <w:i w:val="0"/>
                <w:color w:val="374151"/>
                <w:sz w:val="20"/>
              </w:rPr>
              <w:t>83</w:t>
            </w:r>
          </w:p>
        </w:tc>
        <w:tc>
          <w:tcPr>
            <w:tcW w:type="dxa" w:w="1881"/>
          </w:tcPr>
          <w:p>
            <w:pPr>
              <w:spacing w:before="60" w:after="60"/>
            </w:pPr>
            <w:r/>
            <w:r>
              <w:rPr>
                <w:rFonts w:ascii="Lato" w:hAnsi="Lato"/>
                <w:b w:val="0"/>
                <w:i w:val="0"/>
                <w:color w:val="374151"/>
                <w:sz w:val="20"/>
              </w:rPr>
              <w:t>414</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Innovation</w:t>
            </w:r>
          </w:p>
        </w:tc>
        <w:tc>
          <w:tcPr>
            <w:tcW w:type="dxa" w:w="1881"/>
          </w:tcPr>
          <w:p>
            <w:pPr>
              <w:spacing w:before="60" w:after="60"/>
            </w:pPr>
            <w:r/>
            <w:r>
              <w:rPr>
                <w:rFonts w:ascii="Lato" w:hAnsi="Lato"/>
                <w:b w:val="0"/>
                <w:i w:val="0"/>
                <w:color w:val="374151"/>
                <w:sz w:val="20"/>
              </w:rPr>
              <w:t>810</w:t>
            </w:r>
          </w:p>
        </w:tc>
        <w:tc>
          <w:tcPr>
            <w:tcW w:type="dxa" w:w="1881"/>
          </w:tcPr>
          <w:p>
            <w:pPr>
              <w:spacing w:before="60" w:after="60"/>
            </w:pPr>
            <w:r/>
            <w:r>
              <w:rPr>
                <w:rFonts w:ascii="Lato" w:hAnsi="Lato"/>
                <w:b w:val="0"/>
                <w:i w:val="0"/>
                <w:color w:val="374151"/>
                <w:sz w:val="20"/>
              </w:rPr>
              <w:t>31</w:t>
            </w:r>
          </w:p>
        </w:tc>
        <w:tc>
          <w:tcPr>
            <w:tcW w:type="dxa" w:w="1881"/>
          </w:tcPr>
          <w:p>
            <w:pPr>
              <w:spacing w:before="60" w:after="60"/>
            </w:pPr>
            <w:r/>
            <w:r>
              <w:rPr>
                <w:rFonts w:ascii="Lato" w:hAnsi="Lato"/>
                <w:b w:val="0"/>
                <w:i w:val="0"/>
                <w:color w:val="374151"/>
                <w:sz w:val="20"/>
              </w:rPr>
              <w:t>376</w:t>
            </w:r>
          </w:p>
        </w:tc>
        <w:tc>
          <w:tcPr>
            <w:tcW w:type="dxa" w:w="1881"/>
          </w:tcPr>
          <w:p>
            <w:pPr>
              <w:spacing w:before="60" w:after="60"/>
            </w:pPr>
            <w:r/>
            <w:r>
              <w:rPr>
                <w:rFonts w:ascii="Lato" w:hAnsi="Lato"/>
                <w:b w:val="0"/>
                <w:i w:val="0"/>
                <w:color w:val="374151"/>
                <w:sz w:val="20"/>
              </w:rPr>
              <w:t>-43%</w:t>
            </w:r>
          </w:p>
        </w:tc>
      </w:tr>
      <w:tr>
        <w:tc>
          <w:tcPr>
            <w:tcW w:type="dxa" w:w="1881"/>
          </w:tcPr>
          <w:p>
            <w:pPr>
              <w:spacing w:before="60" w:after="60"/>
            </w:pPr>
            <w:r/>
            <w:r>
              <w:rPr>
                <w:rFonts w:ascii="Lato" w:hAnsi="Lato"/>
                <w:b w:val="0"/>
                <w:i w:val="0"/>
                <w:color w:val="374151"/>
                <w:sz w:val="20"/>
              </w:rPr>
              <w:t>Economy</w:t>
            </w:r>
          </w:p>
        </w:tc>
        <w:tc>
          <w:tcPr>
            <w:tcW w:type="dxa" w:w="1881"/>
          </w:tcPr>
          <w:p>
            <w:pPr>
              <w:spacing w:before="60" w:after="60"/>
            </w:pPr>
            <w:r/>
            <w:r>
              <w:rPr>
                <w:rFonts w:ascii="Lato" w:hAnsi="Lato"/>
                <w:b w:val="0"/>
                <w:i w:val="0"/>
                <w:color w:val="374151"/>
                <w:sz w:val="20"/>
              </w:rPr>
              <w:t>672</w:t>
            </w:r>
          </w:p>
        </w:tc>
        <w:tc>
          <w:tcPr>
            <w:tcW w:type="dxa" w:w="1881"/>
          </w:tcPr>
          <w:p>
            <w:pPr>
              <w:spacing w:before="60" w:after="60"/>
            </w:pPr>
            <w:r/>
            <w:r>
              <w:rPr>
                <w:rFonts w:ascii="Lato" w:hAnsi="Lato"/>
                <w:b w:val="0"/>
                <w:i w:val="0"/>
                <w:color w:val="374151"/>
                <w:sz w:val="20"/>
              </w:rPr>
              <w:t>5</w:t>
            </w:r>
          </w:p>
        </w:tc>
        <w:tc>
          <w:tcPr>
            <w:tcW w:type="dxa" w:w="1881"/>
          </w:tcPr>
          <w:p>
            <w:pPr>
              <w:spacing w:before="60" w:after="60"/>
            </w:pPr>
            <w:r/>
            <w:r>
              <w:rPr>
                <w:rFonts w:ascii="Lato" w:hAnsi="Lato"/>
                <w:b w:val="0"/>
                <w:i w:val="0"/>
                <w:color w:val="374151"/>
                <w:sz w:val="20"/>
              </w:rPr>
              <w:t>325</w:t>
            </w:r>
          </w:p>
        </w:tc>
        <w:tc>
          <w:tcPr>
            <w:tcW w:type="dxa" w:w="1881"/>
          </w:tcPr>
          <w:p>
            <w:pPr>
              <w:spacing w:before="60" w:after="60"/>
            </w:pPr>
            <w:r/>
            <w:r>
              <w:rPr>
                <w:rFonts w:ascii="Lato" w:hAnsi="Lato"/>
                <w:b w:val="0"/>
                <w:i w:val="0"/>
                <w:color w:val="374151"/>
                <w:sz w:val="20"/>
              </w:rPr>
              <w:t>-48%</w:t>
            </w:r>
          </w:p>
        </w:tc>
      </w:tr>
      <w:tr>
        <w:tc>
          <w:tcPr>
            <w:tcW w:type="dxa" w:w="1881"/>
          </w:tcPr>
          <w:p>
            <w:pPr>
              <w:spacing w:before="60" w:after="60"/>
            </w:pPr>
            <w:r/>
            <w:r>
              <w:rPr>
                <w:rFonts w:ascii="Lato" w:hAnsi="Lato"/>
                <w:b w:val="0"/>
                <w:i w:val="0"/>
                <w:color w:val="374151"/>
                <w:sz w:val="20"/>
              </w:rPr>
              <w:t>Electronics Semiconductor</w:t>
            </w:r>
          </w:p>
        </w:tc>
        <w:tc>
          <w:tcPr>
            <w:tcW w:type="dxa" w:w="1881"/>
          </w:tcPr>
          <w:p>
            <w:pPr>
              <w:spacing w:before="60" w:after="60"/>
            </w:pPr>
            <w:r/>
            <w:r>
              <w:rPr>
                <w:rFonts w:ascii="Lato" w:hAnsi="Lato"/>
                <w:b w:val="0"/>
                <w:i w:val="0"/>
                <w:color w:val="374151"/>
                <w:sz w:val="20"/>
              </w:rPr>
              <w:t>581</w:t>
            </w:r>
          </w:p>
        </w:tc>
        <w:tc>
          <w:tcPr>
            <w:tcW w:type="dxa" w:w="1881"/>
          </w:tcPr>
          <w:p>
            <w:pPr>
              <w:spacing w:before="60" w:after="60"/>
            </w:pPr>
            <w:r/>
            <w:r>
              <w:rPr>
                <w:rFonts w:ascii="Lato" w:hAnsi="Lato"/>
                <w:b w:val="0"/>
                <w:i w:val="0"/>
                <w:color w:val="374151"/>
                <w:sz w:val="20"/>
              </w:rPr>
              <w:t>62</w:t>
            </w:r>
          </w:p>
        </w:tc>
        <w:tc>
          <w:tcPr>
            <w:tcW w:type="dxa" w:w="1881"/>
          </w:tcPr>
          <w:p>
            <w:pPr>
              <w:spacing w:before="60" w:after="60"/>
            </w:pPr>
            <w:r/>
            <w:r>
              <w:rPr>
                <w:rFonts w:ascii="Lato" w:hAnsi="Lato"/>
                <w:b w:val="0"/>
                <w:i w:val="0"/>
                <w:color w:val="374151"/>
                <w:sz w:val="20"/>
              </w:rPr>
              <w:t>214</w:t>
            </w:r>
          </w:p>
        </w:tc>
        <w:tc>
          <w:tcPr>
            <w:tcW w:type="dxa" w:w="1881"/>
          </w:tcPr>
          <w:p>
            <w:pPr>
              <w:spacing w:before="60" w:after="60"/>
            </w:pPr>
            <w:r/>
            <w:r>
              <w:rPr>
                <w:rFonts w:ascii="Lato" w:hAnsi="Lato"/>
                <w:b w:val="0"/>
                <w:i w:val="0"/>
                <w:color w:val="374151"/>
                <w:sz w:val="20"/>
              </w:rPr>
              <w:t>-26%</w:t>
            </w:r>
          </w:p>
        </w:tc>
      </w:tr>
      <w:tr>
        <w:tc>
          <w:tcPr>
            <w:tcW w:type="dxa" w:w="1881"/>
          </w:tcPr>
          <w:p>
            <w:pPr>
              <w:spacing w:before="60" w:after="60"/>
            </w:pPr>
            <w:r/>
            <w:r>
              <w:rPr>
                <w:rFonts w:ascii="Lato" w:hAnsi="Lato"/>
                <w:b w:val="0"/>
                <w:i w:val="0"/>
                <w:color w:val="374151"/>
                <w:sz w:val="20"/>
              </w:rPr>
              <w:t>Policy Effectiveness</w:t>
            </w:r>
          </w:p>
        </w:tc>
        <w:tc>
          <w:tcPr>
            <w:tcW w:type="dxa" w:w="1881"/>
          </w:tcPr>
          <w:p>
            <w:pPr>
              <w:spacing w:before="60" w:after="60"/>
            </w:pPr>
            <w:r/>
            <w:r>
              <w:rPr>
                <w:rFonts w:ascii="Lato" w:hAnsi="Lato"/>
                <w:b w:val="0"/>
                <w:i w:val="0"/>
                <w:color w:val="374151"/>
                <w:sz w:val="20"/>
              </w:rPr>
              <w:t>491</w:t>
            </w:r>
          </w:p>
        </w:tc>
        <w:tc>
          <w:tcPr>
            <w:tcW w:type="dxa" w:w="1881"/>
          </w:tcPr>
          <w:p>
            <w:pPr>
              <w:spacing w:before="60" w:after="60"/>
            </w:pPr>
            <w:r/>
            <w:r>
              <w:rPr>
                <w:rFonts w:ascii="Lato" w:hAnsi="Lato"/>
                <w:b w:val="0"/>
                <w:i w:val="0"/>
                <w:color w:val="374151"/>
                <w:sz w:val="20"/>
              </w:rPr>
              <w:t>39</w:t>
            </w:r>
          </w:p>
        </w:tc>
        <w:tc>
          <w:tcPr>
            <w:tcW w:type="dxa" w:w="1881"/>
          </w:tcPr>
          <w:p>
            <w:pPr>
              <w:spacing w:before="60" w:after="60"/>
            </w:pPr>
            <w:r/>
            <w:r>
              <w:rPr>
                <w:rFonts w:ascii="Lato" w:hAnsi="Lato"/>
                <w:b w:val="0"/>
                <w:i w:val="0"/>
                <w:color w:val="374151"/>
                <w:sz w:val="20"/>
              </w:rPr>
              <w:t>197</w:t>
            </w:r>
          </w:p>
        </w:tc>
        <w:tc>
          <w:tcPr>
            <w:tcW w:type="dxa" w:w="1881"/>
          </w:tcPr>
          <w:p>
            <w:pPr>
              <w:spacing w:before="60" w:after="60"/>
            </w:pPr>
            <w:r/>
            <w:r>
              <w:rPr>
                <w:rFonts w:ascii="Lato" w:hAnsi="Lato"/>
                <w:b w:val="0"/>
                <w:i w:val="0"/>
                <w:color w:val="374151"/>
                <w:sz w:val="20"/>
              </w:rPr>
              <w:t>-32%</w:t>
            </w:r>
          </w:p>
        </w:tc>
      </w:tr>
      <w:tr>
        <w:tc>
          <w:tcPr>
            <w:tcW w:type="dxa" w:w="1881"/>
          </w:tcPr>
          <w:p>
            <w:pPr>
              <w:spacing w:before="60" w:after="60"/>
            </w:pPr>
            <w:r/>
            <w:r>
              <w:rPr>
                <w:rFonts w:ascii="Lato" w:hAnsi="Lato"/>
                <w:b w:val="0"/>
                <w:i w:val="0"/>
                <w:color w:val="374151"/>
                <w:sz w:val="20"/>
              </w:rPr>
              <w:t>Defence</w:t>
            </w:r>
          </w:p>
        </w:tc>
        <w:tc>
          <w:tcPr>
            <w:tcW w:type="dxa" w:w="1881"/>
          </w:tcPr>
          <w:p>
            <w:pPr>
              <w:spacing w:before="60" w:after="60"/>
            </w:pPr>
            <w:r/>
            <w:r>
              <w:rPr>
                <w:rFonts w:ascii="Lato" w:hAnsi="Lato"/>
                <w:b w:val="0"/>
                <w:i w:val="0"/>
                <w:color w:val="374151"/>
                <w:sz w:val="20"/>
              </w:rPr>
              <w:t>482</w:t>
            </w:r>
          </w:p>
        </w:tc>
        <w:tc>
          <w:tcPr>
            <w:tcW w:type="dxa" w:w="1881"/>
          </w:tcPr>
          <w:p>
            <w:pPr>
              <w:spacing w:before="60" w:after="60"/>
            </w:pPr>
            <w:r/>
            <w:r>
              <w:rPr>
                <w:rFonts w:ascii="Lato" w:hAnsi="Lato"/>
                <w:b w:val="0"/>
                <w:i w:val="0"/>
                <w:color w:val="374151"/>
                <w:sz w:val="20"/>
              </w:rPr>
              <w:t>29</w:t>
            </w:r>
          </w:p>
        </w:tc>
        <w:tc>
          <w:tcPr>
            <w:tcW w:type="dxa" w:w="1881"/>
          </w:tcPr>
          <w:p>
            <w:pPr>
              <w:spacing w:before="60" w:after="60"/>
            </w:pPr>
            <w:r/>
            <w:r>
              <w:rPr>
                <w:rFonts w:ascii="Lato" w:hAnsi="Lato"/>
                <w:b w:val="0"/>
                <w:i w:val="0"/>
                <w:color w:val="374151"/>
                <w:sz w:val="20"/>
              </w:rPr>
              <w:t>208</w:t>
            </w:r>
          </w:p>
        </w:tc>
        <w:tc>
          <w:tcPr>
            <w:tcW w:type="dxa" w:w="1881"/>
          </w:tcPr>
          <w:p>
            <w:pPr>
              <w:spacing w:before="60" w:after="60"/>
            </w:pPr>
            <w:r/>
            <w:r>
              <w:rPr>
                <w:rFonts w:ascii="Lato" w:hAnsi="Lato"/>
                <w:b w:val="0"/>
                <w:i w:val="0"/>
                <w:color w:val="374151"/>
                <w:sz w:val="20"/>
              </w:rPr>
              <w:t>-37%</w:t>
            </w:r>
          </w:p>
        </w:tc>
      </w:tr>
      <w:tr>
        <w:tc>
          <w:tcPr>
            <w:tcW w:type="dxa" w:w="1881"/>
          </w:tcPr>
          <w:p>
            <w:pPr>
              <w:spacing w:before="60" w:after="60"/>
            </w:pPr>
            <w:r/>
            <w:r>
              <w:rPr>
                <w:rFonts w:ascii="Lato" w:hAnsi="Lato"/>
                <w:b w:val="0"/>
                <w:i w:val="0"/>
                <w:color w:val="374151"/>
                <w:sz w:val="20"/>
              </w:rPr>
              <w:t>Job Creation</w:t>
            </w:r>
          </w:p>
        </w:tc>
        <w:tc>
          <w:tcPr>
            <w:tcW w:type="dxa" w:w="1881"/>
          </w:tcPr>
          <w:p>
            <w:pPr>
              <w:spacing w:before="60" w:after="60"/>
            </w:pPr>
            <w:r/>
            <w:r>
              <w:rPr>
                <w:rFonts w:ascii="Lato" w:hAnsi="Lato"/>
                <w:b w:val="0"/>
                <w:i w:val="0"/>
                <w:color w:val="374151"/>
                <w:sz w:val="20"/>
              </w:rPr>
              <w:t>449</w:t>
            </w:r>
          </w:p>
        </w:tc>
        <w:tc>
          <w:tcPr>
            <w:tcW w:type="dxa" w:w="1881"/>
          </w:tcPr>
          <w:p>
            <w:pPr>
              <w:spacing w:before="60" w:after="60"/>
            </w:pPr>
            <w:r/>
            <w:r>
              <w:rPr>
                <w:rFonts w:ascii="Lato" w:hAnsi="Lato"/>
                <w:b w:val="0"/>
                <w:i w:val="0"/>
                <w:color w:val="374151"/>
                <w:sz w:val="20"/>
              </w:rPr>
              <w:t>33</w:t>
            </w:r>
          </w:p>
        </w:tc>
        <w:tc>
          <w:tcPr>
            <w:tcW w:type="dxa" w:w="1881"/>
          </w:tcPr>
          <w:p>
            <w:pPr>
              <w:spacing w:before="60" w:after="60"/>
            </w:pPr>
            <w:r/>
            <w:r>
              <w:rPr>
                <w:rFonts w:ascii="Lato" w:hAnsi="Lato"/>
                <w:b w:val="0"/>
                <w:i w:val="0"/>
                <w:color w:val="374151"/>
                <w:sz w:val="20"/>
              </w:rPr>
              <w:t>194</w:t>
            </w:r>
          </w:p>
        </w:tc>
        <w:tc>
          <w:tcPr>
            <w:tcW w:type="dxa" w:w="1881"/>
          </w:tcPr>
          <w:p>
            <w:pPr>
              <w:spacing w:before="60" w:after="60"/>
            </w:pPr>
            <w:r/>
            <w:r>
              <w:rPr>
                <w:rFonts w:ascii="Lato" w:hAnsi="Lato"/>
                <w:b w:val="0"/>
                <w:i w:val="0"/>
                <w:color w:val="374151"/>
                <w:sz w:val="20"/>
              </w:rPr>
              <w:t>-36%</w:t>
            </w:r>
          </w:p>
        </w:tc>
      </w:tr>
      <w:tr>
        <w:tc>
          <w:tcPr>
            <w:tcW w:type="dxa" w:w="1881"/>
          </w:tcPr>
          <w:p>
            <w:pPr>
              <w:spacing w:before="60" w:after="60"/>
            </w:pPr>
            <w:r/>
            <w:r>
              <w:rPr>
                <w:rFonts w:ascii="Lato" w:hAnsi="Lato"/>
                <w:b w:val="0"/>
                <w:i w:val="0"/>
                <w:color w:val="374151"/>
                <w:sz w:val="20"/>
              </w:rPr>
              <w:t>Product Quality</w:t>
            </w:r>
          </w:p>
        </w:tc>
        <w:tc>
          <w:tcPr>
            <w:tcW w:type="dxa" w:w="1881"/>
          </w:tcPr>
          <w:p>
            <w:pPr>
              <w:spacing w:before="60" w:after="60"/>
            </w:pPr>
            <w:r/>
            <w:r>
              <w:rPr>
                <w:rFonts w:ascii="Lato" w:hAnsi="Lato"/>
                <w:b w:val="0"/>
                <w:i w:val="0"/>
                <w:color w:val="374151"/>
                <w:sz w:val="20"/>
              </w:rPr>
              <w:t>399</w:t>
            </w:r>
          </w:p>
        </w:tc>
        <w:tc>
          <w:tcPr>
            <w:tcW w:type="dxa" w:w="1881"/>
          </w:tcPr>
          <w:p>
            <w:pPr>
              <w:spacing w:before="60" w:after="60"/>
            </w:pPr>
            <w:r/>
            <w:r>
              <w:rPr>
                <w:rFonts w:ascii="Lato" w:hAnsi="Lato"/>
                <w:b w:val="0"/>
                <w:i w:val="0"/>
                <w:color w:val="374151"/>
                <w:sz w:val="20"/>
              </w:rPr>
              <w:t>8</w:t>
            </w:r>
          </w:p>
        </w:tc>
        <w:tc>
          <w:tcPr>
            <w:tcW w:type="dxa" w:w="1881"/>
          </w:tcPr>
          <w:p>
            <w:pPr>
              <w:spacing w:before="60" w:after="60"/>
            </w:pPr>
            <w:r/>
            <w:r>
              <w:rPr>
                <w:rFonts w:ascii="Lato" w:hAnsi="Lato"/>
                <w:b w:val="0"/>
                <w:i w:val="0"/>
                <w:color w:val="374151"/>
                <w:sz w:val="20"/>
              </w:rPr>
              <w:t>200</w:t>
            </w:r>
          </w:p>
        </w:tc>
        <w:tc>
          <w:tcPr>
            <w:tcW w:type="dxa" w:w="1881"/>
          </w:tcPr>
          <w:p>
            <w:pPr>
              <w:spacing w:before="60" w:after="60"/>
            </w:pPr>
            <w:r/>
            <w:r>
              <w:rPr>
                <w:rFonts w:ascii="Lato" w:hAnsi="Lato"/>
                <w:b w:val="0"/>
                <w:i w:val="0"/>
                <w:color w:val="374151"/>
                <w:sz w:val="20"/>
              </w:rPr>
              <w:t>-48%</w:t>
            </w:r>
          </w:p>
        </w:tc>
      </w:tr>
      <w:tr>
        <w:tc>
          <w:tcPr>
            <w:tcW w:type="dxa" w:w="1881"/>
          </w:tcPr>
          <w:p>
            <w:pPr>
              <w:spacing w:before="60" w:after="60"/>
            </w:pPr>
            <w:r/>
            <w:r>
              <w:rPr>
                <w:rFonts w:ascii="Lato" w:hAnsi="Lato"/>
                <w:b w:val="0"/>
                <w:i w:val="0"/>
                <w:color w:val="374151"/>
                <w:sz w:val="20"/>
              </w:rPr>
              <w:t>Foreign Investment</w:t>
            </w:r>
          </w:p>
        </w:tc>
        <w:tc>
          <w:tcPr>
            <w:tcW w:type="dxa" w:w="1881"/>
          </w:tcPr>
          <w:p>
            <w:pPr>
              <w:spacing w:before="60" w:after="60"/>
            </w:pPr>
            <w:r/>
            <w:r>
              <w:rPr>
                <w:rFonts w:ascii="Lato" w:hAnsi="Lato"/>
                <w:b w:val="0"/>
                <w:i w:val="0"/>
                <w:color w:val="374151"/>
                <w:sz w:val="20"/>
              </w:rPr>
              <w:t>267</w:t>
            </w:r>
          </w:p>
        </w:tc>
        <w:tc>
          <w:tcPr>
            <w:tcW w:type="dxa" w:w="1881"/>
          </w:tcPr>
          <w:p>
            <w:pPr>
              <w:spacing w:before="60" w:after="60"/>
            </w:pPr>
            <w:r/>
            <w:r>
              <w:rPr>
                <w:rFonts w:ascii="Lato" w:hAnsi="Lato"/>
                <w:b w:val="0"/>
                <w:i w:val="0"/>
                <w:color w:val="374151"/>
                <w:sz w:val="20"/>
              </w:rPr>
              <w:t>26</w:t>
            </w:r>
          </w:p>
        </w:tc>
        <w:tc>
          <w:tcPr>
            <w:tcW w:type="dxa" w:w="1881"/>
          </w:tcPr>
          <w:p>
            <w:pPr>
              <w:spacing w:before="60" w:after="60"/>
            </w:pPr>
            <w:r/>
            <w:r>
              <w:rPr>
                <w:rFonts w:ascii="Lato" w:hAnsi="Lato"/>
                <w:b w:val="0"/>
                <w:i w:val="0"/>
                <w:color w:val="374151"/>
                <w:sz w:val="20"/>
              </w:rPr>
              <w:t>100</w:t>
            </w:r>
          </w:p>
        </w:tc>
        <w:tc>
          <w:tcPr>
            <w:tcW w:type="dxa" w:w="1881"/>
          </w:tcPr>
          <w:p>
            <w:pPr>
              <w:spacing w:before="60" w:after="60"/>
            </w:pPr>
            <w:r/>
            <w:r>
              <w:rPr>
                <w:rFonts w:ascii="Lato" w:hAnsi="Lato"/>
                <w:b w:val="0"/>
                <w:i w:val="0"/>
                <w:color w:val="374151"/>
                <w:sz w:val="20"/>
              </w:rPr>
              <w:t>-28%</w:t>
            </w:r>
          </w:p>
        </w:tc>
      </w:tr>
    </w:tbl>
    <w:p>
      <w:pPr>
        <w:spacing w:after="120" w:before="0"/>
      </w:pPr>
      <w:r>
        <w:rPr>
          <w:rFonts w:ascii="Lato" w:hAnsi="Lato"/>
          <w:b w:val="0"/>
          <w:i w:val="0"/>
          <w:sz w:val="22"/>
        </w:rPr>
      </w:r>
    </w:p>
    <w:p>
      <w:pPr>
        <w:jc w:val="center"/>
      </w:pPr>
      <w:r>
        <w:drawing>
          <wp:inline xmlns:a="http://schemas.openxmlformats.org/drawingml/2006/main" xmlns:pic="http://schemas.openxmlformats.org/drawingml/2006/picture">
            <wp:extent cx="5029200" cy="4008844"/>
            <wp:docPr id="5" name="Picture 5"/>
            <wp:cNvGraphicFramePr>
              <a:graphicFrameLocks noChangeAspect="1"/>
            </wp:cNvGraphicFramePr>
            <a:graphic>
              <a:graphicData uri="http://schemas.openxmlformats.org/drawingml/2006/picture">
                <pic:pic>
                  <pic:nvPicPr>
                    <pic:cNvPr id="0" name="chart_aspect_heatmap.png"/>
                    <pic:cNvPicPr/>
                  </pic:nvPicPr>
                  <pic:blipFill>
                    <a:blip r:embed="rId13"/>
                    <a:stretch>
                      <a:fillRect/>
                    </a:stretch>
                  </pic:blipFill>
                  <pic:spPr>
                    <a:xfrm>
                      <a:off x="0" y="0"/>
                      <a:ext cx="5029200" cy="4008844"/>
                    </a:xfrm>
                    <a:prstGeom prst="rect"/>
                  </pic:spPr>
                </pic:pic>
              </a:graphicData>
            </a:graphic>
          </wp:inline>
        </w:drawing>
      </w:r>
    </w:p>
    <w:p>
      <w:pPr>
        <w:spacing w:after="240"/>
        <w:jc w:val="center"/>
      </w:pPr>
      <w:r>
        <w:rPr>
          <w:rFonts w:ascii="Lato" w:hAnsi="Lato"/>
          <w:b w:val="0"/>
          <w:i/>
          <w:color w:val="6B7280"/>
          <w:sz w:val="18"/>
        </w:rPr>
        <w:t>Figure 4: Aspect sentiment heatmap (aspects with ≥10 mentions)</w:t>
      </w:r>
    </w:p>
    <w:p>
      <w:r>
        <w:br w:type="page"/>
      </w:r>
    </w:p>
    <w:p>
      <w:pPr>
        <w:pStyle w:val="Heading1"/>
        <w:jc w:val="left"/>
      </w:pPr>
      <w:r>
        <w:rPr>
          <w:rFonts w:ascii="Lato" w:hAnsi="Lato"/>
          <w:b/>
          <w:color w:val="1E3A5F"/>
          <w:sz w:val="44"/>
        </w:rPr>
        <w:t>Insight Landscape</w:t>
      </w:r>
    </w:p>
    <w:p>
      <w:pPr>
        <w:spacing w:after="120" w:before="0"/>
      </w:pPr>
      <w:r>
        <w:rPr>
          <w:rFonts w:ascii="Lato" w:hAnsi="Lato"/>
          <w:b w:val="0"/>
          <w:i w:val="0"/>
          <w:sz w:val="22"/>
        </w:rPr>
        <w:t>12 insights were identified from 3,516 items using a two-pass extraction approach (stratified discovery sample + full-corpus mapping).</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shd w:val="clear" w:color="auto" w:fill="1E3A5F"/>
          </w:tcPr>
          <w:p>
            <w:pPr>
              <w:spacing w:before="60" w:after="60"/>
            </w:pPr>
            <w:r/>
            <w:r>
              <w:rPr>
                <w:rFonts w:ascii="Lato" w:hAnsi="Lato"/>
                <w:b/>
                <w:i w:val="0"/>
                <w:color w:val="FFFFFF"/>
                <w:sz w:val="20"/>
              </w:rPr>
              <w:t>Insight</w:t>
            </w:r>
          </w:p>
        </w:tc>
        <w:tc>
          <w:tcPr>
            <w:tcW w:type="dxa" w:w="1568"/>
            <w:shd w:val="clear" w:color="auto" w:fill="1E3A5F"/>
          </w:tcPr>
          <w:p>
            <w:pPr>
              <w:spacing w:before="60" w:after="60"/>
            </w:pPr>
            <w:r/>
            <w:r>
              <w:rPr>
                <w:rFonts w:ascii="Lato" w:hAnsi="Lato"/>
                <w:b/>
                <w:i w:val="0"/>
                <w:color w:val="FFFFFF"/>
                <w:sz w:val="20"/>
              </w:rPr>
              <w:t>Items</w:t>
            </w:r>
          </w:p>
        </w:tc>
        <w:tc>
          <w:tcPr>
            <w:tcW w:type="dxa" w:w="1568"/>
            <w:shd w:val="clear" w:color="auto" w:fill="1E3A5F"/>
          </w:tcPr>
          <w:p>
            <w:pPr>
              <w:spacing w:before="60" w:after="60"/>
            </w:pPr>
            <w:r/>
            <w:r>
              <w:rPr>
                <w:rFonts w:ascii="Lato" w:hAnsi="Lato"/>
                <w:b/>
                <w:i w:val="0"/>
                <w:color w:val="FFFFFF"/>
                <w:sz w:val="20"/>
              </w:rPr>
              <w:t>Prevalence in Dataset</w:t>
            </w:r>
          </w:p>
        </w:tc>
        <w:tc>
          <w:tcPr>
            <w:tcW w:type="dxa" w:w="1568"/>
            <w:shd w:val="clear" w:color="auto" w:fill="1E3A5F"/>
          </w:tcPr>
          <w:p>
            <w:pPr>
              <w:spacing w:before="60" w:after="60"/>
            </w:pPr>
            <w:r/>
            <w:r>
              <w:rPr>
                <w:rFonts w:ascii="Lato" w:hAnsi="Lato"/>
                <w:b/>
                <w:i w:val="0"/>
                <w:color w:val="FFFFFF"/>
                <w:sz w:val="20"/>
              </w:rPr>
              <w:t>Signal Strength</w:t>
            </w:r>
          </w:p>
        </w:tc>
        <w:tc>
          <w:tcPr>
            <w:tcW w:type="dxa" w:w="1568"/>
            <w:shd w:val="clear" w:color="auto" w:fill="1E3A5F"/>
          </w:tcPr>
          <w:p>
            <w:pPr>
              <w:spacing w:before="60" w:after="60"/>
            </w:pPr>
            <w:r/>
            <w:r>
              <w:rPr>
                <w:rFonts w:ascii="Lato" w:hAnsi="Lato"/>
                <w:b/>
                <w:i w:val="0"/>
                <w:color w:val="FFFFFF"/>
                <w:sz w:val="20"/>
              </w:rPr>
              <w:t>Confidence Score</w:t>
            </w:r>
          </w:p>
        </w:tc>
        <w:tc>
          <w:tcPr>
            <w:tcW w:type="dxa" w:w="1568"/>
            <w:shd w:val="clear" w:color="auto" w:fill="1E3A5F"/>
          </w:tcPr>
          <w:p>
            <w:pPr>
              <w:spacing w:before="60" w:after="60"/>
            </w:pPr>
            <w:r/>
            <w:r>
              <w:rPr>
                <w:rFonts w:ascii="Lato" w:hAnsi="Lato"/>
                <w:b/>
                <w:i w:val="0"/>
                <w:color w:val="FFFFFF"/>
                <w:sz w:val="20"/>
              </w:rPr>
              <w:t>NSS</w:t>
            </w:r>
          </w:p>
        </w:tc>
      </w:tr>
      <w:tr>
        <w:tc>
          <w:tcPr>
            <w:tcW w:type="dxa" w:w="1568"/>
          </w:tcPr>
          <w:p>
            <w:pPr>
              <w:spacing w:before="60" w:after="60"/>
            </w:pPr>
            <w:r/>
            <w:r>
              <w:rPr>
                <w:rFonts w:ascii="Lato" w:hAnsi="Lato"/>
                <w:b w:val="0"/>
                <w:i w:val="0"/>
                <w:color w:val="374151"/>
                <w:sz w:val="20"/>
              </w:rPr>
              <w:t>Make in India: Success vs Failure Debate</w:t>
            </w:r>
          </w:p>
        </w:tc>
        <w:tc>
          <w:tcPr>
            <w:tcW w:type="dxa" w:w="1568"/>
          </w:tcPr>
          <w:p>
            <w:pPr>
              <w:spacing w:before="60" w:after="60"/>
            </w:pPr>
            <w:r/>
            <w:r>
              <w:rPr>
                <w:rFonts w:ascii="Lato" w:hAnsi="Lato"/>
                <w:b w:val="0"/>
                <w:i w:val="0"/>
                <w:color w:val="374151"/>
                <w:sz w:val="20"/>
              </w:rPr>
              <w:t>1802</w:t>
            </w:r>
          </w:p>
        </w:tc>
        <w:tc>
          <w:tcPr>
            <w:tcW w:type="dxa" w:w="1568"/>
          </w:tcPr>
          <w:p>
            <w:pPr>
              <w:spacing w:before="60" w:after="60"/>
            </w:pPr>
            <w:r/>
            <w:r>
              <w:rPr>
                <w:rFonts w:ascii="Lato" w:hAnsi="Lato"/>
                <w:b w:val="0"/>
                <w:i w:val="0"/>
                <w:color w:val="374151"/>
                <w:sz w:val="20"/>
              </w:rPr>
              <w:t>51.3%</w:t>
            </w:r>
          </w:p>
        </w:tc>
        <w:tc>
          <w:tcPr>
            <w:tcW w:type="dxa" w:w="1568"/>
          </w:tcPr>
          <w:p>
            <w:pPr>
              <w:spacing w:before="60" w:after="60"/>
            </w:pPr>
            <w:r/>
            <w:r>
              <w:rPr>
                <w:rFonts w:ascii="Lato" w:hAnsi="Lato"/>
                <w:b w:val="0"/>
                <w:i w:val="0"/>
                <w:color w:val="374151"/>
                <w:sz w:val="20"/>
              </w:rPr>
              <w:t>53% (Moderate)</w:t>
            </w:r>
          </w:p>
        </w:tc>
        <w:tc>
          <w:tcPr>
            <w:tcW w:type="dxa" w:w="1568"/>
          </w:tcPr>
          <w:p>
            <w:pPr>
              <w:spacing w:before="60" w:after="60"/>
            </w:pPr>
            <w:r/>
            <w:r>
              <w:rPr>
                <w:rFonts w:ascii="Lato" w:hAnsi="Lato"/>
                <w:b w:val="0"/>
                <w:i w:val="0"/>
                <w:color w:val="374151"/>
                <w:sz w:val="20"/>
              </w:rPr>
              <w:t>68% (Medium)</w:t>
            </w:r>
          </w:p>
        </w:tc>
        <w:tc>
          <w:tcPr>
            <w:tcW w:type="dxa" w:w="1568"/>
          </w:tcPr>
          <w:p>
            <w:pPr>
              <w:spacing w:before="60" w:after="60"/>
            </w:pPr>
            <w:r/>
            <w:r>
              <w:rPr>
                <w:rFonts w:ascii="Lato" w:hAnsi="Lato"/>
                <w:b w:val="0"/>
                <w:i w:val="0"/>
                <w:color w:val="374151"/>
                <w:sz w:val="20"/>
              </w:rPr>
              <w:t>+33%</w:t>
            </w:r>
          </w:p>
        </w:tc>
      </w:tr>
      <w:tr>
        <w:tc>
          <w:tcPr>
            <w:tcW w:type="dxa" w:w="1568"/>
          </w:tcPr>
          <w:p>
            <w:pPr>
              <w:spacing w:before="60" w:after="60"/>
            </w:pPr>
            <w:r/>
            <w:r>
              <w:rPr>
                <w:rFonts w:ascii="Lato" w:hAnsi="Lato"/>
                <w:b w:val="0"/>
                <w:i w:val="0"/>
                <w:color w:val="374151"/>
                <w:sz w:val="20"/>
              </w:rPr>
              <w:t>Indian Brand Ecosystem &amp; D2C/Startup Growth</w:t>
            </w:r>
          </w:p>
        </w:tc>
        <w:tc>
          <w:tcPr>
            <w:tcW w:type="dxa" w:w="1568"/>
          </w:tcPr>
          <w:p>
            <w:pPr>
              <w:spacing w:before="60" w:after="60"/>
            </w:pPr>
            <w:r/>
            <w:r>
              <w:rPr>
                <w:rFonts w:ascii="Lato" w:hAnsi="Lato"/>
                <w:b w:val="0"/>
                <w:i w:val="0"/>
                <w:color w:val="374151"/>
                <w:sz w:val="20"/>
              </w:rPr>
              <w:t>1151</w:t>
            </w:r>
          </w:p>
        </w:tc>
        <w:tc>
          <w:tcPr>
            <w:tcW w:type="dxa" w:w="1568"/>
          </w:tcPr>
          <w:p>
            <w:pPr>
              <w:spacing w:before="60" w:after="60"/>
            </w:pPr>
            <w:r/>
            <w:r>
              <w:rPr>
                <w:rFonts w:ascii="Lato" w:hAnsi="Lato"/>
                <w:b w:val="0"/>
                <w:i w:val="0"/>
                <w:color w:val="374151"/>
                <w:sz w:val="20"/>
              </w:rPr>
              <w:t>32.7%</w:t>
            </w:r>
          </w:p>
        </w:tc>
        <w:tc>
          <w:tcPr>
            <w:tcW w:type="dxa" w:w="1568"/>
          </w:tcPr>
          <w:p>
            <w:pPr>
              <w:spacing w:before="60" w:after="60"/>
            </w:pPr>
            <w:r/>
            <w:r>
              <w:rPr>
                <w:rFonts w:ascii="Lato" w:hAnsi="Lato"/>
                <w:b w:val="0"/>
                <w:i w:val="0"/>
                <w:color w:val="374151"/>
                <w:sz w:val="20"/>
              </w:rPr>
              <w:t>64% (Moderate)</w:t>
            </w:r>
          </w:p>
        </w:tc>
        <w:tc>
          <w:tcPr>
            <w:tcW w:type="dxa" w:w="1568"/>
          </w:tcPr>
          <w:p>
            <w:pPr>
              <w:spacing w:before="60" w:after="60"/>
            </w:pPr>
            <w:r/>
            <w:r>
              <w:rPr>
                <w:rFonts w:ascii="Lato" w:hAnsi="Lato"/>
                <w:b w:val="0"/>
                <w:i w:val="0"/>
                <w:color w:val="374151"/>
                <w:sz w:val="20"/>
              </w:rPr>
              <w:t>67% (Medium)</w:t>
            </w:r>
          </w:p>
        </w:tc>
        <w:tc>
          <w:tcPr>
            <w:tcW w:type="dxa" w:w="1568"/>
          </w:tcPr>
          <w:p>
            <w:pPr>
              <w:spacing w:before="60" w:after="60"/>
            </w:pPr>
            <w:r/>
            <w:r>
              <w:rPr>
                <w:rFonts w:ascii="Lato" w:hAnsi="Lato"/>
                <w:b w:val="0"/>
                <w:i w:val="0"/>
                <w:color w:val="374151"/>
                <w:sz w:val="20"/>
              </w:rPr>
              <w:t>+33%</w:t>
            </w:r>
          </w:p>
        </w:tc>
      </w:tr>
      <w:tr>
        <w:tc>
          <w:tcPr>
            <w:tcW w:type="dxa" w:w="1568"/>
          </w:tcPr>
          <w:p>
            <w:pPr>
              <w:spacing w:before="60" w:after="60"/>
            </w:pPr>
            <w:r/>
            <w:r>
              <w:rPr>
                <w:rFonts w:ascii="Lato" w:hAnsi="Lato"/>
                <w:b w:val="0"/>
                <w:i w:val="0"/>
                <w:color w:val="374151"/>
                <w:sz w:val="20"/>
              </w:rPr>
              <w:t>Infrastructure &amp; Industrial Capacity Building</w:t>
            </w:r>
          </w:p>
        </w:tc>
        <w:tc>
          <w:tcPr>
            <w:tcW w:type="dxa" w:w="1568"/>
          </w:tcPr>
          <w:p>
            <w:pPr>
              <w:spacing w:before="60" w:after="60"/>
            </w:pPr>
            <w:r/>
            <w:r>
              <w:rPr>
                <w:rFonts w:ascii="Lato" w:hAnsi="Lato"/>
                <w:b w:val="0"/>
                <w:i w:val="0"/>
                <w:color w:val="374151"/>
                <w:sz w:val="20"/>
              </w:rPr>
              <w:t>1034</w:t>
            </w:r>
          </w:p>
        </w:tc>
        <w:tc>
          <w:tcPr>
            <w:tcW w:type="dxa" w:w="1568"/>
          </w:tcPr>
          <w:p>
            <w:pPr>
              <w:spacing w:before="60" w:after="60"/>
            </w:pPr>
            <w:r/>
            <w:r>
              <w:rPr>
                <w:rFonts w:ascii="Lato" w:hAnsi="Lato"/>
                <w:b w:val="0"/>
                <w:i w:val="0"/>
                <w:color w:val="374151"/>
                <w:sz w:val="20"/>
              </w:rPr>
              <w:t>29.4%</w:t>
            </w:r>
          </w:p>
        </w:tc>
        <w:tc>
          <w:tcPr>
            <w:tcW w:type="dxa" w:w="1568"/>
          </w:tcPr>
          <w:p>
            <w:pPr>
              <w:spacing w:before="60" w:after="60"/>
            </w:pPr>
            <w:r/>
            <w:r>
              <w:rPr>
                <w:rFonts w:ascii="Lato" w:hAnsi="Lato"/>
                <w:b w:val="0"/>
                <w:i w:val="0"/>
                <w:color w:val="374151"/>
                <w:sz w:val="20"/>
              </w:rPr>
              <w:t>65% (Moderate)</w:t>
            </w:r>
          </w:p>
        </w:tc>
        <w:tc>
          <w:tcPr>
            <w:tcW w:type="dxa" w:w="1568"/>
          </w:tcPr>
          <w:p>
            <w:pPr>
              <w:spacing w:before="60" w:after="60"/>
            </w:pPr>
            <w:r/>
            <w:r>
              <w:rPr>
                <w:rFonts w:ascii="Lato" w:hAnsi="Lato"/>
                <w:b w:val="0"/>
                <w:i w:val="0"/>
                <w:color w:val="374151"/>
                <w:sz w:val="20"/>
              </w:rPr>
              <w:t>67% (Medium)</w:t>
            </w:r>
          </w:p>
        </w:tc>
        <w:tc>
          <w:tcPr>
            <w:tcW w:type="dxa" w:w="1568"/>
          </w:tcPr>
          <w:p>
            <w:pPr>
              <w:spacing w:before="60" w:after="60"/>
            </w:pPr>
            <w:r/>
            <w:r>
              <w:rPr>
                <w:rFonts w:ascii="Lato" w:hAnsi="Lato"/>
                <w:b w:val="0"/>
                <w:i w:val="0"/>
                <w:color w:val="374151"/>
                <w:sz w:val="20"/>
              </w:rPr>
              <w:t>+39%</w:t>
            </w:r>
          </w:p>
        </w:tc>
      </w:tr>
      <w:tr>
        <w:tc>
          <w:tcPr>
            <w:tcW w:type="dxa" w:w="1568"/>
          </w:tcPr>
          <w:p>
            <w:pPr>
              <w:spacing w:before="60" w:after="60"/>
            </w:pPr>
            <w:r/>
            <w:r>
              <w:rPr>
                <w:rFonts w:ascii="Lato" w:hAnsi="Lato"/>
                <w:b w:val="0"/>
                <w:i w:val="0"/>
                <w:color w:val="374151"/>
                <w:sz w:val="20"/>
              </w:rPr>
              <w:t>Manufacturing GDP &amp; Economic Fundamentals</w:t>
            </w:r>
          </w:p>
        </w:tc>
        <w:tc>
          <w:tcPr>
            <w:tcW w:type="dxa" w:w="1568"/>
          </w:tcPr>
          <w:p>
            <w:pPr>
              <w:spacing w:before="60" w:after="60"/>
            </w:pPr>
            <w:r/>
            <w:r>
              <w:rPr>
                <w:rFonts w:ascii="Lato" w:hAnsi="Lato"/>
                <w:b w:val="0"/>
                <w:i w:val="0"/>
                <w:color w:val="374151"/>
                <w:sz w:val="20"/>
              </w:rPr>
              <w:t>775</w:t>
            </w:r>
          </w:p>
        </w:tc>
        <w:tc>
          <w:tcPr>
            <w:tcW w:type="dxa" w:w="1568"/>
          </w:tcPr>
          <w:p>
            <w:pPr>
              <w:spacing w:before="60" w:after="60"/>
            </w:pPr>
            <w:r/>
            <w:r>
              <w:rPr>
                <w:rFonts w:ascii="Lato" w:hAnsi="Lato"/>
                <w:b w:val="0"/>
                <w:i w:val="0"/>
                <w:color w:val="374151"/>
                <w:sz w:val="20"/>
              </w:rPr>
              <w:t>22.0%</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64% (Medium)</w:t>
            </w:r>
          </w:p>
        </w:tc>
        <w:tc>
          <w:tcPr>
            <w:tcW w:type="dxa" w:w="1568"/>
          </w:tcPr>
          <w:p>
            <w:pPr>
              <w:spacing w:before="60" w:after="60"/>
            </w:pPr>
            <w:r/>
            <w:r>
              <w:rPr>
                <w:rFonts w:ascii="Lato" w:hAnsi="Lato"/>
                <w:b w:val="0"/>
                <w:i w:val="0"/>
                <w:color w:val="374151"/>
                <w:sz w:val="20"/>
              </w:rPr>
              <w:t>+41%</w:t>
            </w:r>
          </w:p>
        </w:tc>
      </w:tr>
      <w:tr>
        <w:tc>
          <w:tcPr>
            <w:tcW w:type="dxa" w:w="1568"/>
          </w:tcPr>
          <w:p>
            <w:pPr>
              <w:spacing w:before="60" w:after="60"/>
            </w:pPr>
            <w:r/>
            <w:r>
              <w:rPr>
                <w:rFonts w:ascii="Lato" w:hAnsi="Lato"/>
                <w:b w:val="0"/>
                <w:i w:val="0"/>
                <w:color w:val="374151"/>
                <w:sz w:val="20"/>
              </w:rPr>
              <w:t>Vocal for Local &amp; Swadeshi Movement</w:t>
            </w:r>
          </w:p>
        </w:tc>
        <w:tc>
          <w:tcPr>
            <w:tcW w:type="dxa" w:w="1568"/>
          </w:tcPr>
          <w:p>
            <w:pPr>
              <w:spacing w:before="60" w:after="60"/>
            </w:pPr>
            <w:r/>
            <w:r>
              <w:rPr>
                <w:rFonts w:ascii="Lato" w:hAnsi="Lato"/>
                <w:b w:val="0"/>
                <w:i w:val="0"/>
                <w:color w:val="374151"/>
                <w:sz w:val="20"/>
              </w:rPr>
              <w:t>670</w:t>
            </w:r>
          </w:p>
        </w:tc>
        <w:tc>
          <w:tcPr>
            <w:tcW w:type="dxa" w:w="1568"/>
          </w:tcPr>
          <w:p>
            <w:pPr>
              <w:spacing w:before="60" w:after="60"/>
            </w:pPr>
            <w:r/>
            <w:r>
              <w:rPr>
                <w:rFonts w:ascii="Lato" w:hAnsi="Lato"/>
                <w:b w:val="0"/>
                <w:i w:val="0"/>
                <w:color w:val="374151"/>
                <w:sz w:val="20"/>
              </w:rPr>
              <w:t>19.1%</w:t>
            </w:r>
          </w:p>
        </w:tc>
        <w:tc>
          <w:tcPr>
            <w:tcW w:type="dxa" w:w="1568"/>
          </w:tcPr>
          <w:p>
            <w:pPr>
              <w:spacing w:before="60" w:after="60"/>
            </w:pPr>
            <w:r/>
            <w:r>
              <w:rPr>
                <w:rFonts w:ascii="Lato" w:hAnsi="Lato"/>
                <w:b w:val="0"/>
                <w:i w:val="0"/>
                <w:color w:val="374151"/>
                <w:sz w:val="20"/>
              </w:rPr>
              <w:t>46% (Weak)</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+57%</w:t>
            </w:r>
          </w:p>
        </w:tc>
      </w:tr>
      <w:tr>
        <w:tc>
          <w:tcPr>
            <w:tcW w:type="dxa" w:w="1568"/>
          </w:tcPr>
          <w:p>
            <w:pPr>
              <w:spacing w:before="60" w:after="60"/>
            </w:pPr>
            <w:r/>
            <w:r>
              <w:rPr>
                <w:rFonts w:ascii="Lato" w:hAnsi="Lato"/>
                <w:b w:val="0"/>
                <w:i w:val="0"/>
                <w:color w:val="374151"/>
                <w:sz w:val="20"/>
              </w:rPr>
              <w:t>US Tariff War &amp; Trade Policy</w:t>
            </w:r>
          </w:p>
        </w:tc>
        <w:tc>
          <w:tcPr>
            <w:tcW w:type="dxa" w:w="1568"/>
          </w:tcPr>
          <w:p>
            <w:pPr>
              <w:spacing w:before="60" w:after="60"/>
            </w:pPr>
            <w:r/>
            <w:r>
              <w:rPr>
                <w:rFonts w:ascii="Lato" w:hAnsi="Lato"/>
                <w:b w:val="0"/>
                <w:i w:val="0"/>
                <w:color w:val="374151"/>
                <w:sz w:val="20"/>
              </w:rPr>
              <w:t>572</w:t>
            </w:r>
          </w:p>
        </w:tc>
        <w:tc>
          <w:tcPr>
            <w:tcW w:type="dxa" w:w="1568"/>
          </w:tcPr>
          <w:p>
            <w:pPr>
              <w:spacing w:before="60" w:after="60"/>
            </w:pPr>
            <w:r/>
            <w:r>
              <w:rPr>
                <w:rFonts w:ascii="Lato" w:hAnsi="Lato"/>
                <w:b w:val="0"/>
                <w:i w:val="0"/>
                <w:color w:val="374151"/>
                <w:sz w:val="20"/>
              </w:rPr>
              <w:t>16.3%</w:t>
            </w:r>
          </w:p>
        </w:tc>
        <w:tc>
          <w:tcPr>
            <w:tcW w:type="dxa" w:w="1568"/>
          </w:tcPr>
          <w:p>
            <w:pPr>
              <w:spacing w:before="60" w:after="60"/>
            </w:pPr>
            <w:r/>
            <w:r>
              <w:rPr>
                <w:rFonts w:ascii="Lato" w:hAnsi="Lato"/>
                <w:b w:val="0"/>
                <w:i w:val="0"/>
                <w:color w:val="374151"/>
                <w:sz w:val="20"/>
              </w:rPr>
              <w:t>53% (Moderate)</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+23%</w:t>
            </w:r>
          </w:p>
        </w:tc>
      </w:tr>
      <w:tr>
        <w:tc>
          <w:tcPr>
            <w:tcW w:type="dxa" w:w="1568"/>
          </w:tcPr>
          <w:p>
            <w:pPr>
              <w:spacing w:before="60" w:after="60"/>
            </w:pPr>
            <w:r/>
            <w:r>
              <w:rPr>
                <w:rFonts w:ascii="Lato" w:hAnsi="Lato"/>
                <w:b w:val="0"/>
                <w:i w:val="0"/>
                <w:color w:val="374151"/>
                <w:sz w:val="20"/>
              </w:rPr>
              <w:t>Employment &amp; Workforce Development</w:t>
            </w:r>
          </w:p>
        </w:tc>
        <w:tc>
          <w:tcPr>
            <w:tcW w:type="dxa" w:w="1568"/>
          </w:tcPr>
          <w:p>
            <w:pPr>
              <w:spacing w:before="60" w:after="60"/>
            </w:pPr>
            <w:r/>
            <w:r>
              <w:rPr>
                <w:rFonts w:ascii="Lato" w:hAnsi="Lato"/>
                <w:b w:val="0"/>
                <w:i w:val="0"/>
                <w:color w:val="374151"/>
                <w:sz w:val="20"/>
              </w:rPr>
              <w:t>528</w:t>
            </w:r>
          </w:p>
        </w:tc>
        <w:tc>
          <w:tcPr>
            <w:tcW w:type="dxa" w:w="1568"/>
          </w:tcPr>
          <w:p>
            <w:pPr>
              <w:spacing w:before="60" w:after="60"/>
            </w:pPr>
            <w:r/>
            <w:r>
              <w:rPr>
                <w:rFonts w:ascii="Lato" w:hAnsi="Lato"/>
                <w:b w:val="0"/>
                <w:i w:val="0"/>
                <w:color w:val="374151"/>
                <w:sz w:val="20"/>
              </w:rPr>
              <w:t>15.0%</w:t>
            </w:r>
          </w:p>
        </w:tc>
        <w:tc>
          <w:tcPr>
            <w:tcW w:type="dxa" w:w="1568"/>
          </w:tcPr>
          <w:p>
            <w:pPr>
              <w:spacing w:before="60" w:after="60"/>
            </w:pPr>
            <w:r/>
            <w:r>
              <w:rPr>
                <w:rFonts w:ascii="Lato" w:hAnsi="Lato"/>
                <w:b w:val="0"/>
                <w:i w:val="0"/>
                <w:color w:val="374151"/>
                <w:sz w:val="20"/>
              </w:rPr>
              <w:t>58% (Moderate)</w:t>
            </w:r>
          </w:p>
        </w:tc>
        <w:tc>
          <w:tcPr>
            <w:tcW w:type="dxa" w:w="1568"/>
          </w:tcPr>
          <w:p>
            <w:pPr>
              <w:spacing w:before="60" w:after="60"/>
            </w:pPr>
            <w:r/>
            <w:r>
              <w:rPr>
                <w:rFonts w:ascii="Lato" w:hAnsi="Lato"/>
                <w:b w:val="0"/>
                <w:i w:val="0"/>
                <w:color w:val="374151"/>
                <w:sz w:val="20"/>
              </w:rPr>
              <w:t>62% (Medium)</w:t>
            </w:r>
          </w:p>
        </w:tc>
        <w:tc>
          <w:tcPr>
            <w:tcW w:type="dxa" w:w="1568"/>
          </w:tcPr>
          <w:p>
            <w:pPr>
              <w:spacing w:before="60" w:after="60"/>
            </w:pPr>
            <w:r/>
            <w:r>
              <w:rPr>
                <w:rFonts w:ascii="Lato" w:hAnsi="Lato"/>
                <w:b w:val="0"/>
                <w:i w:val="0"/>
                <w:color w:val="374151"/>
                <w:sz w:val="20"/>
              </w:rPr>
              <w:t>+28%</w:t>
            </w:r>
          </w:p>
        </w:tc>
      </w:tr>
      <w:tr>
        <w:tc>
          <w:tcPr>
            <w:tcW w:type="dxa" w:w="1568"/>
          </w:tcPr>
          <w:p>
            <w:pPr>
              <w:spacing w:before="60" w:after="60"/>
            </w:pPr>
            <w:r/>
            <w:r>
              <w:rPr>
                <w:rFonts w:ascii="Lato" w:hAnsi="Lato"/>
                <w:b w:val="0"/>
                <w:i w:val="0"/>
                <w:color w:val="374151"/>
                <w:sz w:val="20"/>
              </w:rPr>
              <w:t>PLI Scheme &amp; Electronics Manufacturing</w:t>
            </w:r>
          </w:p>
        </w:tc>
        <w:tc>
          <w:tcPr>
            <w:tcW w:type="dxa" w:w="1568"/>
          </w:tcPr>
          <w:p>
            <w:pPr>
              <w:spacing w:before="60" w:after="60"/>
            </w:pPr>
            <w:r/>
            <w:r>
              <w:rPr>
                <w:rFonts w:ascii="Lato" w:hAnsi="Lato"/>
                <w:b w:val="0"/>
                <w:i w:val="0"/>
                <w:color w:val="374151"/>
                <w:sz w:val="20"/>
              </w:rPr>
              <w:t>444</w:t>
            </w:r>
          </w:p>
        </w:tc>
        <w:tc>
          <w:tcPr>
            <w:tcW w:type="dxa" w:w="1568"/>
          </w:tcPr>
          <w:p>
            <w:pPr>
              <w:spacing w:before="60" w:after="60"/>
            </w:pPr>
            <w:r/>
            <w:r>
              <w:rPr>
                <w:rFonts w:ascii="Lato" w:hAnsi="Lato"/>
                <w:b w:val="0"/>
                <w:i w:val="0"/>
                <w:color w:val="374151"/>
                <w:sz w:val="20"/>
              </w:rPr>
              <w:t>12.6%</w:t>
            </w:r>
          </w:p>
        </w:tc>
        <w:tc>
          <w:tcPr>
            <w:tcW w:type="dxa" w:w="1568"/>
          </w:tcPr>
          <w:p>
            <w:pPr>
              <w:spacing w:before="60" w:after="60"/>
            </w:pPr>
            <w:r/>
            <w:r>
              <w:rPr>
                <w:rFonts w:ascii="Lato" w:hAnsi="Lato"/>
                <w:b w:val="0"/>
                <w:i w:val="0"/>
                <w:color w:val="374151"/>
                <w:sz w:val="20"/>
              </w:rPr>
              <w:t>48% (Weak)</w:t>
            </w:r>
          </w:p>
        </w:tc>
        <w:tc>
          <w:tcPr>
            <w:tcW w:type="dxa" w:w="1568"/>
          </w:tcPr>
          <w:p>
            <w:pPr>
              <w:spacing w:before="60" w:after="60"/>
            </w:pPr>
            <w:r/>
            <w:r>
              <w:rPr>
                <w:rFonts w:ascii="Lato" w:hAnsi="Lato"/>
                <w:b w:val="0"/>
                <w:i w:val="0"/>
                <w:color w:val="374151"/>
                <w:sz w:val="20"/>
              </w:rPr>
              <w:t>61% (Medium)</w:t>
            </w:r>
          </w:p>
        </w:tc>
        <w:tc>
          <w:tcPr>
            <w:tcW w:type="dxa" w:w="1568"/>
          </w:tcPr>
          <w:p>
            <w:pPr>
              <w:spacing w:before="60" w:after="60"/>
            </w:pPr>
            <w:r/>
            <w:r>
              <w:rPr>
                <w:rFonts w:ascii="Lato" w:hAnsi="Lato"/>
                <w:b w:val="0"/>
                <w:i w:val="0"/>
                <w:color w:val="374151"/>
                <w:sz w:val="20"/>
              </w:rPr>
              <w:t>+41%</w:t>
            </w:r>
          </w:p>
        </w:tc>
      </w:tr>
      <w:tr>
        <w:tc>
          <w:tcPr>
            <w:tcW w:type="dxa" w:w="1568"/>
          </w:tcPr>
          <w:p>
            <w:pPr>
              <w:spacing w:before="60" w:after="60"/>
            </w:pPr>
            <w:r/>
            <w:r>
              <w:rPr>
                <w:rFonts w:ascii="Lato" w:hAnsi="Lato"/>
                <w:b w:val="0"/>
                <w:i w:val="0"/>
                <w:color w:val="374151"/>
                <w:sz w:val="20"/>
              </w:rPr>
              <w:t>Product Quality &amp; Consumer Trust</w:t>
            </w:r>
          </w:p>
        </w:tc>
        <w:tc>
          <w:tcPr>
            <w:tcW w:type="dxa" w:w="1568"/>
          </w:tcPr>
          <w:p>
            <w:pPr>
              <w:spacing w:before="60" w:after="60"/>
            </w:pPr>
            <w:r/>
            <w:r>
              <w:rPr>
                <w:rFonts w:ascii="Lato" w:hAnsi="Lato"/>
                <w:b w:val="0"/>
                <w:i w:val="0"/>
                <w:color w:val="374151"/>
                <w:sz w:val="20"/>
              </w:rPr>
              <w:t>422</w:t>
            </w:r>
          </w:p>
        </w:tc>
        <w:tc>
          <w:tcPr>
            <w:tcW w:type="dxa" w:w="1568"/>
          </w:tcPr>
          <w:p>
            <w:pPr>
              <w:spacing w:before="60" w:after="60"/>
            </w:pPr>
            <w:r/>
            <w:r>
              <w:rPr>
                <w:rFonts w:ascii="Lato" w:hAnsi="Lato"/>
                <w:b w:val="0"/>
                <w:i w:val="0"/>
                <w:color w:val="374151"/>
                <w:sz w:val="20"/>
              </w:rPr>
              <w:t>12.0%</w:t>
            </w:r>
          </w:p>
        </w:tc>
        <w:tc>
          <w:tcPr>
            <w:tcW w:type="dxa" w:w="1568"/>
          </w:tcPr>
          <w:p>
            <w:pPr>
              <w:spacing w:before="60" w:after="60"/>
            </w:pPr>
            <w:r/>
            <w:r>
              <w:rPr>
                <w:rFonts w:ascii="Lato" w:hAnsi="Lato"/>
                <w:b w:val="0"/>
                <w:i w:val="0"/>
                <w:color w:val="374151"/>
                <w:sz w:val="20"/>
              </w:rPr>
              <w:t>60%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+10%</w:t>
            </w:r>
          </w:p>
        </w:tc>
      </w:tr>
      <w:tr>
        <w:tc>
          <w:tcPr>
            <w:tcW w:type="dxa" w:w="1568"/>
          </w:tcPr>
          <w:p>
            <w:pPr>
              <w:spacing w:before="60" w:after="60"/>
            </w:pPr>
            <w:r/>
            <w:r>
              <w:rPr>
                <w:rFonts w:ascii="Lato" w:hAnsi="Lato"/>
                <w:b w:val="0"/>
                <w:i w:val="0"/>
                <w:color w:val="374151"/>
                <w:sz w:val="20"/>
              </w:rPr>
              <w:t>Assembly vs Manufacturing: The Value-Add Question</w:t>
            </w:r>
          </w:p>
        </w:tc>
        <w:tc>
          <w:tcPr>
            <w:tcW w:type="dxa" w:w="1568"/>
          </w:tcPr>
          <w:p>
            <w:pPr>
              <w:spacing w:before="60" w:after="60"/>
            </w:pPr>
            <w:r/>
            <w:r>
              <w:rPr>
                <w:rFonts w:ascii="Lato" w:hAnsi="Lato"/>
                <w:b w:val="0"/>
                <w:i w:val="0"/>
                <w:color w:val="374151"/>
                <w:sz w:val="20"/>
              </w:rPr>
              <w:t>385</w:t>
            </w:r>
          </w:p>
        </w:tc>
        <w:tc>
          <w:tcPr>
            <w:tcW w:type="dxa" w:w="1568"/>
          </w:tcPr>
          <w:p>
            <w:pPr>
              <w:spacing w:before="60" w:after="60"/>
            </w:pPr>
            <w:r/>
            <w:r>
              <w:rPr>
                <w:rFonts w:ascii="Lato" w:hAnsi="Lato"/>
                <w:b w:val="0"/>
                <w:i w:val="0"/>
                <w:color w:val="374151"/>
                <w:sz w:val="20"/>
              </w:rPr>
              <w:t>10.9%</w:t>
            </w:r>
          </w:p>
        </w:tc>
        <w:tc>
          <w:tcPr>
            <w:tcW w:type="dxa" w:w="1568"/>
          </w:tcPr>
          <w:p>
            <w:pPr>
              <w:spacing w:before="60" w:after="60"/>
            </w:pPr>
            <w:r/>
            <w:r>
              <w:rPr>
                <w:rFonts w:ascii="Lato" w:hAnsi="Lato"/>
                <w:b w:val="0"/>
                <w:i w:val="0"/>
                <w:color w:val="374151"/>
                <w:sz w:val="20"/>
              </w:rPr>
              <w:t>51% (Moderate)</w:t>
            </w:r>
          </w:p>
        </w:tc>
        <w:tc>
          <w:tcPr>
            <w:tcW w:type="dxa" w:w="1568"/>
          </w:tcPr>
          <w:p>
            <w:pPr>
              <w:spacing w:before="60" w:after="60"/>
            </w:pPr>
            <w:r/>
            <w:r>
              <w:rPr>
                <w:rFonts w:ascii="Lato" w:hAnsi="Lato"/>
                <w:b w:val="0"/>
                <w:i w:val="0"/>
                <w:color w:val="374151"/>
                <w:sz w:val="20"/>
              </w:rPr>
              <w:t>60% (Medium)</w:t>
            </w:r>
          </w:p>
        </w:tc>
        <w:tc>
          <w:tcPr>
            <w:tcW w:type="dxa" w:w="1568"/>
          </w:tcPr>
          <w:p>
            <w:pPr>
              <w:spacing w:before="60" w:after="60"/>
            </w:pPr>
            <w:r/>
            <w:r>
              <w:rPr>
                <w:rFonts w:ascii="Lato" w:hAnsi="Lato"/>
                <w:b w:val="0"/>
                <w:i w:val="0"/>
                <w:color w:val="374151"/>
                <w:sz w:val="20"/>
              </w:rPr>
              <w:t>+22%</w:t>
            </w:r>
          </w:p>
        </w:tc>
      </w:tr>
      <w:tr>
        <w:tc>
          <w:tcPr>
            <w:tcW w:type="dxa" w:w="1568"/>
          </w:tcPr>
          <w:p>
            <w:pPr>
              <w:spacing w:before="60" w:after="60"/>
            </w:pPr>
            <w:r/>
            <w:r>
              <w:rPr>
                <w:rFonts w:ascii="Lato" w:hAnsi="Lato"/>
                <w:b w:val="0"/>
                <w:i w:val="0"/>
                <w:color w:val="374151"/>
                <w:sz w:val="20"/>
              </w:rPr>
              <w:t>India vs China: Trade Deficit &amp; Competition</w:t>
            </w:r>
          </w:p>
        </w:tc>
        <w:tc>
          <w:tcPr>
            <w:tcW w:type="dxa" w:w="1568"/>
          </w:tcPr>
          <w:p>
            <w:pPr>
              <w:spacing w:before="60" w:after="60"/>
            </w:pPr>
            <w:r/>
            <w:r>
              <w:rPr>
                <w:rFonts w:ascii="Lato" w:hAnsi="Lato"/>
                <w:b w:val="0"/>
                <w:i w:val="0"/>
                <w:color w:val="374151"/>
                <w:sz w:val="20"/>
              </w:rPr>
              <w:t>327</w:t>
            </w:r>
          </w:p>
        </w:tc>
        <w:tc>
          <w:tcPr>
            <w:tcW w:type="dxa" w:w="1568"/>
          </w:tcPr>
          <w:p>
            <w:pPr>
              <w:spacing w:before="60" w:after="60"/>
            </w:pPr>
            <w:r/>
            <w:r>
              <w:rPr>
                <w:rFonts w:ascii="Lato" w:hAnsi="Lato"/>
                <w:b w:val="0"/>
                <w:i w:val="0"/>
                <w:color w:val="374151"/>
                <w:sz w:val="20"/>
              </w:rPr>
              <w:t>9.3%</w:t>
            </w:r>
          </w:p>
        </w:tc>
        <w:tc>
          <w:tcPr>
            <w:tcW w:type="dxa" w:w="1568"/>
          </w:tcPr>
          <w:p>
            <w:pPr>
              <w:spacing w:before="60" w:after="60"/>
            </w:pPr>
            <w:r/>
            <w:r>
              <w:rPr>
                <w:rFonts w:ascii="Lato" w:hAnsi="Lato"/>
                <w:b w:val="0"/>
                <w:i w:val="0"/>
                <w:color w:val="374151"/>
                <w:sz w:val="20"/>
              </w:rPr>
              <w:t>46% (Weak)</w:t>
            </w:r>
          </w:p>
        </w:tc>
        <w:tc>
          <w:tcPr>
            <w:tcW w:type="dxa" w:w="1568"/>
          </w:tcPr>
          <w:p>
            <w:pPr>
              <w:spacing w:before="60" w:after="60"/>
            </w:pPr>
            <w:r/>
            <w:r>
              <w:rPr>
                <w:rFonts w:ascii="Lato" w:hAnsi="Lato"/>
                <w:b w:val="0"/>
                <w:i w:val="0"/>
                <w:color w:val="374151"/>
                <w:sz w:val="20"/>
              </w:rPr>
              <w:t>58% (Medium)</w:t>
            </w:r>
          </w:p>
        </w:tc>
        <w:tc>
          <w:tcPr>
            <w:tcW w:type="dxa" w:w="1568"/>
          </w:tcPr>
          <w:p>
            <w:pPr>
              <w:spacing w:before="60" w:after="60"/>
            </w:pPr>
            <w:r/>
            <w:r>
              <w:rPr>
                <w:rFonts w:ascii="Lato" w:hAnsi="Lato"/>
                <w:b w:val="0"/>
                <w:i w:val="0"/>
                <w:color w:val="374151"/>
                <w:sz w:val="20"/>
              </w:rPr>
              <w:t>+12%</w:t>
            </w:r>
          </w:p>
        </w:tc>
      </w:tr>
      <w:tr>
        <w:tc>
          <w:tcPr>
            <w:tcW w:type="dxa" w:w="1568"/>
          </w:tcPr>
          <w:p>
            <w:pPr>
              <w:spacing w:before="60" w:after="60"/>
            </w:pPr>
            <w:r/>
            <w:r>
              <w:rPr>
                <w:rFonts w:ascii="Lato" w:hAnsi="Lato"/>
                <w:b w:val="0"/>
                <w:i w:val="0"/>
                <w:color w:val="374151"/>
                <w:sz w:val="20"/>
              </w:rPr>
              <w:t>Defence Manufacturing &amp; Strategic Self-Reliance</w:t>
            </w:r>
          </w:p>
        </w:tc>
        <w:tc>
          <w:tcPr>
            <w:tcW w:type="dxa" w:w="1568"/>
          </w:tcPr>
          <w:p>
            <w:pPr>
              <w:spacing w:before="60" w:after="60"/>
            </w:pPr>
            <w:r/>
            <w:r>
              <w:rPr>
                <w:rFonts w:ascii="Lato" w:hAnsi="Lato"/>
                <w:b w:val="0"/>
                <w:i w:val="0"/>
                <w:color w:val="374151"/>
                <w:sz w:val="20"/>
              </w:rPr>
              <w:t>263</w:t>
            </w:r>
          </w:p>
        </w:tc>
        <w:tc>
          <w:tcPr>
            <w:tcW w:type="dxa" w:w="1568"/>
          </w:tcPr>
          <w:p>
            <w:pPr>
              <w:spacing w:before="60" w:after="60"/>
            </w:pPr>
            <w:r/>
            <w:r>
              <w:rPr>
                <w:rFonts w:ascii="Lato" w:hAnsi="Lato"/>
                <w:b w:val="0"/>
                <w:i w:val="0"/>
                <w:color w:val="374151"/>
                <w:sz w:val="20"/>
              </w:rPr>
              <w:t>7.5%</w:t>
            </w:r>
          </w:p>
        </w:tc>
        <w:tc>
          <w:tcPr>
            <w:tcW w:type="dxa" w:w="1568"/>
          </w:tcPr>
          <w:p>
            <w:pPr>
              <w:spacing w:before="60" w:after="60"/>
            </w:pPr>
            <w:r/>
            <w:r>
              <w:rPr>
                <w:rFonts w:ascii="Lato" w:hAnsi="Lato"/>
                <w:b w:val="0"/>
                <w:i w:val="0"/>
                <w:color w:val="374151"/>
                <w:sz w:val="20"/>
              </w:rPr>
              <w:t>57% (Moderate)</w:t>
            </w:r>
          </w:p>
        </w:tc>
        <w:tc>
          <w:tcPr>
            <w:tcW w:type="dxa" w:w="1568"/>
          </w:tcPr>
          <w:p>
            <w:pPr>
              <w:spacing w:before="60" w:after="60"/>
            </w:pPr>
            <w:r/>
            <w:r>
              <w:rPr>
                <w:rFonts w:ascii="Lato" w:hAnsi="Lato"/>
                <w:b w:val="0"/>
                <w:i w:val="0"/>
                <w:color w:val="374151"/>
                <w:sz w:val="20"/>
              </w:rPr>
              <w:t>55% (Medium)</w:t>
            </w:r>
          </w:p>
        </w:tc>
        <w:tc>
          <w:tcPr>
            <w:tcW w:type="dxa" w:w="1568"/>
          </w:tcPr>
          <w:p>
            <w:pPr>
              <w:spacing w:before="60" w:after="60"/>
            </w:pPr>
            <w:r/>
            <w:r>
              <w:rPr>
                <w:rFonts w:ascii="Lato" w:hAnsi="Lato"/>
                <w:b w:val="0"/>
                <w:i w:val="0"/>
                <w:color w:val="374151"/>
                <w:sz w:val="20"/>
              </w:rPr>
              <w:t>+36%</w:t>
            </w:r>
          </w:p>
        </w:tc>
      </w:tr>
    </w:tbl>
    <w:p>
      <w:pPr>
        <w:jc w:val="center"/>
      </w:pPr>
      <w:r>
        <w:drawing>
          <wp:inline xmlns:a="http://schemas.openxmlformats.org/drawingml/2006/main" xmlns:pic="http://schemas.openxmlformats.org/drawingml/2006/picture">
            <wp:extent cx="5029200" cy="3759971"/>
            <wp:docPr id="6" name="Picture 6"/>
            <wp:cNvGraphicFramePr>
              <a:graphicFrameLocks noChangeAspect="1"/>
            </wp:cNvGraphicFramePr>
            <a:graphic>
              <a:graphicData uri="http://schemas.openxmlformats.org/drawingml/2006/picture">
                <pic:pic>
                  <pic:nvPicPr>
                    <pic:cNvPr id="0" name="chart_themes.png"/>
                    <pic:cNvPicPr/>
                  </pic:nvPicPr>
                  <pic:blipFill>
                    <a:blip r:embed="rId14"/>
                    <a:stretch>
                      <a:fillRect/>
                    </a:stretch>
                  </pic:blipFill>
                  <pic:spPr>
                    <a:xfrm>
                      <a:off x="0" y="0"/>
                      <a:ext cx="5029200" cy="3759971"/>
                    </a:xfrm>
                    <a:prstGeom prst="rect"/>
                  </pic:spPr>
                </pic:pic>
              </a:graphicData>
            </a:graphic>
          </wp:inline>
        </w:drawing>
      </w:r>
    </w:p>
    <w:p>
      <w:pPr>
        <w:spacing w:after="240"/>
        <w:jc w:val="center"/>
      </w:pPr>
      <w:r>
        <w:rPr>
          <w:rFonts w:ascii="Lato" w:hAnsi="Lato"/>
          <w:b w:val="0"/>
          <w:i/>
          <w:color w:val="6B7280"/>
          <w:sz w:val="18"/>
        </w:rPr>
        <w:t>Figure 5: Insight prevalence (% of total corpus)</w:t>
      </w:r>
    </w:p>
    <w:p>
      <w:r>
        <w:br w:type="page"/>
      </w:r>
    </w:p>
    <w:p>
      <w:pPr>
        <w:pStyle w:val="Heading1"/>
        <w:jc w:val="left"/>
      </w:pPr>
      <w:r>
        <w:rPr>
          <w:rFonts w:ascii="Lato" w:hAnsi="Lato"/>
          <w:b/>
          <w:color w:val="1E3A5F"/>
          <w:sz w:val="44"/>
        </w:rPr>
        <w:t>Insight Deep Dives</w:t>
      </w:r>
    </w:p>
    <w:p>
      <w:pPr>
        <w:spacing w:after="120" w:before="0"/>
      </w:pPr>
      <w:r>
        <w:rPr>
          <w:rFonts w:ascii="Lato" w:hAnsi="Lato"/>
          <w:b w:val="0"/>
          <w:i w:val="0"/>
          <w:sz w:val="22"/>
        </w:rPr>
        <w:t>One insight per theme, ordered by confidence score. Each insight follows the framework: What the Data Shows, What it Means, Business Implication and Rationale, Recommendation, Further Validation.</w:t>
      </w:r>
    </w:p>
    <w:p>
      <w:pPr>
        <w:pStyle w:val="Heading2"/>
        <w:jc w:val="left"/>
      </w:pPr>
      <w:r>
        <w:rPr>
          <w:rFonts w:ascii="Lato" w:hAnsi="Lato"/>
          <w:b/>
          <w:color w:val="1E3A5F"/>
          <w:sz w:val="32"/>
        </w:rPr>
        <w:t>01. Make in India: Success vs Failure Debate</w:t>
      </w:r>
    </w:p>
    <w:p>
      <w:pPr>
        <w:spacing w:after="160"/>
      </w:pPr>
      <w:r>
        <w:rPr>
          <w:rFonts w:ascii="Lato" w:hAnsi="Lato"/>
          <w:b w:val="0"/>
          <w:i w:val="0"/>
          <w:color w:val="6B7280"/>
          <w:sz w:val="18"/>
        </w:rPr>
        <w:t>n=1802</w:t>
      </w:r>
      <w:r>
        <w:rPr>
          <w:rFonts w:ascii="Lato" w:hAnsi="Lato"/>
          <w:b w:val="0"/>
          <w:i w:val="0"/>
          <w:color w:val="374151"/>
          <w:sz w:val="18"/>
        </w:rPr>
        <w:t xml:space="preserve">  |  Confidence: </w:t>
      </w:r>
      <w:r>
        <w:rPr>
          <w:rFonts w:ascii="Lato" w:hAnsi="Lato"/>
          <w:b/>
          <w:i w:val="0"/>
          <w:color w:val="D97706"/>
          <w:sz w:val="18"/>
        </w:rPr>
        <w:t>68%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51.3%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7" name="Picture 7"/>
            <wp:cNvGraphicFramePr>
              <a:graphicFrameLocks noChangeAspect="1"/>
            </wp:cNvGraphicFramePr>
            <a:graphic>
              <a:graphicData uri="http://schemas.openxmlformats.org/drawingml/2006/picture">
                <pic:pic>
                  <pic:nvPicPr>
                    <pic:cNvPr id="0" name="chart_radar_INS_001.png"/>
                    <pic:cNvPicPr/>
                  </pic:nvPicPr>
                  <pic:blipFill>
                    <a:blip r:embed="rId1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Make in India: Success vs Failure Debate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'Make in India: Success vs Failure Debate' theme dominates the corpus with 1,802 items (51.3% prevalence). Sentiment skews positive (positive: 861, negative: 283, neutral: 397, mixed: 215; NSS +32.9%). The debate spans all four platforms (Instagram, Reddit, Twitter, YouTube) and represents the single largest conversation cluster, indicating this is the default frame through which consumers evaluate the initiative.</w:t>
      </w:r>
    </w:p>
    <w:p>
      <w:pPr>
        <w:pStyle w:val="Heading3"/>
        <w:jc w:val="left"/>
      </w:pPr>
      <w:r>
        <w:rPr>
          <w:rFonts w:ascii="Lato" w:hAnsi="Lato"/>
          <w:b/>
          <w:color w:val="1E3A5F"/>
          <w:sz w:val="26"/>
        </w:rPr>
        <w:t>What it Means</w:t>
      </w:r>
    </w:p>
    <w:p>
      <w:pPr>
        <w:spacing w:after="120" w:before="0"/>
      </w:pPr>
      <w:r>
        <w:rPr>
          <w:rFonts w:ascii="Lato" w:hAnsi="Lato"/>
          <w:b w:val="0"/>
          <w:i w:val="0"/>
          <w:sz w:val="22"/>
        </w:rPr>
        <w:t>The initiative has entered a 'legitimacy trial' phase in public discourse - consumers are no longer asking 'what is Make in India?' but rather 'did it work?' This shift from awareness to accountability signals that the programme has sufficient cultural salience to be judged on outcomes, not just intentions. The positive skew (+32.9% NSS) suggests more voices defend the initiative than attack it, but the sheer volume of the debate (51.3% of all conversation) indicates the verdict is far from settled. This mirrors the lifecycle pattern seen with other national programmes where public discourse transitions from promotional messaging to outcome interrogation roughly 8-10 years post-launch.</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government has a closing window to shape the narrative with outcome evidence before the debate calcifies into partisan shorthand. If credible, accessible outcome data is not injected into public discourse soon, the success/failure framing will be captured entirely by political actors, making the initiative's brand a proxy for party loyalty rather than economic policy. The 283 negative voices are not a fringe - they represent a substantial minority whose concerns, if unaddressed with evidence, will grow as election cycles approach.</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and launch a quarterly 'Make in India Scorecard' - a publicly accessible, visually simple dashboard tracking 8-10 key metrics (manufacturing GDP share, FDI inflows, jobs created, export growth, factory count by state). Distribute via government social media handles with state-level breakdowns. Commission 3-minute video explainers for YouTube and Instagram Reels with before/after comparisons. Target: first release within 60 days, promoted via the same influencer networks already organically discussing the initiative.</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nationally representative survey (n=2,000, stratified by state, age, urban/rural) with the research question: 'What specific evidence would change your assessment of Make in India from failure to success (or vice versa)?' Use conjoint analysis to identify which metrics (jobs, GDP, products, FDI) carry the most persuasive weight with different demographic segments.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"@grok @oxtail101 @AryamanBharat @lakshmishaks @narendramodi @AmitShah @AmitShahOffice We need to manufacture light goods on mass scale. The alphabet has to be learned from A, B, C ie we have to conquer consumer goods first. The mistake of Nehruvian economy was focusing on heavy industry. We can’t make the same mistake again. Today we have the capability to do"</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"@PCMohanMP @narendramodi Well said. Facts matter. Foxconn’s rapid expansion reflects policy stability, global confidence, and the long-term vision of PM Modi’s Make in India. Credit should go where it is genuinely earned, not claimed opportunistically."</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02. Indian Brand Ecosystem &amp; D2C/Startup Growth</w:t>
      </w:r>
    </w:p>
    <w:p>
      <w:pPr>
        <w:spacing w:after="160"/>
      </w:pPr>
      <w:r>
        <w:rPr>
          <w:rFonts w:ascii="Lato" w:hAnsi="Lato"/>
          <w:b w:val="0"/>
          <w:i w:val="0"/>
          <w:color w:val="6B7280"/>
          <w:sz w:val="18"/>
        </w:rPr>
        <w:t>n=1151</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64% (Moderate)</w:t>
      </w:r>
      <w:r>
        <w:rPr>
          <w:rFonts w:ascii="Lato" w:hAnsi="Lato"/>
          <w:b w:val="0"/>
          <w:i w:val="0"/>
          <w:color w:val="6B7280"/>
          <w:sz w:val="18"/>
        </w:rPr>
        <w:t xml:space="preserve">  |  32.7% of Dataset</w:t>
      </w:r>
      <w:r>
        <w:rPr>
          <w:rFonts w:ascii="Lato" w:hAnsi="Lato"/>
          <w:b w:val="0"/>
          <w:i w:val="0"/>
          <w:color w:val="6B7280"/>
          <w:sz w:val="18"/>
        </w:rPr>
        <w:t xml:space="preserve">  |  NSS: </w:t>
      </w:r>
      <w:r>
        <w:rPr>
          <w:rFonts w:ascii="Lato" w:hAnsi="Lato"/>
          <w:b/>
          <w:i w:val="0"/>
          <w:color w:val="059669"/>
          <w:sz w:val="18"/>
        </w:rPr>
        <w:t>+33%</w:t>
      </w:r>
    </w:p>
    <w:p>
      <w:pPr>
        <w:jc w:val="center"/>
      </w:pPr>
      <w:r>
        <w:drawing>
          <wp:inline xmlns:a="http://schemas.openxmlformats.org/drawingml/2006/main" xmlns:pic="http://schemas.openxmlformats.org/drawingml/2006/picture">
            <wp:extent cx="3474720" cy="3547185"/>
            <wp:docPr id="8" name="Picture 8"/>
            <wp:cNvGraphicFramePr>
              <a:graphicFrameLocks noChangeAspect="1"/>
            </wp:cNvGraphicFramePr>
            <a:graphic>
              <a:graphicData uri="http://schemas.openxmlformats.org/drawingml/2006/picture">
                <pic:pic>
                  <pic:nvPicPr>
                    <pic:cNvPr id="0" name="chart_radar_INS_007.png"/>
                    <pic:cNvPicPr/>
                  </pic:nvPicPr>
                  <pic:blipFill>
                    <a:blip r:embed="rId1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Indian Brand Ecosystem &amp; D2C/Startup Growth</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'Indian Brand Ecosystem &amp; D2C/Startup Growth' theme is the second-largest in the corpus with 1,151 items (32.7% prevalence) and NSS of +33.1%. Sentiment: positive 573, negative 200, neutral 219, mixed 136. The theme spans all four platforms and covers consumer discovery and endorsement of Indian D2C brands across categories.</w:t>
      </w:r>
    </w:p>
    <w:p>
      <w:pPr>
        <w:pStyle w:val="Heading3"/>
        <w:jc w:val="left"/>
      </w:pPr>
      <w:r>
        <w:rPr>
          <w:rFonts w:ascii="Lato" w:hAnsi="Lato"/>
          <w:b/>
          <w:color w:val="1E3A5F"/>
          <w:sz w:val="26"/>
        </w:rPr>
        <w:t>What it Means</w:t>
      </w:r>
    </w:p>
    <w:p>
      <w:pPr>
        <w:spacing w:after="120" w:before="0"/>
      </w:pPr>
      <w:r>
        <w:rPr>
          <w:rFonts w:ascii="Lato" w:hAnsi="Lato"/>
          <w:b w:val="0"/>
          <w:i w:val="0"/>
          <w:sz w:val="22"/>
        </w:rPr>
        <w:t>The D2C/startup boom has created an uncoordinated but powerful grassroots evidence base for Make in India - consumers are discovering Indian brands not because of government campaigns but through peer recommendations, Instagram ads, and YouTube reviews. This organic discovery loop means Make in India's strongest proof points are being generated outside its control. The +33.1% NSS with 200 negative items reveals a maturation dynamic: consumers are past the novelty phase and now evaluating Indian brands on merit, with genuine disappointments (quality, customer service, scalability) entering the conversation. This is healthy market discourse, not a threat - but it means the D2C sector is simultaneously building and stress-testing the Make in India brand.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government did not create the D2C boom but can either accelerate or impede it. The 200 negative items are early warning signals - if Indian D2C brands develop a reputation for inconsistent quality or poor after-sales service, the backlash will damage Make in India perception far more than any policy debate. The opportunity is to support quality infrastructure for D2C brands (testing facilities, export compliance, packaging standards) without claiming credit for their success, which would politicise an organic movement.</w:t>
      </w:r>
    </w:p>
    <w:p>
      <w:pPr>
        <w:pStyle w:val="Heading3"/>
        <w:jc w:val="left"/>
      </w:pPr>
      <w:r>
        <w:rPr>
          <w:rFonts w:ascii="Lato" w:hAnsi="Lato"/>
          <w:b/>
          <w:color w:val="1E3A5F"/>
          <w:sz w:val="26"/>
        </w:rPr>
        <w:t>Recommendation</w:t>
      </w:r>
    </w:p>
    <w:p>
      <w:pPr>
        <w:spacing w:after="120" w:before="0"/>
      </w:pPr>
      <w:r>
        <w:rPr>
          <w:rFonts w:ascii="Lato" w:hAnsi="Lato"/>
          <w:b w:val="0"/>
          <w:i w:val="0"/>
          <w:sz w:val="22"/>
        </w:rPr>
        <w:t>Establish a 'D2C Quality Accelerator' programme offering subsidised product testing, packaging compliance certification, and export readiness workshops for Indian D2C brands with revenue between INR 1-50 crore. Partner with DPIIT and Startup India. Announce via industry associations (CII, NASSCOM) rather than political channels to maintain the organic, non-partisan character. Target: onboard 100 D2C brands in Year 1 with measurable before/after quality metrics and customer satisfaction scores.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longitudinal tracking study (n=500 D2C brand customers, 4 waves over 12 months) measuring repeat purchase rates, NPS, and brand perception for Indian D2C brands vs comparable foreign brands. Research question: 'Do consumers who initially choose Indian D2C brands based on patriotic motivation continue purchasing based on product quality, or do they revert to foreign alternatives after the novelty fades?'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03. Infrastructure &amp; Industrial Capacity Building</w:t>
      </w:r>
    </w:p>
    <w:p>
      <w:pPr>
        <w:spacing w:after="160"/>
      </w:pPr>
      <w:r>
        <w:rPr>
          <w:rFonts w:ascii="Lato" w:hAnsi="Lato"/>
          <w:b w:val="0"/>
          <w:i w:val="0"/>
          <w:color w:val="6B7280"/>
          <w:sz w:val="18"/>
        </w:rPr>
        <w:t>n=1034</w:t>
      </w:r>
      <w:r>
        <w:rPr>
          <w:rFonts w:ascii="Lato" w:hAnsi="Lato"/>
          <w:b w:val="0"/>
          <w:i w:val="0"/>
          <w:color w:val="374151"/>
          <w:sz w:val="18"/>
        </w:rPr>
        <w:t xml:space="preserve">  |  Confidence: </w:t>
      </w:r>
      <w:r>
        <w:rPr>
          <w:rFonts w:ascii="Lato" w:hAnsi="Lato"/>
          <w:b/>
          <w:i w:val="0"/>
          <w:color w:val="D97706"/>
          <w:sz w:val="18"/>
        </w:rPr>
        <w:t>67% (Medium)</w:t>
      </w:r>
      <w:r>
        <w:rPr>
          <w:rFonts w:ascii="Lato" w:hAnsi="Lato"/>
          <w:b w:val="0"/>
          <w:i w:val="0"/>
          <w:color w:val="374151"/>
          <w:sz w:val="18"/>
        </w:rPr>
        <w:t xml:space="preserve">  |  Signal: </w:t>
      </w:r>
      <w:r>
        <w:rPr>
          <w:rFonts w:ascii="Lato" w:hAnsi="Lato"/>
          <w:b/>
          <w:i w:val="0"/>
          <w:color w:val="374151"/>
          <w:sz w:val="18"/>
        </w:rPr>
        <w:t>65% (Moderate)</w:t>
      </w:r>
      <w:r>
        <w:rPr>
          <w:rFonts w:ascii="Lato" w:hAnsi="Lato"/>
          <w:b w:val="0"/>
          <w:i w:val="0"/>
          <w:color w:val="6B7280"/>
          <w:sz w:val="18"/>
        </w:rPr>
        <w:t xml:space="preserve">  |  29.4% of Dataset</w:t>
      </w:r>
      <w:r>
        <w:rPr>
          <w:rFonts w:ascii="Lato" w:hAnsi="Lato"/>
          <w:b w:val="0"/>
          <w:i w:val="0"/>
          <w:color w:val="6B7280"/>
          <w:sz w:val="18"/>
        </w:rPr>
        <w:t xml:space="preserve">  |  NSS: </w:t>
      </w:r>
      <w:r>
        <w:rPr>
          <w:rFonts w:ascii="Lato" w:hAnsi="Lato"/>
          <w:b/>
          <w:i w:val="0"/>
          <w:color w:val="059669"/>
          <w:sz w:val="18"/>
        </w:rPr>
        <w:t>+39%</w:t>
      </w:r>
    </w:p>
    <w:p>
      <w:pPr>
        <w:jc w:val="center"/>
      </w:pPr>
      <w:r>
        <w:drawing>
          <wp:inline xmlns:a="http://schemas.openxmlformats.org/drawingml/2006/main" xmlns:pic="http://schemas.openxmlformats.org/drawingml/2006/picture">
            <wp:extent cx="3474720" cy="3547185"/>
            <wp:docPr id="9" name="Picture 9"/>
            <wp:cNvGraphicFramePr>
              <a:graphicFrameLocks noChangeAspect="1"/>
            </wp:cNvGraphicFramePr>
            <a:graphic>
              <a:graphicData uri="http://schemas.openxmlformats.org/drawingml/2006/picture">
                <pic:pic>
                  <pic:nvPicPr>
                    <pic:cNvPr id="0" name="chart_radar_INS_011.png"/>
                    <pic:cNvPicPr/>
                  </pic:nvPicPr>
                  <pic:blipFill>
                    <a:blip r:embed="rId17"/>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Infrastructure &amp; Industrial Capacity Building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'Infrastructure &amp; Industrial Capacity Building' theme is the third-largest in the corpus with 1,034 items (29.4% prevalence) and NSS of +38.9%. Sentiment: positive 551, negative 155, neutral 180, mixed 131. Discussion covers expressways, factory parks, logistics corridors, ports, railways, smart cities, and industrial infrastructure enabling manufacturing.</w:t>
      </w:r>
    </w:p>
    <w:p>
      <w:pPr>
        <w:pStyle w:val="Heading3"/>
        <w:jc w:val="left"/>
      </w:pPr>
      <w:r>
        <w:rPr>
          <w:rFonts w:ascii="Lato" w:hAnsi="Lato"/>
          <w:b/>
          <w:color w:val="1E3A5F"/>
          <w:sz w:val="26"/>
        </w:rPr>
        <w:t>What it Means</w:t>
      </w:r>
    </w:p>
    <w:p>
      <w:pPr>
        <w:spacing w:after="120" w:before="0"/>
      </w:pPr>
      <w:r>
        <w:rPr>
          <w:rFonts w:ascii="Lato" w:hAnsi="Lato"/>
          <w:b w:val="0"/>
          <w:i w:val="0"/>
          <w:sz w:val="22"/>
        </w:rPr>
        <w:t>Infrastructure has become Make in India's 'visible progress' layer - the domain where consumers can literally see change happening (new expressways, factory parks, ports) and use it as a proxy for overall initiative progress. Unlike manufacturing GDP share (which requires economic literacy to track), infrastructure is experiential - consumers drive on new highways, see construction, and share visual evidence. The +38.9% NSS reflects this tangibility advantage. However, the 155 negative items reveal a gap between infrastructure announcements and completion - consumers are increasingly distinguishing between 'inaugurated' and 'operational,' applying a completion discount to infrastructure claims. The discourse is shifting from 'are we building?' (yes) to 'are we finishing?' (debatable).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Infrastructure is currently the most persuasive proof point for Make in India because it is visually verifiable. But this advantage creates a new vulnerability: infrastructure projects that stall, downscale, or fail to deliver promised timelines will be documented and shared by the same social media audience that currently celebrates them. The 'completion discount' visible in the negative items will grow if inauguration-to-operation gaps widen. The opportunity is to shift the narrative from announcing projects to showcasing operational outcomes (factories running, goods moving, jobs at the site).</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'Built and Running' content series that returns to previously inaugurated infrastructure projects 6-12 months later to document actual operations. Film at operational industrial corridors, functioning logistics parks, and active factory zones rather than at ribbon-cutting ceremonies. Format as 2-3 minute YouTube documentaries and Instagram carousel posts with before/during/after photos. Publish monthly, targeting 12 projects in Year 1. Key metric to feature: actual throughput (trucks per day, containers shipped, workers employed) rather than investment amount.</w:t>
      </w:r>
    </w:p>
    <w:p>
      <w:pPr>
        <w:pStyle w:val="Heading3"/>
        <w:jc w:val="left"/>
      </w:pPr>
      <w:r>
        <w:rPr>
          <w:rFonts w:ascii="Lato" w:hAnsi="Lato"/>
          <w:b/>
          <w:color w:val="1E3A5F"/>
          <w:sz w:val="26"/>
        </w:rPr>
        <w:t>Further Validation</w:t>
      </w:r>
    </w:p>
    <w:p>
      <w:pPr>
        <w:spacing w:after="120" w:before="0"/>
      </w:pPr>
      <w:r>
        <w:rPr>
          <w:rFonts w:ascii="Lato" w:hAnsi="Lato"/>
          <w:b w:val="0"/>
          <w:i w:val="0"/>
          <w:sz w:val="22"/>
        </w:rPr>
        <w:t>Design a content effectiveness study (n=800, online, pre-post design) testing whether 'Built and Running' operational content generates higher Make in India confidence than traditional inauguration content. Show Group A a typical inauguration video; show Group B an operational update of the same project 12 months later. Research question: 'Does operational evidence of completed infrastructure change Make in India sentiment more than inauguration announcements?'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"The Mumbai-Ahmedabad bullet train project's budget has significantly increased, from an initial ₹1.08 lakh crore (around $15-17 billion USD in 2017) to a revised estimate of nearly ₹2 lakh crore (approx. $24 billion USD) due to delays and rising costs, with Japan funding most of the loan but India covering overruns, according to early 2026 reports."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"We cannot overlook the fact that the current govt came into power through violence..and foreign support...It fears the supporters of the previous democratic govt...My feel is,  the people are divided...what we see today is the vocal "minority" who grabbed power...and some opportunity seekers...If the mayhem continues...and the army doesn't  takeover the admin, ...the extremist minority may strengthen its  grip on power...and  India may have another "enemy" at its border...."</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04. Manufacturing GDP &amp; Economic Fundamentals</w:t>
      </w:r>
    </w:p>
    <w:p>
      <w:pPr>
        <w:spacing w:after="160"/>
      </w:pPr>
      <w:r>
        <w:rPr>
          <w:rFonts w:ascii="Lato" w:hAnsi="Lato"/>
          <w:b w:val="0"/>
          <w:i w:val="0"/>
          <w:color w:val="6B7280"/>
          <w:sz w:val="18"/>
        </w:rPr>
        <w:t>n=775</w:t>
      </w:r>
      <w:r>
        <w:rPr>
          <w:rFonts w:ascii="Lato" w:hAnsi="Lato"/>
          <w:b w:val="0"/>
          <w:i w:val="0"/>
          <w:color w:val="374151"/>
          <w:sz w:val="18"/>
        </w:rPr>
        <w:t xml:space="preserve">  |  Confidence: </w:t>
      </w:r>
      <w:r>
        <w:rPr>
          <w:rFonts w:ascii="Lato" w:hAnsi="Lato"/>
          <w:b/>
          <w:i w:val="0"/>
          <w:color w:val="D97706"/>
          <w:sz w:val="18"/>
        </w:rPr>
        <w:t>64%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22.0%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0" name="Picture 10"/>
            <wp:cNvGraphicFramePr>
              <a:graphicFrameLocks noChangeAspect="1"/>
            </wp:cNvGraphicFramePr>
            <a:graphic>
              <a:graphicData uri="http://schemas.openxmlformats.org/drawingml/2006/picture">
                <pic:pic>
                  <pic:nvPicPr>
                    <pic:cNvPr id="0" name="chart_radar_INS_008.png"/>
                    <pic:cNvPicPr/>
                  </pic:nvPicPr>
                  <pic:blipFill>
                    <a:blip r:embed="rId18"/>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Manufacturing GDP &amp; Economic Fundamentals</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'Manufacturing GDP &amp; Economic Fundamentals' theme has 775 items (22.0% prevalence) with NSS of +40.5%. Sentiment: positive 399, negative 100, neutral 101, mixed 138. The unusually high 'mixed' count (138, nearly equal to negative + neutral) suggests consumers are engaging with economic complexity rather than taking simplistic positions. Discussion focuses on manufacturing's stuck GDP share (14-17% vs 25% target), economic reforms, and growth trajectory.</w:t>
      </w:r>
    </w:p>
    <w:p>
      <w:pPr>
        <w:pStyle w:val="Heading3"/>
        <w:jc w:val="left"/>
      </w:pPr>
      <w:r>
        <w:rPr>
          <w:rFonts w:ascii="Lato" w:hAnsi="Lato"/>
          <w:b/>
          <w:color w:val="1E3A5F"/>
          <w:sz w:val="26"/>
        </w:rPr>
        <w:t>What it Means</w:t>
      </w:r>
    </w:p>
    <w:p>
      <w:pPr>
        <w:spacing w:after="120" w:before="0"/>
      </w:pPr>
      <w:r>
        <w:rPr>
          <w:rFonts w:ascii="Lato" w:hAnsi="Lato"/>
          <w:b w:val="0"/>
          <w:i w:val="0"/>
          <w:sz w:val="22"/>
        </w:rPr>
        <w:t>The public is tracking a metric the government wishes it was not - manufacturing's share of GDP. The 14-17% vs 25% target gap has become a widely cited data point in consumer discourse, functioning as a scoreboard that the initiative is measured against and currently losing by. The high mixed sentiment (138 items) reveals a population that is economically literate enough to hold two truths simultaneously: India is growing (positive) but manufacturing's share is not (concerning). This data-literate audience cannot be persuaded with anecdotes or isolated success stories - they are watching the structural numbers. The +40.5% NSS is driven by optimism about the trajectory rather than satisfaction with the current state.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25% GDP target has become a liability - it is specific enough to measure failure against and ambitious enough to guarantee shortfall in the medium term. Every quarter's GDP data release becomes an implicit report card for Make in India. However, the audience's economic literacy is also an asset: they are capable of understanding nuance (e.g., that quality of manufacturing matters more than quantity, or that services-led growth is also valid). The risk is that policy communicators continue to cite the 25% target without reframing what success looks like.</w:t>
      </w:r>
    </w:p>
    <w:p>
      <w:pPr>
        <w:pStyle w:val="Heading3"/>
        <w:jc w:val="left"/>
      </w:pPr>
      <w:r>
        <w:rPr>
          <w:rFonts w:ascii="Lato" w:hAnsi="Lato"/>
          <w:b/>
          <w:color w:val="1E3A5F"/>
          <w:sz w:val="26"/>
        </w:rPr>
        <w:t>Recommendation</w:t>
      </w:r>
    </w:p>
    <w:p>
      <w:pPr>
        <w:spacing w:after="120" w:before="0"/>
      </w:pPr>
      <w:r>
        <w:rPr>
          <w:rFonts w:ascii="Lato" w:hAnsi="Lato"/>
          <w:b w:val="0"/>
          <w:i w:val="0"/>
          <w:sz w:val="22"/>
        </w:rPr>
        <w:t>Reframe the manufacturing GDP narrative with a 'Manufacturing 2.0' communication that introduces complementary metrics alongside GDP share: manufacturing exports as percentage of total exports, value-added per manufacturing worker, manufacturing GVA growth rate, and number of GI-tagged products. Publish a bi-annual 'State of Indian Manufacturing' report with these 4-5 metrics, presented as a dashboard rather than a single number. Distribute through business media (Economic Times, Mint, Business Standard) and business YouTube channels that the economically literate audience already follows.</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an information experiment (n=800, online, randomised control) presenting three groups with different framings of manufacturing progress: (A) GDP share only (14-17%), (B) GDP share plus 4 complementary metrics, (C) complementary metrics only. Measure Make in India approval before and after exposure. Research question: 'Does multi-metric framing of manufacturing progress improve public confidence compared to the single GDP share metric?'</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"@JayantBhandari5 India received $70B+ FDI in manufacturing (2023-24) - firms don’t invest at scale in “uneconomical” countries.Also manufacturing unit costs are 20-30% lower than China for electronics, auto &amp;amp; chemicals. Again barking things on C without facts"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"@PiyushGoyal PIYUSH GOYAL : OUR GDP GROTH IS GOOD. OUR GDP IS 4th HIGHEST IN WORLD. GERMAN'S IS 3rd HIGHEST. PM MODI SAYS OUR GDP WILL BE 3rd HIGHEST IN WORLD IN SHORT TIME. BUT PM MODI REVEALS POPULATION OF GERMAN &amp;amp; INDIA WITH GDP?"</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05. Employment &amp; Workforce Development</w:t>
      </w:r>
    </w:p>
    <w:p>
      <w:pPr>
        <w:spacing w:after="160"/>
      </w:pPr>
      <w:r>
        <w:rPr>
          <w:rFonts w:ascii="Lato" w:hAnsi="Lato"/>
          <w:b w:val="0"/>
          <w:i w:val="0"/>
          <w:color w:val="6B7280"/>
          <w:sz w:val="18"/>
        </w:rPr>
        <w:t>n=528</w:t>
      </w:r>
      <w:r>
        <w:rPr>
          <w:rFonts w:ascii="Lato" w:hAnsi="Lato"/>
          <w:b w:val="0"/>
          <w:i w:val="0"/>
          <w:color w:val="374151"/>
          <w:sz w:val="18"/>
        </w:rPr>
        <w:t xml:space="preserve">  |  Confidence: </w:t>
      </w:r>
      <w:r>
        <w:rPr>
          <w:rFonts w:ascii="Lato" w:hAnsi="Lato"/>
          <w:b/>
          <w:i w:val="0"/>
          <w:color w:val="D97706"/>
          <w:sz w:val="18"/>
        </w:rPr>
        <w:t>62% (Medium)</w:t>
      </w:r>
      <w:r>
        <w:rPr>
          <w:rFonts w:ascii="Lato" w:hAnsi="Lato"/>
          <w:b w:val="0"/>
          <w:i w:val="0"/>
          <w:color w:val="374151"/>
          <w:sz w:val="18"/>
        </w:rPr>
        <w:t xml:space="preserve">  |  Signal: </w:t>
      </w:r>
      <w:r>
        <w:rPr>
          <w:rFonts w:ascii="Lato" w:hAnsi="Lato"/>
          <w:b/>
          <w:i w:val="0"/>
          <w:color w:val="374151"/>
          <w:sz w:val="18"/>
        </w:rPr>
        <w:t>58% (Moderate)</w:t>
      </w:r>
      <w:r>
        <w:rPr>
          <w:rFonts w:ascii="Lato" w:hAnsi="Lato"/>
          <w:b w:val="0"/>
          <w:i w:val="0"/>
          <w:color w:val="6B7280"/>
          <w:sz w:val="18"/>
        </w:rPr>
        <w:t xml:space="preserve">  |  15.0% of Dataset</w:t>
      </w:r>
      <w:r>
        <w:rPr>
          <w:rFonts w:ascii="Lato" w:hAnsi="Lato"/>
          <w:b w:val="0"/>
          <w:i w:val="0"/>
          <w:color w:val="6B7280"/>
          <w:sz w:val="18"/>
        </w:rPr>
        <w:t xml:space="preserve">  |  NSS: </w:t>
      </w:r>
      <w:r>
        <w:rPr>
          <w:rFonts w:ascii="Lato" w:hAnsi="Lato"/>
          <w:b/>
          <w:i w:val="0"/>
          <w:color w:val="059669"/>
          <w:sz w:val="18"/>
        </w:rPr>
        <w:t>+28%</w:t>
      </w:r>
    </w:p>
    <w:p>
      <w:pPr>
        <w:jc w:val="center"/>
      </w:pPr>
      <w:r>
        <w:drawing>
          <wp:inline xmlns:a="http://schemas.openxmlformats.org/drawingml/2006/main" xmlns:pic="http://schemas.openxmlformats.org/drawingml/2006/picture">
            <wp:extent cx="3474720" cy="3547185"/>
            <wp:docPr id="11" name="Picture 11"/>
            <wp:cNvGraphicFramePr>
              <a:graphicFrameLocks noChangeAspect="1"/>
            </wp:cNvGraphicFramePr>
            <a:graphic>
              <a:graphicData uri="http://schemas.openxmlformats.org/drawingml/2006/picture">
                <pic:pic>
                  <pic:nvPicPr>
                    <pic:cNvPr id="0" name="chart_radar_INS_012.png"/>
                    <pic:cNvPicPr/>
                  </pic:nvPicPr>
                  <pic:blipFill>
                    <a:blip r:embed="rId19"/>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Employment &amp; Workforce Development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'Employment &amp; Workforce Development' theme has 528 items (15.0% prevalence) with NSS of +27.5%. Sentiment: positive 243, negative 103, neutral 75, mixed 88. This is a contested theme with discussion covering job creation (or lack thereof), youth unemployment, women in manufacturing, skill development, and the gap between manufacturing investment and employment outcomes.</w:t>
      </w:r>
    </w:p>
    <w:p>
      <w:pPr>
        <w:pStyle w:val="Heading3"/>
        <w:jc w:val="left"/>
      </w:pPr>
      <w:r>
        <w:rPr>
          <w:rFonts w:ascii="Lato" w:hAnsi="Lato"/>
          <w:b/>
          <w:color w:val="1E3A5F"/>
          <w:sz w:val="26"/>
        </w:rPr>
        <w:t>What it Means</w:t>
      </w:r>
    </w:p>
    <w:p>
      <w:pPr>
        <w:spacing w:after="120" w:before="0"/>
      </w:pPr>
      <w:r>
        <w:rPr>
          <w:rFonts w:ascii="Lato" w:hAnsi="Lato"/>
          <w:b w:val="0"/>
          <w:i w:val="0"/>
          <w:sz w:val="22"/>
        </w:rPr>
        <w:t>Employment is the theme where Make in India's credibility is most personally tested - consumers do not evaluate job creation through statistics but through their own experience and that of people they know. The contested nature of this theme (103 negative, 88 mixed) reveals a disconnect between macro-level job creation announcements and micro-level employment experience. The +27.5% NSS masks a bimodal distribution: those with direct or proximate experience of manufacturing employment are more positive, while those without it default to unemployment statistics and media narratives. The 88 mixed-sentiment items are particularly revealing - they represent consumers who acknowledge jobs are being created but question their quality (contract work, low wages, poor conditions), introducing a 'job quality' dimension that pure job count metrics do not capture.</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Job creation is the ultimate accountability metric for Make in India - it is the promise that connects industrial policy to individual lives. If the initiative cannot credibly demonstrate quality employment outcomes (not just headcount), no amount of GDP data, infrastructure photos, or brand success stories will sustain public support. The 'job quality' concern emerging in the mixed-sentiment items is an early signal of a narrative shift from 'any job is good' to 'what kind of job?' This mirrors the assembly-vs-manufacturing debate (THM_10) at the human level: consumers are asking whether Make in India creates careers or just positions.</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'Careers in Manufacturing' storytelling campaign featuring 20-30 real workers across manufacturing sectors - their career progression, skill development, and income growth over 3-5 years. Prioritise women in manufacturing and youth from Tier 2-3 cities. Format as 90-second Instagram Reels and YouTube Shorts, distributed through job-seeking platforms (LinkedIn India, Naukri, Apna) as well as general social media. Each story should include specific numbers: starting salary, current salary, skills acquired, role progression. Launch during a national employment week or skill development milestone.</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mixed-methods study combining a quantitative survey (n=1,000, manufacturing workers across 5 states) measuring job satisfaction, career progression, and skill development with 30 qualitative depth interviews exploring the lived experience of manufacturing employment. Research question: 'Do workers in Make in India-era manufacturing facilities report higher job satisfaction, career mobility, and skill development than workers in pre-2014 manufacturing, and what specific factors drive the difference?'</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"@DEEP2287 @MumbaichaDon @RahulGandhi @nsitharaman @BJP4India @narendramodi @DEEP2287 Shiv Sena acknowledges the concerns regarding unemployment and economic challenges faced by the people. #MeriMumbaiMeraVote #MumbaiNextGenShinde"</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06. US Tariff War &amp; Trade Policy</w:t>
      </w:r>
    </w:p>
    <w:p>
      <w:pPr>
        <w:spacing w:after="160"/>
      </w:pPr>
      <w:r>
        <w:rPr>
          <w:rFonts w:ascii="Lato" w:hAnsi="Lato"/>
          <w:b w:val="0"/>
          <w:i w:val="0"/>
          <w:color w:val="6B7280"/>
          <w:sz w:val="18"/>
        </w:rPr>
        <w:t>n=572</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53% (Moderate)</w:t>
      </w:r>
      <w:r>
        <w:rPr>
          <w:rFonts w:ascii="Lato" w:hAnsi="Lato"/>
          <w:b w:val="0"/>
          <w:i w:val="0"/>
          <w:color w:val="6B7280"/>
          <w:sz w:val="18"/>
        </w:rPr>
        <w:t xml:space="preserve">  |  16.3% of Dataset</w:t>
      </w:r>
      <w:r>
        <w:rPr>
          <w:rFonts w:ascii="Lato" w:hAnsi="Lato"/>
          <w:b w:val="0"/>
          <w:i w:val="0"/>
          <w:color w:val="6B7280"/>
          <w:sz w:val="18"/>
        </w:rPr>
        <w:t xml:space="preserve">  |  NSS: </w:t>
      </w:r>
      <w:r>
        <w:rPr>
          <w:rFonts w:ascii="Lato" w:hAnsi="Lato"/>
          <w:b/>
          <w:i w:val="0"/>
          <w:color w:val="059669"/>
          <w:sz w:val="18"/>
        </w:rPr>
        <w:t>+23%</w:t>
      </w:r>
    </w:p>
    <w:p>
      <w:pPr>
        <w:jc w:val="center"/>
      </w:pPr>
      <w:r>
        <w:drawing>
          <wp:inline xmlns:a="http://schemas.openxmlformats.org/drawingml/2006/main" xmlns:pic="http://schemas.openxmlformats.org/drawingml/2006/picture">
            <wp:extent cx="3474720" cy="3547185"/>
            <wp:docPr id="12" name="Picture 12"/>
            <wp:cNvGraphicFramePr>
              <a:graphicFrameLocks noChangeAspect="1"/>
            </wp:cNvGraphicFramePr>
            <a:graphic>
              <a:graphicData uri="http://schemas.openxmlformats.org/drawingml/2006/picture">
                <pic:pic>
                  <pic:nvPicPr>
                    <pic:cNvPr id="0" name="chart_radar_INS_009.png"/>
                    <pic:cNvPicPr/>
                  </pic:nvPicPr>
                  <pic:blipFill>
                    <a:blip r:embed="rId20"/>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US Tariff War &amp; Trade Policy</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'US Tariff War &amp; Trade Policy' theme has 572 items (16.3% prevalence) with NSS of +23.3%. Sentiment: positive 248, negative 117, neutral 124, mixed 73. This is a contested theme. Discussion covers US tariffs on Indian goods, retaliatory measures, boycott of American brands, and broader trade policy realignment.</w:t>
      </w:r>
    </w:p>
    <w:p>
      <w:pPr>
        <w:pStyle w:val="Heading3"/>
        <w:jc w:val="left"/>
      </w:pPr>
      <w:r>
        <w:rPr>
          <w:rFonts w:ascii="Lato" w:hAnsi="Lato"/>
          <w:b/>
          <w:color w:val="1E3A5F"/>
          <w:sz w:val="26"/>
        </w:rPr>
        <w:t>What it Means</w:t>
      </w:r>
    </w:p>
    <w:p>
      <w:pPr>
        <w:spacing w:after="120" w:before="0"/>
      </w:pPr>
      <w:r>
        <w:rPr>
          <w:rFonts w:ascii="Lato" w:hAnsi="Lato"/>
          <w:b w:val="0"/>
          <w:i w:val="0"/>
          <w:sz w:val="22"/>
        </w:rPr>
        <w:t>The US tariff conflict has created an unexpected accelerant for Make in India sentiment - the external threat is converting passive supporters into active advocates. The 'boycott American brands' movement visible in the data represents consumers using their purchasing power as a geopolitical statement, mirroring the Swadeshi dynamic (THM_03) but with a specific adversary rather than a generic aspiration. The +23.3% NSS is moderate because the audience is split between those who see tariffs as an opportunity (forcing India to build domestic capacity) and those who fear economic damage (export losses, price increases). This split maps onto an optimist-pragmatist divide that crosscuts the usual political alignments around Make in India.</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tariff situation creates a time-limited opportunity to convert trade anxiety into manufacturing investment advocacy. Consumers who might normally be indifferent to industrial policy become receptive when framed as economic defence against foreign pressure. However, this window closes if tariff tensions de-escalate or if Indian retaliatory tariffs visibly increase consumer prices domestically. The 117 negative items are predominantly concerned about price impacts on consumers, not about the principle of self-reliance.</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rapid-response 'Make It Here' campaign that connects tariff news to specific Indian manufacturing alternatives. Each time a major tariff announcement generates social media discussion, deploy within 48 hours a content package showing which Indian companies make the affected products domestically. Use a news-jacking approach on Twitter and Instagram. Partner with Indian industry bodies (CII, FICCI) for real-time data on Indian alternatives. This turns a reactive news cycle into a proactive manufacturing showcase.</w:t>
      </w:r>
    </w:p>
    <w:p>
      <w:pPr>
        <w:pStyle w:val="Heading3"/>
        <w:jc w:val="left"/>
      </w:pPr>
      <w:r>
        <w:rPr>
          <w:rFonts w:ascii="Lato" w:hAnsi="Lato"/>
          <w:b/>
          <w:color w:val="1E3A5F"/>
          <w:sz w:val="26"/>
        </w:rPr>
        <w:t>Further Validation</w:t>
      </w:r>
    </w:p>
    <w:p>
      <w:pPr>
        <w:spacing w:after="120" w:before="0"/>
      </w:pPr>
      <w:r>
        <w:rPr>
          <w:rFonts w:ascii="Lato" w:hAnsi="Lato"/>
          <w:b w:val="0"/>
          <w:i w:val="0"/>
          <w:sz w:val="22"/>
        </w:rPr>
        <w:t>Commission a consumer sentiment tracker (n=500, fortnightly online pulse, 6-month duration) measuring how tariff-related news events correlate with purchase intent for Indian-made alternatives. Research question: 'Does exposure to tariff-related news increase stated and actual purchase of Indian-made products, and does this effect persist beyond the news cycle or decay within 2 weeks?'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"This is not a failure of Indian foreign policy. Rather, it reflects President Trump’s discomfort with India’s rapid growth over the years.</w:t>
        <w:br/>
        <w:t>If India were in a position like Pakistan-begging for financial aid-Trump would have continued to call us a close friend. However, when a friend becomes strong and starts negotiating on equal terms, Trump feels insecure and resorts to such unnecessary actions.</w:t>
        <w:br/>
        <w:t>Prime Minister Modi is doing a commendable job, and India is steadily growing stronger.</w:t>
        <w:br/>
        <w:t>Jai Hind. 🇮🇳"</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"Why you idiotic journalists fromIndia talk about 200% tariffs on imports from USA to India?"</w:t>
      </w:r>
      <w:r>
        <w:rPr>
          <w:rFonts w:ascii="Lato" w:hAnsi="Lato"/>
          <w:b w:val="0"/>
          <w:i w:val="0"/>
          <w:color w:val="6B7280"/>
          <w:sz w:val="18"/>
        </w:rPr>
        <w:t xml:space="preserve">  - youtube</w:t>
      </w:r>
    </w:p>
    <w:p>
      <w:pPr>
        <w:spacing w:before="80" w:after="80"/>
        <w:pBdr>
          <w:bottom w:val="single" w:sz="4" w:space="1" w:color="6B7280"/>
        </w:pBdr>
      </w:pPr>
    </w:p>
    <w:p>
      <w:pPr>
        <w:pStyle w:val="Heading2"/>
        <w:jc w:val="left"/>
      </w:pPr>
      <w:r>
        <w:rPr>
          <w:rFonts w:ascii="Lato" w:hAnsi="Lato"/>
          <w:b/>
          <w:color w:val="1E3A5F"/>
          <w:sz w:val="32"/>
        </w:rPr>
        <w:t>07. PLI Scheme &amp; Electronics Manufacturing</w:t>
      </w:r>
    </w:p>
    <w:p>
      <w:pPr>
        <w:spacing w:after="160"/>
      </w:pPr>
      <w:r>
        <w:rPr>
          <w:rFonts w:ascii="Lato" w:hAnsi="Lato"/>
          <w:b w:val="0"/>
          <w:i w:val="0"/>
          <w:color w:val="6B7280"/>
          <w:sz w:val="18"/>
        </w:rPr>
        <w:t>n=444</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48% (Weak)</w:t>
      </w:r>
      <w:r>
        <w:rPr>
          <w:rFonts w:ascii="Lato" w:hAnsi="Lato"/>
          <w:b w:val="0"/>
          <w:i w:val="0"/>
          <w:color w:val="6B7280"/>
          <w:sz w:val="18"/>
        </w:rPr>
        <w:t xml:space="preserve">  |  12.6% of Dataset</w:t>
      </w:r>
      <w:r>
        <w:rPr>
          <w:rFonts w:ascii="Lato" w:hAnsi="Lato"/>
          <w:b w:val="0"/>
          <w:i w:val="0"/>
          <w:color w:val="6B7280"/>
          <w:sz w:val="18"/>
        </w:rPr>
        <w:t xml:space="preserve">  |  NSS: </w:t>
      </w:r>
      <w:r>
        <w:rPr>
          <w:rFonts w:ascii="Lato" w:hAnsi="Lato"/>
          <w:b/>
          <w:i w:val="0"/>
          <w:color w:val="059669"/>
          <w:sz w:val="18"/>
        </w:rPr>
        <w:t>+41%</w:t>
      </w:r>
    </w:p>
    <w:p>
      <w:pPr>
        <w:jc w:val="center"/>
      </w:pPr>
      <w:r>
        <w:drawing>
          <wp:inline xmlns:a="http://schemas.openxmlformats.org/drawingml/2006/main" xmlns:pic="http://schemas.openxmlformats.org/drawingml/2006/picture">
            <wp:extent cx="3474720" cy="3547185"/>
            <wp:docPr id="13" name="Picture 13"/>
            <wp:cNvGraphicFramePr>
              <a:graphicFrameLocks noChangeAspect="1"/>
            </wp:cNvGraphicFramePr>
            <a:graphic>
              <a:graphicData uri="http://schemas.openxmlformats.org/drawingml/2006/picture">
                <pic:pic>
                  <pic:nvPicPr>
                    <pic:cNvPr id="0" name="chart_radar_INS_002.png"/>
                    <pic:cNvPicPr/>
                  </pic:nvPicPr>
                  <pic:blipFill>
                    <a:blip r:embed="rId21"/>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PLI Scheme &amp; Electronics Manufacturing</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'PLI Scheme &amp; Electronics Manufacturing' theme contains 444 items (12.6% prevalence) with the second-highest positive sentiment in the corpus (NSS +41.2%). Sentiment distribution: positive 239, negative 58, neutral 93, mixed 49. Discussion centres on Foxconn, Apple iPhone production, and semiconductor initiatives across all four platforms.</w:t>
      </w:r>
    </w:p>
    <w:p>
      <w:pPr>
        <w:pStyle w:val="Heading3"/>
        <w:jc w:val="left"/>
      </w:pPr>
      <w:r>
        <w:rPr>
          <w:rFonts w:ascii="Lato" w:hAnsi="Lato"/>
          <w:b/>
          <w:color w:val="1E3A5F"/>
          <w:sz w:val="26"/>
        </w:rPr>
        <w:t>What it Means</w:t>
      </w:r>
    </w:p>
    <w:p>
      <w:pPr>
        <w:spacing w:after="120" w:before="0"/>
      </w:pPr>
      <w:r>
        <w:rPr>
          <w:rFonts w:ascii="Lato" w:hAnsi="Lato"/>
          <w:b w:val="0"/>
          <w:i w:val="0"/>
          <w:sz w:val="22"/>
        </w:rPr>
        <w:t>PLI-driven electronics manufacturing has become Make in India's 'proof of concept' in public consciousness - the tangible, brandable evidence that the initiative produces real output. Consumers anchor their belief in the broader programme to specific, visible wins like iPhone assembly lines and Foxconn factories. This functions as a cognitive shortcut: rather than evaluating complex industrial policy, people point to iPhones with 'Assembled in India' labels. The high positive sentiment (+41.2% NSS) suggests this proof point is working, but it carries a hidden fragility - the narrative is concentrated around a single company (Apple) and a single product category (smartphones), making the entire perception of manufacturing success vulnerable to any supply chain shift by one foreign firm.</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Over-reliance on Apple/Foxconn as the poster child for PLI creates single-point-of-failure risk for the broader Make in India narrative. If Apple were to shift production to Vietnam or Indonesia - even partially - the reputational damage would extend far beyond electronics to undermine confidence in the entire initiative. Conversely, diversifying the visible success stories across sectors would make the narrative more resilient.</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'PLI Success Stories' content series featuring non-electronics PLI beneficiaries - one per sector, one per month. Each story should name the company, the product, the jobs created, and the before/after production numbers. Distribute through the same channels where electronics PLI discussion is already thriving (Reddit r/IndiaSpeaks, YouTube tech channels, Twitter policy accounts). Target 6 sectors in 6 months to dilute the Apple concentration.</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brand association study (n=1,500, online panel, Tier 1-3 cities) asking respondents to name companies they associate with Make in India. Measure unaided recall to quantify the Apple/Foxconn concentration hypothesis. Research question: 'Beyond smartphones, which product categories do consumers associate with successful Indian manufacturing?'</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"Let's run a campaign and request apple to shutdown their production and sell mobiles in india"</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"@JayantBhandari5 India received $70B+ FDI in manufacturing (2023-24) - firms don’t invest at scale in “uneconomical” countries.Also manufacturing unit costs are 20-30% lower than China for electronics, auto &amp;amp; chemicals. Again barking things on C without facts"</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"@JayantBhandari5 Some states have already fixed this. An iPhone factory in India now houses 100k workers. Nice stuff."</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08. Vocal for Local &amp; Swadeshi Movement</w:t>
      </w:r>
    </w:p>
    <w:p>
      <w:pPr>
        <w:spacing w:after="160"/>
      </w:pPr>
      <w:r>
        <w:rPr>
          <w:rFonts w:ascii="Lato" w:hAnsi="Lato"/>
          <w:b w:val="0"/>
          <w:i w:val="0"/>
          <w:color w:val="6B7280"/>
          <w:sz w:val="18"/>
        </w:rPr>
        <w:t>n=670</w:t>
      </w:r>
      <w:r>
        <w:rPr>
          <w:rFonts w:ascii="Lato" w:hAnsi="Lato"/>
          <w:b w:val="0"/>
          <w:i w:val="0"/>
          <w:color w:val="374151"/>
          <w:sz w:val="18"/>
        </w:rPr>
        <w:t xml:space="preserve">  |  Confidence: </w:t>
      </w:r>
      <w:r>
        <w:rPr>
          <w:rFonts w:ascii="Lato" w:hAnsi="Lato"/>
          <w:b/>
          <w:i w:val="0"/>
          <w:color w:val="D97706"/>
          <w:sz w:val="18"/>
        </w:rPr>
        <w:t>61%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19.1% of Dataset</w:t>
      </w:r>
      <w:r>
        <w:rPr>
          <w:rFonts w:ascii="Lato" w:hAnsi="Lato"/>
          <w:b w:val="0"/>
          <w:i w:val="0"/>
          <w:color w:val="6B7280"/>
          <w:sz w:val="18"/>
        </w:rPr>
        <w:t xml:space="preserve">  |  NSS: </w:t>
      </w:r>
      <w:r>
        <w:rPr>
          <w:rFonts w:ascii="Lato" w:hAnsi="Lato"/>
          <w:b/>
          <w:i w:val="0"/>
          <w:color w:val="059669"/>
          <w:sz w:val="18"/>
        </w:rPr>
        <w:t>+57%</w:t>
      </w:r>
    </w:p>
    <w:p>
      <w:pPr>
        <w:jc w:val="center"/>
      </w:pPr>
      <w:r>
        <w:drawing>
          <wp:inline xmlns:a="http://schemas.openxmlformats.org/drawingml/2006/main" xmlns:pic="http://schemas.openxmlformats.org/drawingml/2006/picture">
            <wp:extent cx="3474720" cy="3547185"/>
            <wp:docPr id="14" name="Picture 14"/>
            <wp:cNvGraphicFramePr>
              <a:graphicFrameLocks noChangeAspect="1"/>
            </wp:cNvGraphicFramePr>
            <a:graphic>
              <a:graphicData uri="http://schemas.openxmlformats.org/drawingml/2006/picture">
                <pic:pic>
                  <pic:nvPicPr>
                    <pic:cNvPr id="0" name="chart_radar_INS_003.png"/>
                    <pic:cNvPicPr/>
                  </pic:nvPicPr>
                  <pic:blipFill>
                    <a:blip r:embed="rId22"/>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Vocal for Local &amp; Swadeshi Movement</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'Vocal for Local &amp; Swadeshi Movement' theme has 670 items (19.1% prevalence) with the highest NSS in the corpus at +57.1%. Sentiment distribution: positive 433, negative 58, neutral 112, mixed 54. The theme spans all four platforms and is not flagged as contested.</w:t>
      </w:r>
    </w:p>
    <w:p>
      <w:pPr>
        <w:pStyle w:val="Heading3"/>
        <w:jc w:val="left"/>
      </w:pPr>
      <w:r>
        <w:rPr>
          <w:rFonts w:ascii="Lato" w:hAnsi="Lato"/>
          <w:b/>
          <w:color w:val="1E3A5F"/>
          <w:sz w:val="26"/>
        </w:rPr>
        <w:t>What it Means</w:t>
      </w:r>
    </w:p>
    <w:p>
      <w:pPr>
        <w:spacing w:after="120" w:before="0"/>
      </w:pPr>
      <w:r>
        <w:rPr>
          <w:rFonts w:ascii="Lato" w:hAnsi="Lato"/>
          <w:b w:val="0"/>
          <w:i w:val="0"/>
          <w:sz w:val="22"/>
        </w:rPr>
        <w:t>The 'Vocal for Local' framing has succeeded in converting economic nationalism from a top-down policy directive into a consumer identity marker. The +57.1% NSS - strongest in the entire corpus - suggests consumers derive emotional satisfaction from choosing Indian brands, treating it as an act of personal agency rather than compliance. This is not policy approval; it is identity expression. The low negative count (58 out of 670) indicates that even sceptics of Make in India policy rarely attack the buy-Indian sentiment directly - criticism targets government execution, not the Swadeshi aspiration itself. This separation of aspiration from execution creates a strategic buffer: the emotional brand of Indian manufacturing is more resilient than the policy brand.</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Swadeshi consumer identity is an asset that exists independently of government performance metrics. Indian brands can leverage this identity layer without needing to reference government schemes. However, the identity is currently undifferentiated - consumers express generic 'buy Indian' sentiment without clear quality expectations. If Indian brands fail to attach quality standards to the Swadeshi identity, it risks becoming hollow nationalism that consumers eventually abandon when cheaper or better foreign alternatives appear.</w:t>
      </w:r>
    </w:p>
    <w:p>
      <w:pPr>
        <w:pStyle w:val="Heading3"/>
        <w:jc w:val="left"/>
      </w:pPr>
      <w:r>
        <w:rPr>
          <w:rFonts w:ascii="Lato" w:hAnsi="Lato"/>
          <w:b/>
          <w:color w:val="1E3A5F"/>
          <w:sz w:val="26"/>
        </w:rPr>
        <w:t>Recommendation</w:t>
      </w:r>
    </w:p>
    <w:p>
      <w:pPr>
        <w:spacing w:after="120" w:before="0"/>
      </w:pPr>
      <w:r>
        <w:rPr>
          <w:rFonts w:ascii="Lato" w:hAnsi="Lato"/>
          <w:b w:val="0"/>
          <w:i w:val="0"/>
          <w:sz w:val="22"/>
        </w:rPr>
        <w:t>Partner with 5-8 high-profile D2C Indian brands (e.g., boAt, Mamaearth, Noise) to co-create a voluntary 'Made Right in India' quality certification that consumers can look for. The certification should cover manufacturing location, component sourcing percentage, and quality testing. Launch with a joint Instagram and YouTube campaign during Independence Day or Republic Day, when Swadeshi sentiment peaks. Budget: co-funded with participating brands, government contribution limited to certification framework and promotion.</w:t>
      </w:r>
    </w:p>
    <w:p>
      <w:pPr>
        <w:pStyle w:val="Heading3"/>
        <w:jc w:val="left"/>
      </w:pPr>
      <w:r>
        <w:rPr>
          <w:rFonts w:ascii="Lato" w:hAnsi="Lato"/>
          <w:b/>
          <w:color w:val="1E3A5F"/>
          <w:sz w:val="26"/>
        </w:rPr>
        <w:t>Further Validation</w:t>
      </w:r>
    </w:p>
    <w:p>
      <w:pPr>
        <w:spacing w:after="120" w:before="0"/>
      </w:pPr>
      <w:r>
        <w:rPr>
          <w:rFonts w:ascii="Lato" w:hAnsi="Lato"/>
          <w:b w:val="0"/>
          <w:i w:val="0"/>
          <w:sz w:val="22"/>
        </w:rPr>
        <w:t>Run a willingness-to-pay experiment (n=800, online, A/B design) testing whether consumers will pay a 5-15% premium for products carrying a 'Made Right in India' quality certification vs identical products without it. Research question: 'Does formalizing the Swadeshi identity into a quality mark increase purchase intent and price tolerance, or does it reduce the emotional appeal by making it transactional?'</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 xml:space="preserve">"Bro if you follow </w:t>
        <w:br/>
        <w:t xml:space="preserve">Use Swadeshi </w:t>
        <w:br/>
        <w:t xml:space="preserve">Means stop making reals </w:t>
        <w:br/>
        <w:t>Because youtube is foreign"</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"@FI_InvestIndia Buying Indian Products are ok and agreed, that amounts to buying local. But most of the local Kirana stores are inefficient in pricing by design ( due to the retail margins, distributor, Super stockist, C&amp;amp;F etc etc ) , and we cannot blame a common man if they hunt for bargains"</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09. Assembly vs Manufacturing: The Value-Add Question</w:t>
      </w:r>
    </w:p>
    <w:p>
      <w:pPr>
        <w:spacing w:after="160"/>
      </w:pPr>
      <w:r>
        <w:rPr>
          <w:rFonts w:ascii="Lato" w:hAnsi="Lato"/>
          <w:b w:val="0"/>
          <w:i w:val="0"/>
          <w:color w:val="6B7280"/>
          <w:sz w:val="18"/>
        </w:rPr>
        <w:t>n=385</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51% (Moderate)</w:t>
      </w:r>
      <w:r>
        <w:rPr>
          <w:rFonts w:ascii="Lato" w:hAnsi="Lato"/>
          <w:b w:val="0"/>
          <w:i w:val="0"/>
          <w:color w:val="6B7280"/>
          <w:sz w:val="18"/>
        </w:rPr>
        <w:t xml:space="preserve">  |  10.9% of Dataset</w:t>
      </w:r>
      <w:r>
        <w:rPr>
          <w:rFonts w:ascii="Lato" w:hAnsi="Lato"/>
          <w:b w:val="0"/>
          <w:i w:val="0"/>
          <w:color w:val="6B7280"/>
          <w:sz w:val="18"/>
        </w:rPr>
        <w:t xml:space="preserve">  |  NSS: </w:t>
      </w:r>
      <w:r>
        <w:rPr>
          <w:rFonts w:ascii="Lato" w:hAnsi="Lato"/>
          <w:b/>
          <w:i w:val="0"/>
          <w:color w:val="059669"/>
          <w:sz w:val="18"/>
        </w:rPr>
        <w:t>+22%</w:t>
      </w:r>
    </w:p>
    <w:p>
      <w:pPr>
        <w:jc w:val="center"/>
      </w:pPr>
      <w:r>
        <w:drawing>
          <wp:inline xmlns:a="http://schemas.openxmlformats.org/drawingml/2006/main" xmlns:pic="http://schemas.openxmlformats.org/drawingml/2006/picture">
            <wp:extent cx="3474720" cy="3547185"/>
            <wp:docPr id="15" name="Picture 15"/>
            <wp:cNvGraphicFramePr>
              <a:graphicFrameLocks noChangeAspect="1"/>
            </wp:cNvGraphicFramePr>
            <a:graphic>
              <a:graphicData uri="http://schemas.openxmlformats.org/drawingml/2006/picture">
                <pic:pic>
                  <pic:nvPicPr>
                    <pic:cNvPr id="0" name="chart_radar_INS_010.png"/>
                    <pic:cNvPicPr/>
                  </pic:nvPicPr>
                  <pic:blipFill>
                    <a:blip r:embed="rId23"/>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Assembly vs Manufacturing: The Value-Add Question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'Assembly vs Manufacturing: The Value-Add Question' theme has 385 items (10.9% prevalence) with NSS of +21.6%. Sentiment: positive 148, negative 66, neutral 115, mixed 50. This is a contested theme with the highest neutral count relative to its size (29.9% neutral), indicating consumers are engaging analytically rather than emotionally. Discussion centres on whether 'Make in India' is genuine manufacturing or merely assembly of imported components.</w:t>
      </w:r>
    </w:p>
    <w:p>
      <w:pPr>
        <w:pStyle w:val="Heading3"/>
        <w:jc w:val="left"/>
      </w:pPr>
      <w:r>
        <w:rPr>
          <w:rFonts w:ascii="Lato" w:hAnsi="Lato"/>
          <w:b/>
          <w:color w:val="1E3A5F"/>
          <w:sz w:val="26"/>
        </w:rPr>
        <w:t>What it Means</w:t>
      </w:r>
    </w:p>
    <w:p>
      <w:pPr>
        <w:spacing w:after="120" w:before="0"/>
      </w:pPr>
      <w:r>
        <w:rPr>
          <w:rFonts w:ascii="Lato" w:hAnsi="Lato"/>
          <w:b w:val="0"/>
          <w:i w:val="0"/>
          <w:sz w:val="22"/>
        </w:rPr>
        <w:t>The assembly vs manufacturing debate represents the sophistication ceiling of public discourse on Make in India - consumers who raise this question have moved past cheerleading and are interrogating the quality of industrialisation, not just its quantity. The high neutral proportion (29.9%) is unusual in social media discourse and signals that this is an informational gap, not an emotional one. Consumers want to know the answer - what percentage of an 'Indian-made' iPhone is actually Indian? - but cannot find it. This knowledge vacuum is being filled by critics and sceptics, which explains why the theme's NSS (+21.6%) is well below the corpus average (+23.9%). The debate is not anti-Make in India; it is pro-transparency.</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This is the most dangerous theme for Make in India's credibility because it questions the fundamental claim of the initiative. If the perception that 'Made in India' means 'Assembled in India' becomes dominant, it undermines every other positive narrative (PLI success, brand ecosystem, infrastructure). The current information vacuum guarantees this will happen eventually unless filled with credible data. However, filling it requires honest disclosure - if component import percentages are high, presenting them with a roadmap for increasing domestic value-add is more credible than hiding them.</w:t>
      </w:r>
    </w:p>
    <w:p>
      <w:pPr>
        <w:pStyle w:val="Heading3"/>
        <w:jc w:val="left"/>
      </w:pPr>
      <w:r>
        <w:rPr>
          <w:rFonts w:ascii="Lato" w:hAnsi="Lato"/>
          <w:b/>
          <w:color w:val="1E3A5F"/>
          <w:sz w:val="26"/>
        </w:rPr>
        <w:t>Recommendation</w:t>
      </w:r>
    </w:p>
    <w:p>
      <w:pPr>
        <w:spacing w:after="120" w:before="0"/>
      </w:pPr>
      <w:r>
        <w:rPr>
          <w:rFonts w:ascii="Lato" w:hAnsi="Lato"/>
          <w:b w:val="0"/>
          <w:i w:val="0"/>
          <w:sz w:val="22"/>
        </w:rPr>
        <w:t>Commission and publish a 'Value-Add Index' for the top 10 product categories associated with Make in India, showing the percentage of value created domestically vs imported. Present it as a progress metric with year-over-year comparisons, not as a static snapshot. Use the format: 'In 2024, 23% of a Made-in-India smartphone's value was created domestically, up from 8% in 2018. Target: 45% by 2028.' Publish through DPIIT with data sourced from industry associations. The transparency itself becomes the brand story.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transparency experiment (n=600, online, 3-arm randomised design): (A) no value-add information, (B) value-add percentages only, (C) value-add percentages with a 5-year improvement trajectory. Measure purchase intent and Make in India credibility after exposure. Research question: 'Does disclosing domestic value-add percentages with an improvement trajectory increase or decrease consumer confidence in Make in India?'</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"The same as india is strong partner and friend of Taiwan and they never wan china Taiwan imarges with war we have a problem at what base you claim over Taiwan and yet if yes for you then why not india bid for his own part has pak"</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10. Product Quality &amp; Consumer Trust</w:t>
      </w:r>
    </w:p>
    <w:p>
      <w:pPr>
        <w:spacing w:after="160"/>
      </w:pPr>
      <w:r>
        <w:rPr>
          <w:rFonts w:ascii="Lato" w:hAnsi="Lato"/>
          <w:b w:val="0"/>
          <w:i w:val="0"/>
          <w:color w:val="6B7280"/>
          <w:sz w:val="18"/>
        </w:rPr>
        <w:t>n=422</w:t>
      </w:r>
      <w:r>
        <w:rPr>
          <w:rFonts w:ascii="Lato" w:hAnsi="Lato"/>
          <w:b w:val="0"/>
          <w:i w:val="0"/>
          <w:color w:val="374151"/>
          <w:sz w:val="18"/>
        </w:rPr>
        <w:t xml:space="preserve">  |  Confidence: </w:t>
      </w:r>
      <w:r>
        <w:rPr>
          <w:rFonts w:ascii="Lato" w:hAnsi="Lato"/>
          <w:b/>
          <w:i w:val="0"/>
          <w:color w:val="D97706"/>
          <w:sz w:val="18"/>
        </w:rPr>
        <w:t>60% (Medium)</w:t>
      </w:r>
      <w:r>
        <w:rPr>
          <w:rFonts w:ascii="Lato" w:hAnsi="Lato"/>
          <w:b w:val="0"/>
          <w:i w:val="0"/>
          <w:color w:val="374151"/>
          <w:sz w:val="18"/>
        </w:rPr>
        <w:t xml:space="preserve">  |  Signal: </w:t>
      </w:r>
      <w:r>
        <w:rPr>
          <w:rFonts w:ascii="Lato" w:hAnsi="Lato"/>
          <w:b/>
          <w:i w:val="0"/>
          <w:color w:val="374151"/>
          <w:sz w:val="18"/>
        </w:rPr>
        <w:t>60% (Moderate)</w:t>
      </w:r>
      <w:r>
        <w:rPr>
          <w:rFonts w:ascii="Lato" w:hAnsi="Lato"/>
          <w:b w:val="0"/>
          <w:i w:val="0"/>
          <w:color w:val="6B7280"/>
          <w:sz w:val="18"/>
        </w:rPr>
        <w:t xml:space="preserve">  |  12.0% of Dataset</w:t>
      </w:r>
      <w:r>
        <w:rPr>
          <w:rFonts w:ascii="Lato" w:hAnsi="Lato"/>
          <w:b w:val="0"/>
          <w:i w:val="0"/>
          <w:color w:val="6B7280"/>
          <w:sz w:val="18"/>
        </w:rPr>
        <w:t xml:space="preserve">  |  NSS: </w:t>
      </w:r>
      <w:r>
        <w:rPr>
          <w:rFonts w:ascii="Lato" w:hAnsi="Lato"/>
          <w:b/>
          <w:i w:val="0"/>
          <w:color w:val="059669"/>
          <w:sz w:val="18"/>
        </w:rPr>
        <w:t>+10%</w:t>
      </w:r>
    </w:p>
    <w:p>
      <w:pPr>
        <w:jc w:val="center"/>
      </w:pPr>
      <w:r>
        <w:drawing>
          <wp:inline xmlns:a="http://schemas.openxmlformats.org/drawingml/2006/main" xmlns:pic="http://schemas.openxmlformats.org/drawingml/2006/picture">
            <wp:extent cx="3474720" cy="3547185"/>
            <wp:docPr id="16" name="Picture 16"/>
            <wp:cNvGraphicFramePr>
              <a:graphicFrameLocks noChangeAspect="1"/>
            </wp:cNvGraphicFramePr>
            <a:graphic>
              <a:graphicData uri="http://schemas.openxmlformats.org/drawingml/2006/picture">
                <pic:pic>
                  <pic:nvPicPr>
                    <pic:cNvPr id="0" name="chart_radar_INS_005.png"/>
                    <pic:cNvPicPr/>
                  </pic:nvPicPr>
                  <pic:blipFill>
                    <a:blip r:embed="rId24"/>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Product Quality &amp; Consumer Trust</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'Product Quality &amp; Consumer Trust' theme has 422 items (12.0% prevalence) with a low NSS of +10.1%. Sentiment is the most evenly split of any theme: positive 156, negative 114, neutral 84, mixed 62. This is a contested theme where consumers actively debate whether Indian products meet quality expectations, with nearly as many negative voices as positive ones.</w:t>
      </w:r>
    </w:p>
    <w:p>
      <w:pPr>
        <w:pStyle w:val="Heading3"/>
        <w:jc w:val="left"/>
      </w:pPr>
      <w:r>
        <w:rPr>
          <w:rFonts w:ascii="Lato" w:hAnsi="Lato"/>
          <w:b/>
          <w:color w:val="1E3A5F"/>
          <w:sz w:val="26"/>
        </w:rPr>
        <w:t>What it Means</w:t>
      </w:r>
    </w:p>
    <w:p>
      <w:pPr>
        <w:spacing w:after="120" w:before="0"/>
      </w:pPr>
      <w:r>
        <w:rPr>
          <w:rFonts w:ascii="Lato" w:hAnsi="Lato"/>
          <w:b w:val="0"/>
          <w:i w:val="0"/>
          <w:sz w:val="22"/>
        </w:rPr>
        <w:t>Indian consumers are applying a 'quality tax' to domestic products - they start from an assumption that Indian-made means lower quality and require evidence to override that default. This is not anti-national sentiment; it coexists with strong Swadeshi aspiration (THM_03's +57.1% NSS). Consumers want to buy Indian but do not trust that Indian means good. The gap between aspiration (+57.1% Swadeshi NSS) and trust (+10.1% quality NSS) is 47 percentage points - the largest sentiment gap in the corpus. This trust deficit operates as a hidden drag on every other positive Make in India narrative: even consumers who celebrate iPhone assembly in India (THM_02) are implicitly conceding that India needs Apple's quality standards, not its own.</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47-point aspiration-trust gap represents the single biggest barrier to converting Swadeshi sentiment into sustained purchasing behaviour. Without closing this gap, 'buy Indian' remains an aspiration consumers act on selectively (in categories where quality risk is low) but abandon in high-stakes purchases (electronics, automobiles, medical devices). For Make in India to move from sentiment to market share, quality perception must improve independently of patriotic appeals.</w:t>
      </w:r>
    </w:p>
    <w:p>
      <w:pPr>
        <w:pStyle w:val="Heading3"/>
        <w:jc w:val="left"/>
      </w:pPr>
      <w:r>
        <w:rPr>
          <w:rFonts w:ascii="Lato" w:hAnsi="Lato"/>
          <w:b/>
          <w:color w:val="1E3A5F"/>
          <w:sz w:val="26"/>
        </w:rPr>
        <w:t>Recommendation</w:t>
      </w:r>
    </w:p>
    <w:p>
      <w:pPr>
        <w:spacing w:after="120" w:before="0"/>
      </w:pPr>
      <w:r>
        <w:rPr>
          <w:rFonts w:ascii="Lato" w:hAnsi="Lato"/>
          <w:b w:val="0"/>
          <w:i w:val="0"/>
          <w:sz w:val="22"/>
        </w:rPr>
        <w:t>Launch a consumer-facing product testing programme in partnership with BIS (Bureau of Indian Standards) and 2-3 credible third-party testing labs. Publish monthly comparative test results for Indian vs imported products in 3 high-visibility categories (smartphones, cookware, personal care). Format results as Instagram-friendly scorecards and YouTube unboxing-style test videos. The key is third-party credibility - government-only endorsements will not close the trust gap. Target: first comparative results published within 90 days.</w:t>
      </w:r>
    </w:p>
    <w:p>
      <w:pPr>
        <w:pStyle w:val="Heading3"/>
        <w:jc w:val="left"/>
      </w:pPr>
      <w:r>
        <w:rPr>
          <w:rFonts w:ascii="Lato" w:hAnsi="Lato"/>
          <w:b/>
          <w:color w:val="1E3A5F"/>
          <w:sz w:val="26"/>
        </w:rPr>
        <w:t>Further Validation</w:t>
      </w:r>
    </w:p>
    <w:p>
      <w:pPr>
        <w:spacing w:after="120" w:before="0"/>
      </w:pPr>
      <w:r>
        <w:rPr>
          <w:rFonts w:ascii="Lato" w:hAnsi="Lato"/>
          <w:b w:val="0"/>
          <w:i w:val="0"/>
          <w:sz w:val="22"/>
        </w:rPr>
        <w:t>Design a discrete choice experiment (n=1,000, nationally representative online panel) presenting identical product descriptions with only the country of manufacture varied (India, China, Japan, Germany). Measure willingness to pay and perceived quality for each origin. Research question: 'How large is the quality discount consumers apply to Indian-manufactured products, and does it vary by product category?'</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"Are you implying that Indian customers only buy heavily marketed cars/products? Is that an Indian customer's mentality? Rather than picking a value / quality product, we (indian customer) are going for flashy products which are heavily marketed / driven by design compared to a quality engineered product?"</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11. India vs China: Trade Deficit &amp; Competition</w:t>
      </w:r>
    </w:p>
    <w:p>
      <w:pPr>
        <w:spacing w:after="160"/>
      </w:pPr>
      <w:r>
        <w:rPr>
          <w:rFonts w:ascii="Lato" w:hAnsi="Lato"/>
          <w:b w:val="0"/>
          <w:i w:val="0"/>
          <w:color w:val="6B7280"/>
          <w:sz w:val="18"/>
        </w:rPr>
        <w:t>n=327</w:t>
      </w:r>
      <w:r>
        <w:rPr>
          <w:rFonts w:ascii="Lato" w:hAnsi="Lato"/>
          <w:b w:val="0"/>
          <w:i w:val="0"/>
          <w:color w:val="374151"/>
          <w:sz w:val="18"/>
        </w:rPr>
        <w:t xml:space="preserve">  |  Confidence: </w:t>
      </w:r>
      <w:r>
        <w:rPr>
          <w:rFonts w:ascii="Lato" w:hAnsi="Lato"/>
          <w:b/>
          <w:i w:val="0"/>
          <w:color w:val="D97706"/>
          <w:sz w:val="18"/>
        </w:rPr>
        <w:t>58% (Medium)</w:t>
      </w:r>
      <w:r>
        <w:rPr>
          <w:rFonts w:ascii="Lato" w:hAnsi="Lato"/>
          <w:b w:val="0"/>
          <w:i w:val="0"/>
          <w:color w:val="374151"/>
          <w:sz w:val="18"/>
        </w:rPr>
        <w:t xml:space="preserve">  |  Signal: </w:t>
      </w:r>
      <w:r>
        <w:rPr>
          <w:rFonts w:ascii="Lato" w:hAnsi="Lato"/>
          <w:b/>
          <w:i w:val="0"/>
          <w:color w:val="374151"/>
          <w:sz w:val="18"/>
        </w:rPr>
        <w:t>46% (Weak)</w:t>
      </w:r>
      <w:r>
        <w:rPr>
          <w:rFonts w:ascii="Lato" w:hAnsi="Lato"/>
          <w:b w:val="0"/>
          <w:i w:val="0"/>
          <w:color w:val="6B7280"/>
          <w:sz w:val="18"/>
        </w:rPr>
        <w:t xml:space="preserve">  |  9.3% of Dataset</w:t>
      </w:r>
      <w:r>
        <w:rPr>
          <w:rFonts w:ascii="Lato" w:hAnsi="Lato"/>
          <w:b w:val="0"/>
          <w:i w:val="0"/>
          <w:color w:val="6B7280"/>
          <w:sz w:val="18"/>
        </w:rPr>
        <w:t xml:space="preserve">  |  NSS: </w:t>
      </w:r>
      <w:r>
        <w:rPr>
          <w:rFonts w:ascii="Lato" w:hAnsi="Lato"/>
          <w:b/>
          <w:i w:val="0"/>
          <w:color w:val="059669"/>
          <w:sz w:val="18"/>
        </w:rPr>
        <w:t>+12%</w:t>
      </w:r>
    </w:p>
    <w:p>
      <w:pPr>
        <w:jc w:val="center"/>
      </w:pPr>
      <w:r>
        <w:drawing>
          <wp:inline xmlns:a="http://schemas.openxmlformats.org/drawingml/2006/main" xmlns:pic="http://schemas.openxmlformats.org/drawingml/2006/picture">
            <wp:extent cx="3474720" cy="3547185"/>
            <wp:docPr id="17" name="Picture 17"/>
            <wp:cNvGraphicFramePr>
              <a:graphicFrameLocks noChangeAspect="1"/>
            </wp:cNvGraphicFramePr>
            <a:graphic>
              <a:graphicData uri="http://schemas.openxmlformats.org/drawingml/2006/picture">
                <pic:pic>
                  <pic:nvPicPr>
                    <pic:cNvPr id="0" name="chart_radar_INS_004.png"/>
                    <pic:cNvPicPr/>
                  </pic:nvPicPr>
                  <pic:blipFill>
                    <a:blip r:embed="rId25"/>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India vs China: Trade Deficit &amp; Competition</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'India vs China: Trade Deficit &amp; Competition' theme has 327 items (9.3% prevalence) with the lowest NSS among major themes at +12.1%. Sentiment is notably divided: positive 108, negative 70, neutral 67, mixed 68. This is one of four contested themes in the corpus, and the mixed sentiment count (68) nearly equals the negative count (70), indicating genuine ambivalence rather than polarisation.</w:t>
      </w:r>
    </w:p>
    <w:p>
      <w:pPr>
        <w:pStyle w:val="Heading3"/>
        <w:jc w:val="left"/>
      </w:pPr>
      <w:r>
        <w:rPr>
          <w:rFonts w:ascii="Lato" w:hAnsi="Lato"/>
          <w:b/>
          <w:color w:val="1E3A5F"/>
          <w:sz w:val="26"/>
        </w:rPr>
        <w:t>What it Means</w:t>
      </w:r>
    </w:p>
    <w:p>
      <w:pPr>
        <w:spacing w:after="120" w:before="0"/>
      </w:pPr>
      <w:r>
        <w:rPr>
          <w:rFonts w:ascii="Lato" w:hAnsi="Lato"/>
          <w:b w:val="0"/>
          <w:i w:val="0"/>
          <w:sz w:val="22"/>
        </w:rPr>
        <w:t>China functions as Make in India's shadow benchmark - the standard against which every manufacturing claim is implicitly measured. The near-even split between positive, negative, and mixed sentiment reveals a population caught between two competing narratives: aspirational (India can replace China) and realistic (India is decades behind). The high 'mixed' count is the critical signal - these are not fence-sitters but consumers holding both beliefs simultaneously. They want India to succeed but do not believe it can compete on cost, scale, or quality today. This cognitive dissonance creates a vulnerability: any visible failure (a product recall, a factory closure, a Chinese competitor undercutting an Indian brand) disproportionately amplifies the 'realistic' narrative because it confirms the fear consumers are already holding.</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The China comparison is unwinnable on aggregate metrics (GDP, export volume, manufacturing share) for at least a decade. Continuing to frame Make in India against China invites unfavourable comparisons. However, the comparison is also unavoidable - consumers will make it regardless of official messaging. The strategic opportunity is to shift the comparison from 'India vs China overall' to 'India vs China in specific niches where India is winning' (pharma, IT services, space technology, specific defence platforms).</w:t>
      </w:r>
    </w:p>
    <w:p>
      <w:pPr>
        <w:pStyle w:val="Heading3"/>
        <w:jc w:val="left"/>
      </w:pPr>
      <w:r>
        <w:rPr>
          <w:rFonts w:ascii="Lato" w:hAnsi="Lato"/>
          <w:b/>
          <w:color w:val="1E3A5F"/>
          <w:sz w:val="26"/>
        </w:rPr>
        <w:t>Recommendation</w:t>
      </w:r>
    </w:p>
    <w:p>
      <w:pPr>
        <w:spacing w:after="120" w:before="0"/>
      </w:pPr>
      <w:r>
        <w:rPr>
          <w:rFonts w:ascii="Lato" w:hAnsi="Lato"/>
          <w:b w:val="0"/>
          <w:i w:val="0"/>
          <w:sz w:val="22"/>
        </w:rPr>
        <w:t>Develop a 'Where India Leads' communication strategy identifying 5-7 specific product categories or capabilities where Indian manufacturing demonstrably outperforms Chinese alternatives (generic pharmaceuticals, IT services exports, satellite launch services, two-wheeler manufacturing). Create comparison-format content (infographics, short videos) showing India's advantage in these niches. Distribute weekly through Twitter and Reddit where the China comparison conversation is most active. Avoid aggregate GDP or export comparisons entirely.</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perceptual mapping study (n=1,200, online, quota-sampled by tier city) asking consumers to rate India vs China across 12 specific product categories on quality, price, and trustworthiness. Research question: 'In which product categories do Indian consumers already perceive Indian manufacturing as superior to Chinese, and what drives that perception?'</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"india has no quality or infrastructure to even compete with China, not even in the same weight class."</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"India's government set a $1 trillion target for total exports (goods + services) in FY26, per PIB. However, GTRI and Economic Times project it may fall short at ~$850B due to global slowdowns. Apr-Nov data shows exports at $292B vs imports $515B, with $72B deficit to China (potentially $106B by year-end per GTRI). Budget may include duty hikes for balance."</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"@WhitePillzONLY Our trade deficit with China and ASEAN is extremely large. Most goods exported to us from ASEAN countries are actually Chinese products; they are merely relabeled or undergo minor assembly. This practice will destroy our domestic market. We must impose tariffs on China and ASEAN."</w:t>
      </w:r>
      <w:r>
        <w:rPr>
          <w:rFonts w:ascii="Lato" w:hAnsi="Lato"/>
          <w:b w:val="0"/>
          <w:i w:val="0"/>
          <w:color w:val="6B7280"/>
          <w:sz w:val="18"/>
        </w:rPr>
        <w:t xml:space="preserve">  - twitter</w:t>
      </w:r>
    </w:p>
    <w:p>
      <w:pPr>
        <w:spacing w:before="80" w:after="80"/>
        <w:pBdr>
          <w:bottom w:val="single" w:sz="4" w:space="1" w:color="6B7280"/>
        </w:pBdr>
      </w:pPr>
    </w:p>
    <w:p>
      <w:pPr>
        <w:pStyle w:val="Heading2"/>
        <w:jc w:val="left"/>
      </w:pPr>
      <w:r>
        <w:rPr>
          <w:rFonts w:ascii="Lato" w:hAnsi="Lato"/>
          <w:b/>
          <w:color w:val="1E3A5F"/>
          <w:sz w:val="32"/>
        </w:rPr>
        <w:t>12. Defence Manufacturing &amp; Strategic Self-Reliance</w:t>
      </w:r>
    </w:p>
    <w:p>
      <w:pPr>
        <w:spacing w:after="160"/>
      </w:pPr>
      <w:r>
        <w:rPr>
          <w:rFonts w:ascii="Lato" w:hAnsi="Lato"/>
          <w:b w:val="0"/>
          <w:i w:val="0"/>
          <w:color w:val="6B7280"/>
          <w:sz w:val="18"/>
        </w:rPr>
        <w:t>n=263</w:t>
      </w:r>
      <w:r>
        <w:rPr>
          <w:rFonts w:ascii="Lato" w:hAnsi="Lato"/>
          <w:b w:val="0"/>
          <w:i w:val="0"/>
          <w:color w:val="374151"/>
          <w:sz w:val="18"/>
        </w:rPr>
        <w:t xml:space="preserve">  |  Confidence: </w:t>
      </w:r>
      <w:r>
        <w:rPr>
          <w:rFonts w:ascii="Lato" w:hAnsi="Lato"/>
          <w:b/>
          <w:i w:val="0"/>
          <w:color w:val="D97706"/>
          <w:sz w:val="18"/>
        </w:rPr>
        <w:t>55% (Medium)</w:t>
      </w:r>
      <w:r>
        <w:rPr>
          <w:rFonts w:ascii="Lato" w:hAnsi="Lato"/>
          <w:b w:val="0"/>
          <w:i w:val="0"/>
          <w:color w:val="374151"/>
          <w:sz w:val="18"/>
        </w:rPr>
        <w:t xml:space="preserve">  |  Signal: </w:t>
      </w:r>
      <w:r>
        <w:rPr>
          <w:rFonts w:ascii="Lato" w:hAnsi="Lato"/>
          <w:b/>
          <w:i w:val="0"/>
          <w:color w:val="374151"/>
          <w:sz w:val="18"/>
        </w:rPr>
        <w:t>57% (Moderate)</w:t>
      </w:r>
      <w:r>
        <w:rPr>
          <w:rFonts w:ascii="Lato" w:hAnsi="Lato"/>
          <w:b w:val="0"/>
          <w:i w:val="0"/>
          <w:color w:val="6B7280"/>
          <w:sz w:val="18"/>
        </w:rPr>
        <w:t xml:space="preserve">  |  7.5% of Dataset</w:t>
      </w:r>
      <w:r>
        <w:rPr>
          <w:rFonts w:ascii="Lato" w:hAnsi="Lato"/>
          <w:b w:val="0"/>
          <w:i w:val="0"/>
          <w:color w:val="6B7280"/>
          <w:sz w:val="18"/>
        </w:rPr>
        <w:t xml:space="preserve">  |  NSS: </w:t>
      </w:r>
      <w:r>
        <w:rPr>
          <w:rFonts w:ascii="Lato" w:hAnsi="Lato"/>
          <w:b/>
          <w:i w:val="0"/>
          <w:color w:val="059669"/>
          <w:sz w:val="18"/>
        </w:rPr>
        <w:t>+36%</w:t>
      </w:r>
    </w:p>
    <w:p>
      <w:pPr>
        <w:jc w:val="center"/>
      </w:pPr>
      <w:r>
        <w:drawing>
          <wp:inline xmlns:a="http://schemas.openxmlformats.org/drawingml/2006/main" xmlns:pic="http://schemas.openxmlformats.org/drawingml/2006/picture">
            <wp:extent cx="3474720" cy="3547185"/>
            <wp:docPr id="18" name="Picture 18"/>
            <wp:cNvGraphicFramePr>
              <a:graphicFrameLocks noChangeAspect="1"/>
            </wp:cNvGraphicFramePr>
            <a:graphic>
              <a:graphicData uri="http://schemas.openxmlformats.org/drawingml/2006/picture">
                <pic:pic>
                  <pic:nvPicPr>
                    <pic:cNvPr id="0" name="chart_radar_INS_006.png"/>
                    <pic:cNvPicPr/>
                  </pic:nvPicPr>
                  <pic:blipFill>
                    <a:blip r:embed="rId26"/>
                    <a:stretch>
                      <a:fillRect/>
                    </a:stretch>
                  </pic:blipFill>
                  <pic:spPr>
                    <a:xfrm>
                      <a:off x="0" y="0"/>
                      <a:ext cx="3474720" cy="3547185"/>
                    </a:xfrm>
                    <a:prstGeom prst="rect"/>
                  </pic:spPr>
                </pic:pic>
              </a:graphicData>
            </a:graphic>
          </wp:inline>
        </w:drawing>
      </w:r>
    </w:p>
    <w:p>
      <w:pPr>
        <w:spacing w:after="240"/>
        <w:jc w:val="center"/>
      </w:pPr>
      <w:r>
        <w:rPr>
          <w:rFonts w:ascii="Lato" w:hAnsi="Lato"/>
          <w:b w:val="0"/>
          <w:i/>
          <w:color w:val="6B7280"/>
          <w:sz w:val="18"/>
        </w:rPr>
        <w:t>Score Breakdown: Defence Manufacturing &amp; Strategic Self-Reliance</w:t>
      </w:r>
    </w:p>
    <w:p>
      <w:pPr>
        <w:pStyle w:val="Heading3"/>
        <w:jc w:val="left"/>
      </w:pPr>
      <w:r>
        <w:rPr>
          <w:rFonts w:ascii="Lato" w:hAnsi="Lato"/>
          <w:b/>
          <w:color w:val="1E3A5F"/>
          <w:sz w:val="26"/>
        </w:rPr>
        <w:t>What the Data Shows</w:t>
      </w:r>
    </w:p>
    <w:p>
      <w:pPr>
        <w:spacing w:after="120" w:before="0"/>
      </w:pPr>
      <w:r>
        <w:rPr>
          <w:rFonts w:ascii="Lato" w:hAnsi="Lato"/>
          <w:b w:val="0"/>
          <w:i w:val="0"/>
          <w:sz w:val="22"/>
        </w:rPr>
        <w:t>The 'Defence Manufacturing &amp; Strategic Self-Reliance' theme has 263 items (7.5% prevalence) with strong positive sentiment (NSS +36.4%). Sentiment: positive 128, negative 37, neutral 50, mixed 35. Notably, this is the only major theme absent from Instagram, appearing on Reddit, Twitter, and YouTube only. Discussion centres on DRDO, HAL, Tejas, Brahmos, and indigenous military equipment.</w:t>
      </w:r>
    </w:p>
    <w:p>
      <w:pPr>
        <w:pStyle w:val="Heading3"/>
        <w:jc w:val="left"/>
      </w:pPr>
      <w:r>
        <w:rPr>
          <w:rFonts w:ascii="Lato" w:hAnsi="Lato"/>
          <w:b/>
          <w:color w:val="1E3A5F"/>
          <w:sz w:val="26"/>
        </w:rPr>
        <w:t>What it Means</w:t>
      </w:r>
    </w:p>
    <w:p>
      <w:pPr>
        <w:spacing w:after="120" w:before="0"/>
      </w:pPr>
      <w:r>
        <w:rPr>
          <w:rFonts w:ascii="Lato" w:hAnsi="Lato"/>
          <w:b w:val="0"/>
          <w:i w:val="0"/>
          <w:sz w:val="22"/>
        </w:rPr>
        <w:t>Defence manufacturing occupies a unique psychological position in the Make in India narrative - it is the one domain where 'self-reliance' shifts from economic preference to existential necessity. Consumers who are sceptical about industrial policy become advocates when the frame shifts to national security. The absence from Instagram (a visual, lifestyle platform) and presence on Reddit/Twitter/YouTube (text-heavy, discussion-oriented platforms) reveals this is a discourse of informed engagement, not casual nationalism. The +36.4% NSS, while not the highest, is notable because it comes from a more sceptical audience base (Reddit's overall Make in India sentiment runs lower than Instagram's). Defence manufacturing is Make in India's credibility anchor - the sector where even critics concede progress.</w:t>
      </w:r>
    </w:p>
    <w:p>
      <w:pPr>
        <w:pStyle w:val="Heading3"/>
        <w:jc w:val="left"/>
      </w:pPr>
      <w:r>
        <w:rPr>
          <w:rFonts w:ascii="Lato" w:hAnsi="Lato"/>
          <w:b/>
          <w:color w:val="1E3A5F"/>
          <w:sz w:val="26"/>
        </w:rPr>
        <w:t>Business Implication &amp; Rationale</w:t>
      </w:r>
    </w:p>
    <w:p>
      <w:pPr>
        <w:spacing w:after="120" w:before="0"/>
      </w:pPr>
      <w:r>
        <w:rPr>
          <w:rFonts w:ascii="Lato" w:hAnsi="Lato"/>
          <w:b w:val="0"/>
          <w:i w:val="0"/>
          <w:sz w:val="22"/>
        </w:rPr>
        <w:t>Defence manufacturing success stories carry disproportionate persuasive power because they convert sceptics, not just energise supporters. However, this credibility is currently siloed in policy-literate audiences (Reddit, Twitter) and has not penetrated the mass consumer conversation (Instagram). Bridging this gap - making defence manufacturing wins visible to the broader public - could strengthen the overall Make in India brand more effectively than any number of consumer product stories.</w:t>
      </w:r>
    </w:p>
    <w:p>
      <w:pPr>
        <w:pStyle w:val="Heading3"/>
        <w:jc w:val="left"/>
      </w:pPr>
      <w:r>
        <w:rPr>
          <w:rFonts w:ascii="Lato" w:hAnsi="Lato"/>
          <w:b/>
          <w:color w:val="1E3A5F"/>
          <w:sz w:val="26"/>
        </w:rPr>
        <w:t>Recommendation</w:t>
      </w:r>
    </w:p>
    <w:p>
      <w:pPr>
        <w:spacing w:after="120" w:before="0"/>
      </w:pPr>
      <w:r>
        <w:rPr>
          <w:rFonts w:ascii="Lato" w:hAnsi="Lato"/>
          <w:b w:val="0"/>
          <w:i w:val="0"/>
          <w:sz w:val="22"/>
        </w:rPr>
        <w:t>Create a 'Built for India, By India' content series translating defence manufacturing achievements into consumer-accessible narratives. Commission 5-minute mini-documentaries for YouTube showing the journey from imported to indigenous (e.g., the Tejas story from concept to squadron deployment). Adapt as 60-second Instagram Reels with dramatic visuals. Partner with defence-focused YouTube channels (which already have engaged audiences) for co-production. Target: 6 videos over 3 months, one per major platform (Tejas, Brahmos, INS Vikrant, Kaveri engine, Pinaka, Akash missile system).</w:t>
      </w:r>
    </w:p>
    <w:p>
      <w:pPr>
        <w:pStyle w:val="Heading3"/>
        <w:jc w:val="left"/>
      </w:pPr>
      <w:r>
        <w:rPr>
          <w:rFonts w:ascii="Lato" w:hAnsi="Lato"/>
          <w:b/>
          <w:color w:val="1E3A5F"/>
          <w:sz w:val="26"/>
        </w:rPr>
        <w:t>Further Validation</w:t>
      </w:r>
    </w:p>
    <w:p>
      <w:pPr>
        <w:spacing w:after="120" w:before="0"/>
      </w:pPr>
      <w:r>
        <w:rPr>
          <w:rFonts w:ascii="Lato" w:hAnsi="Lato"/>
          <w:b w:val="0"/>
          <w:i w:val="0"/>
          <w:sz w:val="22"/>
        </w:rPr>
        <w:t>Conduct a message testing experiment (n=600, online, 2x3 factorial design) comparing the persuasive impact of defence manufacturing success stories vs consumer product success stories vs infrastructure stories on overall Make in India perception. Research question: 'Does exposure to defence manufacturing achievements improve general Make in India sentiment more than exposure to consumer product manufacturing achievements?'</w:t>
      </w:r>
    </w:p>
    <w:p>
      <w:pPr>
        <w:pStyle w:val="Heading3"/>
        <w:jc w:val="left"/>
      </w:pPr>
      <w:r>
        <w:rPr>
          <w:rFonts w:ascii="Lato" w:hAnsi="Lato"/>
          <w:b/>
          <w:color w:val="1E3A5F"/>
          <w:sz w:val="26"/>
        </w:rPr>
        <w:t>Representative Voices</w:t>
      </w:r>
    </w:p>
    <w:p>
      <w:pPr>
        <w:spacing w:before="80" w:after="80"/>
        <w:ind w:left="680" w:right="680"/>
      </w:pPr>
      <w:r>
        <w:rPr>
          <w:rFonts w:ascii="Lato" w:hAnsi="Lato"/>
          <w:b w:val="0"/>
          <w:i/>
          <w:color w:val="374151"/>
          <w:sz w:val="20"/>
        </w:rPr>
        <w:t>"We cannot overlook the fact that the current govt came into power through violence..and foreign support...It fears the supporters of the previous democratic govt...My feel is,  the people are divided...what we see today is the vocal "minority" who grabbed power...and some opportunity seekers...If the mayhem continues...and the army doesn't  takeover the admin, ...the extremist minority may strengthen its  grip on power...and  India may have another "enemy" at its border...."</w:t>
      </w:r>
      <w:r>
        <w:rPr>
          <w:rFonts w:ascii="Lato" w:hAnsi="Lato"/>
          <w:b w:val="0"/>
          <w:i w:val="0"/>
          <w:color w:val="6B7280"/>
          <w:sz w:val="18"/>
        </w:rPr>
        <w:t xml:space="preserve">  - youtube</w:t>
      </w:r>
    </w:p>
    <w:p>
      <w:pPr>
        <w:spacing w:before="80" w:after="80"/>
        <w:ind w:left="680" w:right="680"/>
      </w:pPr>
      <w:r>
        <w:rPr>
          <w:rFonts w:ascii="Lato" w:hAnsi="Lato"/>
          <w:b w:val="0"/>
          <w:i/>
          <w:color w:val="374151"/>
          <w:sz w:val="20"/>
        </w:rPr>
        <w:t>"From being an importer to becoming a trusted exporter, #India’s defence capabilities are touching skies Strategic partners choosing #BrahMos shows India’s rise as a strong &amp;amp; self-reliant defence power.</w:t>
        <w:br/>
        <w:t>2/</w:t>
        <w:br/>
        <w:br/>
        <w:t>@vonbrauckmann @fhzadran @davidfrawleyved"</w:t>
      </w:r>
      <w:r>
        <w:rPr>
          <w:rFonts w:ascii="Lato" w:hAnsi="Lato"/>
          <w:b w:val="0"/>
          <w:i w:val="0"/>
          <w:color w:val="6B7280"/>
          <w:sz w:val="18"/>
        </w:rPr>
        <w:t xml:space="preserve">  - twitter</w:t>
      </w:r>
    </w:p>
    <w:p>
      <w:pPr>
        <w:spacing w:before="80" w:after="80"/>
        <w:ind w:left="680" w:right="680"/>
      </w:pPr>
      <w:r>
        <w:rPr>
          <w:rFonts w:ascii="Lato" w:hAnsi="Lato"/>
          <w:b w:val="0"/>
          <w:i/>
          <w:color w:val="374151"/>
          <w:sz w:val="20"/>
        </w:rPr>
        <w:t>"@Indian_Analyzer Despite claims of 89% domestic defence procurement in FY2024-25, India remains the world's second-largest arms importer, with significant ongoing purchases of obsolete Western systems like Rafale jets and Scorpene submarines from France."</w:t>
      </w:r>
      <w:r>
        <w:rPr>
          <w:rFonts w:ascii="Lato" w:hAnsi="Lato"/>
          <w:b w:val="0"/>
          <w:i w:val="0"/>
          <w:color w:val="6B7280"/>
          <w:sz w:val="18"/>
        </w:rPr>
        <w:t xml:space="preserve">  - twitter</w:t>
      </w:r>
    </w:p>
    <w:p>
      <w:r>
        <w:br w:type="page"/>
      </w:r>
    </w:p>
    <w:p>
      <w:pPr>
        <w:pStyle w:val="Heading1"/>
        <w:jc w:val="left"/>
      </w:pPr>
      <w:r>
        <w:rPr>
          <w:rFonts w:ascii="Lato" w:hAnsi="Lato"/>
          <w:b/>
          <w:color w:val="1E3A5F"/>
          <w:sz w:val="44"/>
        </w:rPr>
        <w:t>Brand Health Score</w:t>
      </w:r>
    </w:p>
    <w:p>
      <w:pPr>
        <w:spacing w:after="160"/>
      </w:pPr>
      <w:r>
        <w:rPr>
          <w:rFonts w:ascii="Lato" w:hAnsi="Lato"/>
          <w:b/>
          <w:i w:val="0"/>
          <w:color w:val="1E3A5F"/>
          <w:sz w:val="26"/>
        </w:rPr>
        <w:t xml:space="preserve">Overall Brand Health Score: </w:t>
      </w:r>
      <w:r>
        <w:rPr>
          <w:rFonts w:ascii="Lato" w:hAnsi="Lato"/>
          <w:b/>
          <w:i w:val="0"/>
          <w:color w:val="D97706"/>
          <w:sz w:val="40"/>
        </w:rPr>
        <w:t>69/100</w:t>
      </w:r>
    </w:p>
    <w:p>
      <w:pPr>
        <w:spacing w:after="120" w:before="0"/>
      </w:pPr>
      <w:r>
        <w:rPr>
          <w:rFonts w:ascii="Lato" w:hAnsi="Lato"/>
          <w:b w:val="0"/>
          <w:i w:val="0"/>
          <w:sz w:val="22"/>
        </w:rPr>
        <w:t>Brand Health Score is a composite index built from five data-driven components. No subjective weighting is applied - all inputs are derived from the collected corpus.</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1E3A5F"/>
          </w:tcPr>
          <w:p>
            <w:pPr>
              <w:spacing w:before="60" w:after="60"/>
            </w:pPr>
            <w:r/>
            <w:r>
              <w:rPr>
                <w:rFonts w:ascii="Lato" w:hAnsi="Lato"/>
                <w:b/>
                <w:i w:val="0"/>
                <w:color w:val="FFFFFF"/>
                <w:sz w:val="20"/>
              </w:rPr>
              <w:t>Component</w:t>
            </w:r>
          </w:p>
        </w:tc>
        <w:tc>
          <w:tcPr>
            <w:tcW w:type="dxa" w:w="3135"/>
            <w:shd w:val="clear" w:color="auto" w:fill="1E3A5F"/>
          </w:tcPr>
          <w:p>
            <w:pPr>
              <w:spacing w:before="60" w:after="60"/>
            </w:pPr>
            <w:r/>
            <w:r>
              <w:rPr>
                <w:rFonts w:ascii="Lato" w:hAnsi="Lato"/>
                <w:b/>
                <w:i w:val="0"/>
                <w:color w:val="FFFFFF"/>
                <w:sz w:val="20"/>
              </w:rPr>
              <w:t>Score</w:t>
            </w:r>
          </w:p>
        </w:tc>
        <w:tc>
          <w:tcPr>
            <w:tcW w:type="dxa" w:w="3135"/>
            <w:shd w:val="clear" w:color="auto" w:fill="1E3A5F"/>
          </w:tcPr>
          <w:p>
            <w:pPr>
              <w:spacing w:before="60" w:after="60"/>
            </w:pPr>
            <w:r/>
            <w:r>
              <w:rPr>
                <w:rFonts w:ascii="Lato" w:hAnsi="Lato"/>
                <w:b/>
                <w:i w:val="0"/>
                <w:color w:val="FFFFFF"/>
                <w:sz w:val="20"/>
              </w:rPr>
              <w:t>Methodology</w:t>
            </w:r>
          </w:p>
        </w:tc>
      </w:tr>
      <w:tr>
        <w:tc>
          <w:tcPr>
            <w:tcW w:type="dxa" w:w="3135"/>
          </w:tcPr>
          <w:p>
            <w:pPr>
              <w:spacing w:before="60" w:after="60"/>
            </w:pPr>
            <w:r/>
            <w:r>
              <w:rPr>
                <w:rFonts w:ascii="Lato" w:hAnsi="Lato"/>
                <w:b w:val="0"/>
                <w:i w:val="0"/>
                <w:color w:val="374151"/>
                <w:sz w:val="20"/>
              </w:rPr>
              <w:t>Sentiment Component (30%)</w:t>
            </w:r>
          </w:p>
        </w:tc>
        <w:tc>
          <w:tcPr>
            <w:tcW w:type="dxa" w:w="3135"/>
          </w:tcPr>
          <w:p>
            <w:pPr>
              <w:spacing w:before="60" w:after="60"/>
            </w:pPr>
            <w:r/>
            <w:r>
              <w:rPr>
                <w:rFonts w:ascii="Lato" w:hAnsi="Lato"/>
                <w:b/>
                <w:i w:val="0"/>
                <w:color w:val="D97706"/>
                <w:sz w:val="20"/>
              </w:rPr>
              <w:t>62.0</w:t>
            </w:r>
          </w:p>
        </w:tc>
        <w:tc>
          <w:tcPr>
            <w:tcW w:type="dxa" w:w="3135"/>
          </w:tcPr>
          <w:p>
            <w:pPr>
              <w:spacing w:before="60" w:after="60"/>
            </w:pPr>
            <w:r/>
            <w:r>
              <w:rPr>
                <w:rFonts w:ascii="Lato" w:hAnsi="Lato"/>
                <w:b w:val="0"/>
                <w:i w:val="0"/>
                <w:color w:val="374151"/>
                <w:sz w:val="20"/>
              </w:rPr>
              <w:t>Derived from NSS across all items. Reflects the ratio of positive to negative consumer language.</w:t>
            </w:r>
          </w:p>
        </w:tc>
      </w:tr>
      <w:tr>
        <w:tc>
          <w:tcPr>
            <w:tcW w:type="dxa" w:w="3135"/>
          </w:tcPr>
          <w:p>
            <w:pPr>
              <w:spacing w:before="60" w:after="60"/>
            </w:pPr>
            <w:r/>
            <w:r>
              <w:rPr>
                <w:rFonts w:ascii="Lato" w:hAnsi="Lato"/>
                <w:b w:val="0"/>
                <w:i w:val="0"/>
                <w:color w:val="374151"/>
                <w:sz w:val="20"/>
              </w:rPr>
              <w:t>Engagement Component (25%)</w:t>
            </w:r>
          </w:p>
        </w:tc>
        <w:tc>
          <w:tcPr>
            <w:tcW w:type="dxa" w:w="3135"/>
          </w:tcPr>
          <w:p>
            <w:pPr>
              <w:spacing w:before="60" w:after="60"/>
            </w:pPr>
            <w:r/>
            <w:r>
              <w:rPr>
                <w:rFonts w:ascii="Lato" w:hAnsi="Lato"/>
                <w:b/>
                <w:i w:val="0"/>
                <w:color w:val="059669"/>
                <w:sz w:val="20"/>
              </w:rPr>
              <w:t>91.6</w:t>
            </w:r>
          </w:p>
        </w:tc>
        <w:tc>
          <w:tcPr>
            <w:tcW w:type="dxa" w:w="3135"/>
          </w:tcPr>
          <w:p>
            <w:pPr>
              <w:spacing w:before="60" w:after="60"/>
            </w:pPr>
            <w:r/>
            <w:r>
              <w:rPr>
                <w:rFonts w:ascii="Lato" w:hAnsi="Lato"/>
                <w:b w:val="0"/>
                <w:i w:val="0"/>
                <w:color w:val="374151"/>
                <w:sz w:val="20"/>
              </w:rPr>
              <w:t>Average engagement (upvotes, likes, comments) normalised to platform benchmarks.</w:t>
            </w:r>
          </w:p>
        </w:tc>
      </w:tr>
      <w:tr>
        <w:tc>
          <w:tcPr>
            <w:tcW w:type="dxa" w:w="3135"/>
          </w:tcPr>
          <w:p>
            <w:pPr>
              <w:spacing w:before="60" w:after="60"/>
            </w:pPr>
            <w:r/>
            <w:r>
              <w:rPr>
                <w:rFonts w:ascii="Lato" w:hAnsi="Lato"/>
                <w:b w:val="0"/>
                <w:i w:val="0"/>
                <w:color w:val="374151"/>
                <w:sz w:val="20"/>
              </w:rPr>
              <w:t>Advocacy Component (20%)</w:t>
            </w:r>
          </w:p>
        </w:tc>
        <w:tc>
          <w:tcPr>
            <w:tcW w:type="dxa" w:w="3135"/>
          </w:tcPr>
          <w:p>
            <w:pPr>
              <w:spacing w:before="60" w:after="60"/>
            </w:pPr>
            <w:r/>
            <w:r>
              <w:rPr>
                <w:rFonts w:ascii="Lato" w:hAnsi="Lato"/>
                <w:b/>
                <w:i w:val="0"/>
                <w:color w:val="D97706"/>
                <w:sz w:val="20"/>
              </w:rPr>
              <w:t>55.0</w:t>
            </w:r>
          </w:p>
        </w:tc>
        <w:tc>
          <w:tcPr>
            <w:tcW w:type="dxa" w:w="3135"/>
          </w:tcPr>
          <w:p>
            <w:pPr>
              <w:spacing w:before="60" w:after="60"/>
            </w:pPr>
            <w:r/>
            <w:r>
              <w:rPr>
                <w:rFonts w:ascii="Lato" w:hAnsi="Lato"/>
                <w:b w:val="0"/>
                <w:i w:val="0"/>
                <w:color w:val="374151"/>
                <w:sz w:val="20"/>
              </w:rPr>
              <w:t>Proportion of items containing explicit recommendation or repurchase intent language.</w:t>
            </w:r>
          </w:p>
        </w:tc>
      </w:tr>
      <w:tr>
        <w:tc>
          <w:tcPr>
            <w:tcW w:type="dxa" w:w="3135"/>
          </w:tcPr>
          <w:p>
            <w:pPr>
              <w:spacing w:before="60" w:after="60"/>
            </w:pPr>
            <w:r/>
            <w:r>
              <w:rPr>
                <w:rFonts w:ascii="Lato" w:hAnsi="Lato"/>
                <w:b w:val="0"/>
                <w:i w:val="0"/>
                <w:color w:val="374151"/>
                <w:sz w:val="20"/>
              </w:rPr>
              <w:t>Resilience Component (15%)</w:t>
            </w:r>
          </w:p>
        </w:tc>
        <w:tc>
          <w:tcPr>
            <w:tcW w:type="dxa" w:w="3135"/>
          </w:tcPr>
          <w:p>
            <w:pPr>
              <w:spacing w:before="60" w:after="60"/>
            </w:pPr>
            <w:r/>
            <w:r>
              <w:rPr>
                <w:rFonts w:ascii="Lato" w:hAnsi="Lato"/>
                <w:b/>
                <w:i w:val="0"/>
                <w:color w:val="059669"/>
                <w:sz w:val="20"/>
              </w:rPr>
              <w:t>89.0</w:t>
            </w:r>
          </w:p>
        </w:tc>
        <w:tc>
          <w:tcPr>
            <w:tcW w:type="dxa" w:w="3135"/>
          </w:tcPr>
          <w:p>
            <w:pPr>
              <w:spacing w:before="60" w:after="60"/>
            </w:pPr>
            <w:r/>
            <w:r>
              <w:rPr>
                <w:rFonts w:ascii="Lato" w:hAnsi="Lato"/>
                <w:b w:val="0"/>
                <w:i w:val="0"/>
                <w:color w:val="374151"/>
                <w:sz w:val="20"/>
              </w:rPr>
              <w:t>Sentiment consistency across platforms and time periods.</w:t>
            </w:r>
          </w:p>
        </w:tc>
      </w:tr>
      <w:tr>
        <w:tc>
          <w:tcPr>
            <w:tcW w:type="dxa" w:w="3135"/>
          </w:tcPr>
          <w:p>
            <w:pPr>
              <w:spacing w:before="60" w:after="60"/>
            </w:pPr>
            <w:r/>
            <w:r>
              <w:rPr>
                <w:rFonts w:ascii="Lato" w:hAnsi="Lato"/>
                <w:b w:val="0"/>
                <w:i w:val="0"/>
                <w:color w:val="374151"/>
                <w:sz w:val="20"/>
              </w:rPr>
              <w:t>Conversation Component (10%)</w:t>
            </w:r>
          </w:p>
        </w:tc>
        <w:tc>
          <w:tcPr>
            <w:tcW w:type="dxa" w:w="3135"/>
          </w:tcPr>
          <w:p>
            <w:pPr>
              <w:spacing w:before="60" w:after="60"/>
            </w:pPr>
            <w:r/>
            <w:r>
              <w:rPr>
                <w:rFonts w:ascii="Lato" w:hAnsi="Lato"/>
                <w:b/>
                <w:i w:val="0"/>
                <w:color w:val="DC2626"/>
                <w:sz w:val="20"/>
              </w:rPr>
              <w:t>35.5</w:t>
            </w:r>
          </w:p>
        </w:tc>
        <w:tc>
          <w:tcPr>
            <w:tcW w:type="dxa" w:w="3135"/>
          </w:tcPr>
          <w:p>
            <w:pPr>
              <w:spacing w:before="60" w:after="60"/>
            </w:pPr>
            <w:r/>
            <w:r>
              <w:rPr>
                <w:rFonts w:ascii="Lato" w:hAnsi="Lato"/>
                <w:b w:val="0"/>
                <w:i w:val="0"/>
                <w:color w:val="374151"/>
                <w:sz w:val="20"/>
              </w:rPr>
              <w:t>Volume and depth of organic brand conversation (non-promotional threads).</w:t>
            </w:r>
          </w:p>
        </w:tc>
      </w:tr>
    </w:tbl>
    <w:p>
      <w:pPr>
        <w:spacing w:before="280" w:after="120"/>
      </w:pPr>
      <w:r>
        <w:rPr>
          <w:rFonts w:ascii="Lato" w:hAnsi="Lato"/>
          <w:b/>
          <w:i w:val="0"/>
          <w:color w:val="1E3A5F"/>
          <w:sz w:val="22"/>
        </w:rPr>
        <w:t xml:space="preserve">Note: </w:t>
      </w:r>
      <w:r>
        <w:rPr>
          <w:rFonts w:ascii="Lato" w:hAnsi="Lato"/>
          <w:b w:val="0"/>
          <w:i w:val="0"/>
          <w:color w:val="374151"/>
          <w:sz w:val="22"/>
        </w:rPr>
        <w:t>The Conversation Component (36/100) is the lowest-scoring factor. This reflects that most brand mentions occur in reaction to advertising, campaigns, and celebrity content rather than unprompted consumer-initiated discussion. Organic brand conversation is thin relative to engagement volume - a pattern consistent with a brand consumers transact with rather than one they actively champion.</w:t>
      </w:r>
    </w:p>
    <w:p>
      <w:r>
        <w:br w:type="page"/>
      </w:r>
    </w:p>
    <w:p>
      <w:pPr>
        <w:pStyle w:val="Heading1"/>
        <w:jc w:val="left"/>
      </w:pPr>
      <w:r>
        <w:rPr>
          <w:rFonts w:ascii="Lato" w:hAnsi="Lato"/>
          <w:b/>
          <w:color w:val="1E3A5F"/>
          <w:sz w:val="44"/>
        </w:rPr>
        <w:t>Methodology</w:t>
      </w:r>
    </w:p>
    <w:p>
      <w:pPr>
        <w:pStyle w:val="Heading2"/>
        <w:jc w:val="left"/>
      </w:pPr>
      <w:r>
        <w:rPr>
          <w:rFonts w:ascii="Lato" w:hAnsi="Lato"/>
          <w:b/>
          <w:color w:val="1E3A5F"/>
          <w:sz w:val="32"/>
        </w:rPr>
        <w:t>Pipeline Overview</w:t>
      </w:r>
    </w:p>
    <w:p>
      <w:pPr>
        <w:pStyle w:val="ListBullet"/>
        <w:spacing w:after="80"/>
      </w:pPr>
      <w:r>
        <w:rPr>
          <w:rFonts w:ascii="Lato" w:hAnsi="Lato"/>
          <w:b/>
          <w:i w:val="0"/>
          <w:color w:val="1E3A5F"/>
          <w:sz w:val="22"/>
        </w:rPr>
        <w:t xml:space="preserve">Stage 0 - Brief </w:t>
      </w:r>
      <w:r>
        <w:rPr>
          <w:rFonts w:ascii="Lato" w:hAnsi="Lato"/>
          <w:b w:val="0"/>
          <w:i w:val="0"/>
          <w:sz w:val="22"/>
        </w:rPr>
        <w:t>Structured research brief defines brand, competitors, geography, business objectives, and keyword seed list.</w:t>
      </w:r>
    </w:p>
    <w:p>
      <w:pPr>
        <w:pStyle w:val="ListBullet"/>
        <w:spacing w:after="80"/>
      </w:pPr>
      <w:r>
        <w:rPr>
          <w:rFonts w:ascii="Lato" w:hAnsi="Lato"/>
          <w:b/>
          <w:i w:val="0"/>
          <w:color w:val="1E3A5F"/>
          <w:sz w:val="22"/>
        </w:rPr>
        <w:t xml:space="preserve">Stage 1 - Collect </w:t>
      </w:r>
      <w:r>
        <w:rPr>
          <w:rFonts w:ascii="Lato" w:hAnsi="Lato"/>
          <w:b w:val="0"/>
          <w:i w:val="0"/>
          <w:sz w:val="22"/>
        </w:rPr>
        <w:t>Data ingested from external sources across Instagram, Reddit, Twitter, Youtube. Original collection methodology unknown.</w:t>
      </w:r>
    </w:p>
    <w:p>
      <w:pPr>
        <w:pStyle w:val="ListBullet"/>
        <w:spacing w:after="80"/>
      </w:pPr>
      <w:r>
        <w:rPr>
          <w:rFonts w:ascii="Lato" w:hAnsi="Lato"/>
          <w:b/>
          <w:i w:val="0"/>
          <w:color w:val="1E3A5F"/>
          <w:sz w:val="22"/>
        </w:rPr>
        <w:t xml:space="preserve">Stage 2 - Normalize </w:t>
      </w:r>
      <w:r>
        <w:rPr>
          <w:rFonts w:ascii="Lato" w:hAnsi="Lato"/>
          <w:b w:val="0"/>
          <w:i w:val="0"/>
          <w:sz w:val="22"/>
        </w:rPr>
        <w:t>Thread-level deduplication (comments capped per thread). Deterministic SHA-256 item IDs prevent re-collection of duplicates across runs.</w:t>
      </w:r>
    </w:p>
    <w:p>
      <w:pPr>
        <w:pStyle w:val="ListBullet"/>
        <w:spacing w:after="80"/>
      </w:pPr>
      <w:r>
        <w:rPr>
          <w:rFonts w:ascii="Lato" w:hAnsi="Lato"/>
          <w:b/>
          <w:i w:val="0"/>
          <w:color w:val="1E3A5F"/>
          <w:sz w:val="22"/>
        </w:rPr>
        <w:t xml:space="preserve">Stage 3 - Filter </w:t>
      </w:r>
      <w:r>
        <w:rPr>
          <w:rFonts w:ascii="Lato" w:hAnsi="Lato"/>
          <w:b w:val="0"/>
          <w:i w:val="0"/>
          <w:sz w:val="22"/>
        </w:rPr>
        <w:t>LLM relevance classification (claude-sonnet-4-20250514). Each item classified as relevant/irrelevant with a reason. Multilingual support enabled.</w:t>
      </w:r>
    </w:p>
    <w:p>
      <w:pPr>
        <w:pStyle w:val="ListBullet"/>
        <w:spacing w:after="80"/>
      </w:pPr>
      <w:r>
        <w:rPr>
          <w:rFonts w:ascii="Lato" w:hAnsi="Lato"/>
          <w:b/>
          <w:i w:val="0"/>
          <w:color w:val="1E3A5F"/>
          <w:sz w:val="22"/>
        </w:rPr>
        <w:t xml:space="preserve">Stage 4 - Analyze </w:t>
      </w:r>
      <w:r>
        <w:rPr>
          <w:rFonts w:ascii="Lato" w:hAnsi="Lato"/>
          <w:b w:val="0"/>
          <w:i w:val="0"/>
          <w:sz w:val="22"/>
        </w:rPr>
        <w:t>Sentiment (positive/negative/neutral/mixed) + Plutchik 8-emotion classification in a single LLM call. ABSA: per-aspect sentiment extracted. Two-pass theme extraction: (a) discovery on stratified sample to identify candidate themes; (b) full-corpus mapping of all items to themes in batches.</w:t>
      </w:r>
    </w:p>
    <w:p>
      <w:pPr>
        <w:pStyle w:val="ListBullet"/>
        <w:spacing w:after="80"/>
      </w:pPr>
      <w:r>
        <w:rPr>
          <w:rFonts w:ascii="Lato" w:hAnsi="Lato"/>
          <w:b/>
          <w:i w:val="0"/>
          <w:color w:val="1E3A5F"/>
          <w:sz w:val="22"/>
        </w:rPr>
        <w:t xml:space="preserve">Stage 5 - Synthesize </w:t>
      </w:r>
      <w:r>
        <w:rPr>
          <w:rFonts w:ascii="Lato" w:hAnsi="Lato"/>
          <w:b w:val="0"/>
          <w:i w:val="0"/>
          <w:sz w:val="22"/>
        </w:rPr>
        <w:t>One insight per theme, mandated by prompt. Insight structure: Observation - Insight - Implication - Recommendation - Further Validation.</w:t>
      </w:r>
    </w:p>
    <w:p>
      <w:pPr>
        <w:pStyle w:val="ListBullet"/>
        <w:spacing w:after="80"/>
      </w:pPr>
      <w:r>
        <w:rPr>
          <w:rFonts w:ascii="Lato" w:hAnsi="Lato"/>
          <w:b/>
          <w:i w:val="0"/>
          <w:color w:val="1E3A5F"/>
          <w:sz w:val="22"/>
        </w:rPr>
        <w:t xml:space="preserve">Stage 6 - Score </w:t>
      </w:r>
      <w:r>
        <w:rPr>
          <w:rFonts w:ascii="Lato" w:hAnsi="Lato"/>
          <w:b w:val="0"/>
          <w:i w:val="0"/>
          <w:sz w:val="22"/>
        </w:rPr>
        <w:t>Fully data-driven scoring. Confidence: 5 factors (sample size, source diversity, temporal consistency, internal agreement, data recency). Signal Strength: 4 factors (prevalence, engagement, sentiment intensity, conversation depth). Brand Health Score: 5 components.</w:t>
      </w:r>
    </w:p>
    <w:p>
      <w:pPr>
        <w:pStyle w:val="ListBullet"/>
        <w:spacing w:after="80"/>
      </w:pPr>
      <w:r>
        <w:rPr>
          <w:rFonts w:ascii="Lato" w:hAnsi="Lato"/>
          <w:b/>
          <w:i w:val="0"/>
          <w:color w:val="1E3A5F"/>
          <w:sz w:val="22"/>
        </w:rPr>
        <w:t xml:space="preserve">Stage 7 - Report </w:t>
      </w:r>
      <w:r>
        <w:rPr>
          <w:rFonts w:ascii="Lato" w:hAnsi="Lato"/>
          <w:b w:val="0"/>
          <w:i w:val="0"/>
          <w:sz w:val="22"/>
        </w:rPr>
        <w:t>Google Doc-compatible DOCX with inline charts, block-quoted verbatims, and full data tables.</w:t>
      </w:r>
    </w:p>
    <w:p>
      <w:pPr>
        <w:pStyle w:val="Heading2"/>
        <w:jc w:val="left"/>
      </w:pPr>
      <w:r>
        <w:rPr>
          <w:rFonts w:ascii="Lato" w:hAnsi="Lato"/>
          <w:b/>
          <w:color w:val="1E3A5F"/>
          <w:sz w:val="32"/>
        </w:rPr>
        <w:t>Scoring Formulas</w:t>
      </w:r>
    </w:p>
    <w:p>
      <w:pPr>
        <w:pStyle w:val="Heading3"/>
        <w:jc w:val="left"/>
      </w:pPr>
      <w:r>
        <w:rPr>
          <w:rFonts w:ascii="Lato" w:hAnsi="Lato"/>
          <w:b/>
          <w:color w:val="1E3A5F"/>
          <w:sz w:val="26"/>
        </w:rPr>
        <w:t>Confidence Score</w:t>
      </w:r>
    </w:p>
    <w:p>
      <w:pPr>
        <w:spacing w:after="120" w:before="0"/>
      </w:pPr>
      <w:r>
        <w:rPr>
          <w:rFonts w:ascii="Lato" w:hAnsi="Lato"/>
          <w:b w:val="0"/>
          <w:i w:val="0"/>
          <w:sz w:val="22"/>
        </w:rPr>
        <w:t>Confidence = (sample_size x 0.25) + (source_diversity x 0.25) + (temporal_consistency x 0.15) + (internal_agreement x 0.2) + (data_recency x 0.15)</w:t>
      </w:r>
    </w:p>
    <w:p>
      <w:pPr>
        <w:pStyle w:val="Heading3"/>
        <w:jc w:val="left"/>
      </w:pPr>
      <w:r>
        <w:rPr>
          <w:rFonts w:ascii="Lato" w:hAnsi="Lato"/>
          <w:b/>
          <w:color w:val="1E3A5F"/>
          <w:sz w:val="26"/>
        </w:rPr>
        <w:t>Signal Strength Score</w:t>
      </w:r>
    </w:p>
    <w:p>
      <w:pPr>
        <w:spacing w:after="120" w:before="0"/>
      </w:pPr>
      <w:r>
        <w:rPr>
          <w:rFonts w:ascii="Lato" w:hAnsi="Lato"/>
          <w:b w:val="0"/>
          <w:i w:val="0"/>
          <w:sz w:val="22"/>
        </w:rPr>
        <w:t>Signal = (prevalence x 0.35) + (engagement x 0.3) + (sentiment_intensity x 0.2) + (conversation_depth x 0.15)</w:t>
      </w:r>
    </w:p>
    <w:p>
      <w:pPr>
        <w:pStyle w:val="Heading3"/>
        <w:jc w:val="left"/>
      </w:pPr>
      <w:r>
        <w:rPr>
          <w:rFonts w:ascii="Lato" w:hAnsi="Lato"/>
          <w:b/>
          <w:color w:val="1E3A5F"/>
          <w:sz w:val="26"/>
        </w:rPr>
        <w:t>Net Sentiment Score (NSS)</w:t>
      </w:r>
    </w:p>
    <w:p>
      <w:pPr>
        <w:spacing w:after="120" w:before="0"/>
      </w:pPr>
      <w:r>
        <w:rPr>
          <w:rFonts w:ascii="Lato" w:hAnsi="Lato"/>
          <w:b w:val="0"/>
          <w:i w:val="0"/>
          <w:sz w:val="22"/>
        </w:rPr>
        <w:t>NSS = (positive_count - negative_count) / total_count. Range -1.0 to +1.0. Industry standard: Brandwatch, Sprinklr, YouGov.</w:t>
      </w:r>
    </w:p>
    <w:p>
      <w:pPr>
        <w:pStyle w:val="Heading2"/>
        <w:jc w:val="left"/>
      </w:pPr>
      <w:r>
        <w:rPr>
          <w:rFonts w:ascii="Lato" w:hAnsi="Lato"/>
          <w:b/>
          <w:color w:val="1E3A5F"/>
          <w:sz w:val="32"/>
        </w:rPr>
        <w:t>Quality Gates</w:t>
      </w:r>
    </w:p>
    <w:p>
      <w:pPr>
        <w:pStyle w:val="ListBullet"/>
        <w:spacing w:after="80"/>
      </w:pPr>
      <w:r>
        <w:rPr>
          <w:rFonts w:ascii="Lato" w:hAnsi="Lato"/>
          <w:b w:val="0"/>
          <w:i w:val="0"/>
          <w:sz w:val="22"/>
        </w:rPr>
        <w:t>Grounded (≥3 sources cited)</w:t>
      </w:r>
    </w:p>
    <w:p>
      <w:pPr>
        <w:pStyle w:val="ListBullet"/>
        <w:spacing w:after="80"/>
      </w:pPr>
      <w:r>
        <w:rPr>
          <w:rFonts w:ascii="Lato" w:hAnsi="Lato"/>
          <w:b w:val="0"/>
          <w:i w:val="0"/>
          <w:sz w:val="22"/>
        </w:rPr>
        <w:t>Non-obvious (not derivable from common knowledge)</w:t>
      </w:r>
    </w:p>
    <w:p>
      <w:pPr>
        <w:pStyle w:val="ListBullet"/>
        <w:spacing w:after="80"/>
      </w:pPr>
      <w:r>
        <w:rPr>
          <w:rFonts w:ascii="Lato" w:hAnsi="Lato"/>
          <w:b w:val="0"/>
          <w:i w:val="0"/>
          <w:sz w:val="22"/>
        </w:rPr>
        <w:t>Actionable (leads to a concrete business decision)</w:t>
      </w:r>
    </w:p>
    <w:p>
      <w:pPr>
        <w:pStyle w:val="ListBullet"/>
        <w:spacing w:after="80"/>
      </w:pPr>
      <w:r>
        <w:rPr>
          <w:rFonts w:ascii="Lato" w:hAnsi="Lato"/>
          <w:b w:val="0"/>
          <w:i w:val="0"/>
          <w:sz w:val="22"/>
        </w:rPr>
        <w:t>Specific (not vague platitude)</w:t>
      </w:r>
    </w:p>
    <w:p>
      <w:pPr>
        <w:pStyle w:val="ListBullet"/>
        <w:spacing w:after="80"/>
      </w:pPr>
      <w:r>
        <w:rPr>
          <w:rFonts w:ascii="Lato" w:hAnsi="Lato"/>
          <w:b w:val="0"/>
          <w:i w:val="0"/>
          <w:sz w:val="22"/>
        </w:rPr>
        <w:t>Falsifiable (could be proven wrong with additional data)</w:t>
      </w:r>
    </w:p>
    <w:p>
      <w:r>
        <w:br w:type="page"/>
      </w:r>
    </w:p>
    <w:p>
      <w:pPr>
        <w:pStyle w:val="Heading1"/>
        <w:jc w:val="left"/>
      </w:pPr>
      <w:r>
        <w:rPr>
          <w:rFonts w:ascii="Lato" w:hAnsi="Lato"/>
          <w:b/>
          <w:color w:val="1E3A5F"/>
          <w:sz w:val="44"/>
        </w:rPr>
        <w:t>Data Provenance</w:t>
      </w:r>
    </w:p>
    <w:p>
      <w:pPr>
        <w:spacing w:after="120" w:before="0"/>
      </w:pPr>
      <w:r>
        <w:rPr>
          <w:rFonts w:ascii="Lato" w:hAnsi="Lato"/>
          <w:b w:val="0"/>
          <w:i w:val="0"/>
          <w:sz w:val="22"/>
        </w:rPr>
        <w:t>All data is sourced from publicly available online conversations. No personally identifiable information (PII) is stored or reported.</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1E3A5F"/>
          </w:tcPr>
          <w:p>
            <w:pPr>
              <w:spacing w:before="60" w:after="60"/>
            </w:pPr>
            <w:r/>
            <w:r>
              <w:rPr>
                <w:rFonts w:ascii="Lato" w:hAnsi="Lato"/>
                <w:b/>
                <w:i w:val="0"/>
                <w:color w:val="FFFFFF"/>
                <w:sz w:val="20"/>
              </w:rPr>
              <w:t>Source</w:t>
            </w:r>
          </w:p>
        </w:tc>
        <w:tc>
          <w:tcPr>
            <w:tcW w:type="dxa" w:w="2351"/>
            <w:shd w:val="clear" w:color="auto" w:fill="1E3A5F"/>
          </w:tcPr>
          <w:p>
            <w:pPr>
              <w:spacing w:before="60" w:after="60"/>
            </w:pPr>
            <w:r/>
            <w:r>
              <w:rPr>
                <w:rFonts w:ascii="Lato" w:hAnsi="Lato"/>
                <w:b/>
                <w:i w:val="0"/>
                <w:color w:val="FFFFFF"/>
                <w:sz w:val="20"/>
              </w:rPr>
              <w:t>Content Type</w:t>
            </w:r>
          </w:p>
        </w:tc>
        <w:tc>
          <w:tcPr>
            <w:tcW w:type="dxa" w:w="2351"/>
            <w:shd w:val="clear" w:color="auto" w:fill="1E3A5F"/>
          </w:tcPr>
          <w:p>
            <w:pPr>
              <w:spacing w:before="60" w:after="60"/>
            </w:pPr>
            <w:r/>
            <w:r>
              <w:rPr>
                <w:rFonts w:ascii="Lato" w:hAnsi="Lato"/>
                <w:b/>
                <w:i w:val="0"/>
                <w:color w:val="FFFFFF"/>
                <w:sz w:val="20"/>
              </w:rPr>
              <w:t>Access Method</w:t>
            </w:r>
          </w:p>
        </w:tc>
        <w:tc>
          <w:tcPr>
            <w:tcW w:type="dxa" w:w="2351"/>
            <w:shd w:val="clear" w:color="auto" w:fill="1E3A5F"/>
          </w:tcPr>
          <w:p>
            <w:pPr>
              <w:spacing w:before="60" w:after="60"/>
            </w:pPr>
            <w:r/>
            <w:r>
              <w:rPr>
                <w:rFonts w:ascii="Lato" w:hAnsi="Lato"/>
                <w:b/>
                <w:i w:val="0"/>
                <w:color w:val="FFFFFF"/>
                <w:sz w:val="20"/>
              </w:rPr>
              <w:t>Items in Corpus</w:t>
            </w:r>
          </w:p>
        </w:tc>
      </w:tr>
      <w:tr>
        <w:tc>
          <w:tcPr>
            <w:tcW w:type="dxa" w:w="2351"/>
          </w:tcPr>
          <w:p>
            <w:pPr>
              <w:spacing w:before="60" w:after="60"/>
            </w:pPr>
            <w:r/>
            <w:r>
              <w:rPr>
                <w:rFonts w:ascii="Lato" w:hAnsi="Lato"/>
                <w:b w:val="0"/>
                <w:i w:val="0"/>
                <w:color w:val="374151"/>
                <w:sz w:val="20"/>
              </w:rPr>
              <w:t>Twitter / X</w:t>
            </w:r>
          </w:p>
        </w:tc>
        <w:tc>
          <w:tcPr>
            <w:tcW w:type="dxa" w:w="2351"/>
          </w:tcPr>
          <w:p>
            <w:pPr>
              <w:spacing w:before="60" w:after="60"/>
            </w:pPr>
            <w:r/>
            <w:r>
              <w:rPr>
                <w:rFonts w:ascii="Lato" w:hAnsi="Lato"/>
                <w:b w:val="0"/>
                <w:i w:val="0"/>
                <w:color w:val="374151"/>
                <w:sz w:val="20"/>
              </w:rPr>
              <w:t>Tweets, replies, quote tweets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2,266</w:t>
            </w:r>
          </w:p>
        </w:tc>
      </w:tr>
      <w:tr>
        <w:tc>
          <w:tcPr>
            <w:tcW w:type="dxa" w:w="2351"/>
          </w:tcPr>
          <w:p>
            <w:pPr>
              <w:spacing w:before="60" w:after="60"/>
            </w:pPr>
            <w:r/>
            <w:r>
              <w:rPr>
                <w:rFonts w:ascii="Lato" w:hAnsi="Lato"/>
                <w:b w:val="0"/>
                <w:i w:val="0"/>
                <w:color w:val="374151"/>
                <w:sz w:val="20"/>
              </w:rPr>
              <w:t>YouTube</w:t>
            </w:r>
          </w:p>
        </w:tc>
        <w:tc>
          <w:tcPr>
            <w:tcW w:type="dxa" w:w="2351"/>
          </w:tcPr>
          <w:p>
            <w:pPr>
              <w:spacing w:before="60" w:after="60"/>
            </w:pPr>
            <w:r/>
            <w:r>
              <w:rPr>
                <w:rFonts w:ascii="Lato" w:hAnsi="Lato"/>
                <w:b w:val="0"/>
                <w:i w:val="0"/>
                <w:color w:val="374151"/>
                <w:sz w:val="20"/>
              </w:rPr>
              <w:t>Video descriptions, comments</w:t>
            </w:r>
          </w:p>
        </w:tc>
        <w:tc>
          <w:tcPr>
            <w:tcW w:type="dxa" w:w="2351"/>
          </w:tcPr>
          <w:p>
            <w:pPr>
              <w:spacing w:before="60" w:after="60"/>
            </w:pPr>
            <w:r/>
            <w:r>
              <w:rPr>
                <w:rFonts w:ascii="Lato" w:hAnsi="Lato"/>
                <w:b w:val="0"/>
                <w:i w:val="0"/>
                <w:color w:val="374151"/>
                <w:sz w:val="20"/>
              </w:rPr>
              <w:t>YouTube Data API v3</w:t>
            </w:r>
          </w:p>
        </w:tc>
        <w:tc>
          <w:tcPr>
            <w:tcW w:type="dxa" w:w="2351"/>
          </w:tcPr>
          <w:p>
            <w:pPr>
              <w:spacing w:before="60" w:after="60"/>
            </w:pPr>
            <w:r/>
            <w:r>
              <w:rPr>
                <w:rFonts w:ascii="Lato" w:hAnsi="Lato"/>
                <w:b w:val="0"/>
                <w:i w:val="0"/>
                <w:color w:val="374151"/>
                <w:sz w:val="20"/>
              </w:rPr>
              <w:t>887</w:t>
            </w:r>
          </w:p>
        </w:tc>
      </w:tr>
      <w:tr>
        <w:tc>
          <w:tcPr>
            <w:tcW w:type="dxa" w:w="2351"/>
          </w:tcPr>
          <w:p>
            <w:pPr>
              <w:spacing w:before="60" w:after="60"/>
            </w:pPr>
            <w:r/>
            <w:r>
              <w:rPr>
                <w:rFonts w:ascii="Lato" w:hAnsi="Lato"/>
                <w:b w:val="0"/>
                <w:i w:val="0"/>
                <w:color w:val="374151"/>
                <w:sz w:val="20"/>
              </w:rPr>
              <w:t>Reddit</w:t>
            </w:r>
          </w:p>
        </w:tc>
        <w:tc>
          <w:tcPr>
            <w:tcW w:type="dxa" w:w="2351"/>
          </w:tcPr>
          <w:p>
            <w:pPr>
              <w:spacing w:before="60" w:after="60"/>
            </w:pPr>
            <w:r/>
            <w:r>
              <w:rPr>
                <w:rFonts w:ascii="Lato" w:hAnsi="Lato"/>
                <w:b w:val="0"/>
                <w:i w:val="0"/>
                <w:color w:val="374151"/>
                <w:sz w:val="20"/>
              </w:rPr>
              <w:t>Forum discussions, comments</w:t>
            </w:r>
          </w:p>
        </w:tc>
        <w:tc>
          <w:tcPr>
            <w:tcW w:type="dxa" w:w="2351"/>
          </w:tcPr>
          <w:p>
            <w:pPr>
              <w:spacing w:before="60" w:after="60"/>
            </w:pPr>
            <w:r/>
            <w:r>
              <w:rPr>
                <w:rFonts w:ascii="Lato" w:hAnsi="Lato"/>
                <w:b w:val="0"/>
                <w:i w:val="0"/>
                <w:color w:val="374151"/>
                <w:sz w:val="20"/>
              </w:rPr>
              <w:t>Public JSON API</w:t>
            </w:r>
          </w:p>
        </w:tc>
        <w:tc>
          <w:tcPr>
            <w:tcW w:type="dxa" w:w="2351"/>
          </w:tcPr>
          <w:p>
            <w:pPr>
              <w:spacing w:before="60" w:after="60"/>
            </w:pPr>
            <w:r/>
            <w:r>
              <w:rPr>
                <w:rFonts w:ascii="Lato" w:hAnsi="Lato"/>
                <w:b w:val="0"/>
                <w:i w:val="0"/>
                <w:color w:val="374151"/>
                <w:sz w:val="20"/>
              </w:rPr>
              <w:t>310</w:t>
            </w:r>
          </w:p>
        </w:tc>
      </w:tr>
      <w:tr>
        <w:tc>
          <w:tcPr>
            <w:tcW w:type="dxa" w:w="2351"/>
          </w:tcPr>
          <w:p>
            <w:pPr>
              <w:spacing w:before="60" w:after="60"/>
            </w:pPr>
            <w:r/>
            <w:r>
              <w:rPr>
                <w:rFonts w:ascii="Lato" w:hAnsi="Lato"/>
                <w:b w:val="0"/>
                <w:i w:val="0"/>
                <w:color w:val="374151"/>
                <w:sz w:val="20"/>
              </w:rPr>
              <w:t>Instagram</w:t>
            </w:r>
          </w:p>
        </w:tc>
        <w:tc>
          <w:tcPr>
            <w:tcW w:type="dxa" w:w="2351"/>
          </w:tcPr>
          <w:p>
            <w:pPr>
              <w:spacing w:before="60" w:after="60"/>
            </w:pPr>
            <w:r/>
            <w:r>
              <w:rPr>
                <w:rFonts w:ascii="Lato" w:hAnsi="Lato"/>
                <w:b w:val="0"/>
                <w:i w:val="0"/>
                <w:color w:val="374151"/>
                <w:sz w:val="20"/>
              </w:rPr>
              <w:t>Posts, reels, comments</w:t>
            </w:r>
          </w:p>
        </w:tc>
        <w:tc>
          <w:tcPr>
            <w:tcW w:type="dxa" w:w="2351"/>
          </w:tcPr>
          <w:p>
            <w:pPr>
              <w:spacing w:before="60" w:after="60"/>
            </w:pPr>
            <w:r/>
            <w:r>
              <w:rPr>
                <w:rFonts w:ascii="Lato" w:hAnsi="Lato"/>
                <w:b w:val="0"/>
                <w:i w:val="0"/>
                <w:color w:val="374151"/>
                <w:sz w:val="20"/>
              </w:rPr>
              <w:t>Platform API / external collection</w:t>
            </w:r>
          </w:p>
        </w:tc>
        <w:tc>
          <w:tcPr>
            <w:tcW w:type="dxa" w:w="2351"/>
          </w:tcPr>
          <w:p>
            <w:pPr>
              <w:spacing w:before="60" w:after="60"/>
            </w:pPr>
            <w:r/>
            <w:r>
              <w:rPr>
                <w:rFonts w:ascii="Lato" w:hAnsi="Lato"/>
                <w:b w:val="0"/>
                <w:i w:val="0"/>
                <w:color w:val="374151"/>
                <w:sz w:val="20"/>
              </w:rPr>
              <w:t>53</w:t>
            </w:r>
          </w:p>
        </w:tc>
      </w:tr>
    </w:tbl>
    <w:p>
      <w:pPr>
        <w:spacing w:after="120" w:before="0"/>
      </w:pPr>
      <w:r>
        <w:rPr>
          <w:rFonts w:ascii="Lato" w:hAnsi="Lato"/>
          <w:b w:val="0"/>
          <w:i w:val="0"/>
          <w:sz w:val="22"/>
        </w:rPr>
        <w:t>Corpus composition: 2,583 posts and 933 comments. Each comment is treated as an independent item linked to its parent post for thread-level analysis.</w:t>
      </w:r>
    </w:p>
    <w:p>
      <w:pPr>
        <w:pStyle w:val="Heading2"/>
        <w:jc w:val="left"/>
      </w:pPr>
      <w:r>
        <w:rPr>
          <w:rFonts w:ascii="Lato" w:hAnsi="Lato"/>
          <w:b/>
          <w:color w:val="1E3A5F"/>
          <w:sz w:val="32"/>
        </w:rPr>
        <w:t>Geographic Coverage</w:t>
      </w:r>
    </w:p>
    <w:p>
      <w:pPr>
        <w:spacing w:after="120" w:before="0"/>
      </w:pPr>
      <w:r>
        <w:rPr>
          <w:rFonts w:ascii="Lato" w:hAnsi="Lato"/>
          <w:b w:val="0"/>
          <w:i w:val="0"/>
          <w:sz w:val="22"/>
        </w:rPr>
        <w:t>Primary market context: India. Content is collected using market-specific queries (brand names, regional terms, India-specific keywords) and filtered for topical relevance. However, no platform provides verified geolocation data. Geographic origin is inferred from context (language, currency references, retailer mentions, cultural markers) rather than verified. Audit of comparable studies found 2-3% of corpus items originate from non-target markets (e.g., US product listings, UK healthcare discussions) that pass topical relevance filters. Findings in this report describe conversations about the brand in the India market context, not verified conversations from India consumers.</w:t>
      </w:r>
    </w:p>
    <w:p>
      <w:pPr>
        <w:pStyle w:val="Heading2"/>
        <w:jc w:val="left"/>
      </w:pPr>
      <w:r>
        <w:rPr>
          <w:rFonts w:ascii="Lato" w:hAnsi="Lato"/>
          <w:b/>
          <w:color w:val="1E3A5F"/>
          <w:sz w:val="32"/>
        </w:rPr>
        <w:t>Temporal Coverage</w:t>
      </w:r>
    </w:p>
    <w:p>
      <w:pPr>
        <w:spacing w:after="120" w:before="0"/>
      </w:pPr>
      <w:r>
        <w:rPr>
          <w:rFonts w:ascii="Lato" w:hAnsi="Lato"/>
          <w:b w:val="0"/>
          <w:i w:val="0"/>
          <w:sz w:val="22"/>
        </w:rPr>
        <w:t>Data range: Dec 2024 - Jan 2026 (12 months). Items span the full collection period with no temporal exclusion applied at normalization.</w:t>
      </w:r>
    </w:p>
    <w:p>
      <w:pPr>
        <w:pStyle w:val="Heading2"/>
        <w:jc w:val="left"/>
      </w:pPr>
      <w:r>
        <w:rPr>
          <w:rFonts w:ascii="Lato" w:hAnsi="Lato"/>
          <w:b/>
          <w:color w:val="1E3A5F"/>
          <w:sz w:val="32"/>
        </w:rPr>
        <w:t>Demographic Accuracy</w:t>
      </w:r>
    </w:p>
    <w:p>
      <w:pPr>
        <w:spacing w:after="120" w:before="0"/>
      </w:pPr>
      <w:r>
        <w:rPr>
          <w:rFonts w:ascii="Lato" w:hAnsi="Lato"/>
          <w:b w:val="0"/>
          <w:i w:val="0"/>
          <w:sz w:val="22"/>
        </w:rPr>
        <w:t>This methodology explicitly documents platform-level composition so that interpretation accounts for known biases: YouTube is more balanced across gender but skews younger audiences; creator content dominates over consumer discussion; Instagram skews female, urban, and 18-34 with strong influencer and health-creator content that shapes but does not represent consumer opinion; Twitter/X skews male, urban, politically engaged, and 25-44; high-follower accounts dominate visibility while ordinary consumer voices are underrepresented; Reddit skews male, urban, and 18-34. These biases are documented rather than hidden. For verified demographic breakdowns, commission a structured survey targeted to the same research questions, using this report's insights as the stimulus.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