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Inter" w:hAnsi="Inter"/>
          <w:b/>
          <w:i w:val="0"/>
          <w:color w:val="0F2440"/>
          <w:sz w:val="72"/>
        </w:rPr>
        <w:t>Thums Up</w:t>
      </w:r>
    </w:p>
    <w:p>
      <w:pPr>
        <w:spacing w:after="80"/>
        <w:jc w:val="left"/>
      </w:pPr>
      <w:r>
        <w:rPr>
          <w:rFonts w:ascii="Inter" w:hAnsi="Inter"/>
          <w:b w:val="0"/>
          <w:i w:val="0"/>
          <w:color w:val="374151"/>
          <w:sz w:val="28"/>
        </w:rPr>
        <w:t>Research Report: Consumer Sentiment &amp; Brand Perception</w:t>
      </w:r>
    </w:p>
    <w:p>
      <w:pPr>
        <w:spacing w:after="560"/>
        <w:jc w:val="left"/>
      </w:pPr>
      <w:r>
        <w:rPr>
          <w:rFonts w:ascii="Inter" w:hAnsi="Inter"/>
          <w:b w:val="0"/>
          <w:i w:val="0"/>
          <w:color w:val="6B7280"/>
          <w:sz w:val="22"/>
        </w:rPr>
        <w:t>Analysis Date: April 2026</w:t>
      </w:r>
    </w:p>
    <w:p>
      <w:pPr>
        <w:spacing w:before="80" w:after="80"/>
        <w:pBdr>
          <w:bottom w:val="single" w:sz="4" w:space="1" w:color="6B7280"/>
        </w:pBdr>
      </w:pPr>
    </w:p>
    <w:p>
      <w:pPr>
        <w:pStyle w:val="Heading2"/>
        <w:jc w:val="left"/>
      </w:pPr>
      <w:r>
        <w:rPr>
          <w:rFonts w:ascii="Inter" w:hAnsi="Inter"/>
          <w:b/>
          <w:color w:val="1E3A5F"/>
          <w:sz w:val="32"/>
        </w:rPr>
        <w:t>Research Objectives</w:t>
      </w:r>
    </w:p>
    <w:p>
      <w:pPr>
        <w:pStyle w:val="ListBullet"/>
        <w:spacing w:after="80"/>
      </w:pPr>
      <w:r>
        <w:rPr>
          <w:rFonts w:ascii="Inter" w:hAnsi="Inter"/>
          <w:b w:val="0"/>
          <w:i w:val="0"/>
          <w:sz w:val="22"/>
        </w:rPr>
        <w:t>Understand current brand perception among Indian consumers</w:t>
      </w:r>
    </w:p>
    <w:p>
      <w:pPr>
        <w:pStyle w:val="ListBullet"/>
        <w:spacing w:after="80"/>
      </w:pPr>
      <w:r>
        <w:rPr>
          <w:rFonts w:ascii="Inter" w:hAnsi="Inter"/>
          <w:b w:val="0"/>
          <w:i w:val="0"/>
          <w:sz w:val="22"/>
        </w:rPr>
        <w:t>Identify key product associations and usage occasions</w:t>
      </w:r>
    </w:p>
    <w:p>
      <w:pPr>
        <w:pStyle w:val="ListBullet"/>
        <w:spacing w:after="80"/>
      </w:pPr>
      <w:r>
        <w:rPr>
          <w:rFonts w:ascii="Inter" w:hAnsi="Inter"/>
          <w:b w:val="0"/>
          <w:i w:val="0"/>
          <w:sz w:val="22"/>
        </w:rPr>
        <w:t>Find competitive positioning vs Coca-Cola and Pepsi</w:t>
      </w:r>
    </w:p>
    <w:p>
      <w:pPr>
        <w:pStyle w:val="ListBullet"/>
        <w:spacing w:after="80"/>
      </w:pPr>
      <w:r>
        <w:rPr>
          <w:rFonts w:ascii="Inter" w:hAnsi="Inter"/>
          <w:b w:val="0"/>
          <w:i w:val="0"/>
          <w:sz w:val="22"/>
        </w:rPr>
        <w:t>Surface any product quality or safety concerns</w:t>
      </w:r>
    </w:p>
    <w:p>
      <w:pPr>
        <w:pStyle w:val="ListBullet"/>
        <w:spacing w:after="80"/>
      </w:pPr>
      <w:r>
        <w:rPr>
          <w:rFonts w:ascii="Inter" w:hAnsi="Inter"/>
          <w:b w:val="0"/>
          <w:i w:val="0"/>
          <w:sz w:val="22"/>
        </w:rPr>
        <w:t>Discover untapped marketing opportunities</w:t>
      </w:r>
    </w:p>
    <w:p/>
    <w:p>
      <w:pPr>
        <w:spacing w:before="80" w:after="80"/>
        <w:pBdr>
          <w:bottom w:val="single" w:sz="4" w:space="1" w:color="6B7280"/>
        </w:pBdr>
      </w:pPr>
    </w:p>
    <w:p>
      <w:pPr>
        <w:pStyle w:val="Heading2"/>
        <w:jc w:val="left"/>
      </w:pPr>
      <w:r>
        <w:rPr>
          <w:rFonts w:ascii="Inter" w:hAnsi="Inter"/>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Inter" w:hAnsi="Inter"/>
                <w:b w:val="0"/>
                <w:i w:val="0"/>
                <w:color w:val="374151"/>
                <w:sz w:val="22"/>
              </w:rPr>
              <w:t>Items Analysed</w:t>
            </w:r>
          </w:p>
        </w:tc>
        <w:tc>
          <w:tcPr>
            <w:tcW w:type="dxa" w:w="4703"/>
          </w:tcPr>
          <w:p>
            <w:pPr>
              <w:spacing w:before="80" w:after="80"/>
            </w:pPr>
            <w:r/>
            <w:r>
              <w:rPr>
                <w:rFonts w:ascii="Inter" w:hAnsi="Inter"/>
                <w:b/>
                <w:i w:val="0"/>
                <w:color w:val="1E3A5F"/>
                <w:sz w:val="26"/>
              </w:rPr>
              <w:t>472</w:t>
            </w:r>
          </w:p>
        </w:tc>
      </w:tr>
      <w:tr>
        <w:tc>
          <w:tcPr>
            <w:tcW w:type="dxa" w:w="4703"/>
          </w:tcPr>
          <w:p>
            <w:pPr>
              <w:spacing w:before="80" w:after="80"/>
            </w:pPr>
            <w:r/>
            <w:r>
              <w:rPr>
                <w:rFonts w:ascii="Inter" w:hAnsi="Inter"/>
                <w:b w:val="0"/>
                <w:i w:val="0"/>
                <w:color w:val="374151"/>
                <w:sz w:val="22"/>
              </w:rPr>
              <w:t>Insights Identified</w:t>
            </w:r>
          </w:p>
        </w:tc>
        <w:tc>
          <w:tcPr>
            <w:tcW w:type="dxa" w:w="4703"/>
          </w:tcPr>
          <w:p>
            <w:pPr>
              <w:spacing w:before="80" w:after="80"/>
            </w:pPr>
            <w:r/>
            <w:r>
              <w:rPr>
                <w:rFonts w:ascii="Inter" w:hAnsi="Inter"/>
                <w:b/>
                <w:i w:val="0"/>
                <w:color w:val="1E3A5F"/>
                <w:sz w:val="26"/>
              </w:rPr>
              <w:t>12</w:t>
            </w:r>
          </w:p>
        </w:tc>
      </w:tr>
      <w:tr>
        <w:tc>
          <w:tcPr>
            <w:tcW w:type="dxa" w:w="4703"/>
          </w:tcPr>
          <w:p>
            <w:pPr>
              <w:spacing w:before="80" w:after="80"/>
            </w:pPr>
            <w:r/>
            <w:r>
              <w:rPr>
                <w:rFonts w:ascii="Inter" w:hAnsi="Inter"/>
                <w:b w:val="0"/>
                <w:i w:val="0"/>
                <w:color w:val="374151"/>
                <w:sz w:val="22"/>
              </w:rPr>
              <w:t>Net Sentiment Score</w:t>
            </w:r>
          </w:p>
        </w:tc>
        <w:tc>
          <w:tcPr>
            <w:tcW w:type="dxa" w:w="4703"/>
          </w:tcPr>
          <w:p>
            <w:pPr>
              <w:spacing w:before="80" w:after="80"/>
            </w:pPr>
            <w:r/>
            <w:r>
              <w:rPr>
                <w:rFonts w:ascii="Inter" w:hAnsi="Inter"/>
                <w:b/>
                <w:i w:val="0"/>
                <w:color w:val="059669"/>
                <w:sz w:val="26"/>
              </w:rPr>
              <w:t>+10.4%</w:t>
            </w:r>
          </w:p>
        </w:tc>
      </w:tr>
      <w:tr>
        <w:tc>
          <w:tcPr>
            <w:tcW w:type="dxa" w:w="4703"/>
          </w:tcPr>
          <w:p>
            <w:pPr>
              <w:spacing w:before="80" w:after="80"/>
            </w:pPr>
            <w:r/>
            <w:r>
              <w:rPr>
                <w:rFonts w:ascii="Inter" w:hAnsi="Inter"/>
                <w:b w:val="0"/>
                <w:i w:val="0"/>
                <w:color w:val="374151"/>
                <w:sz w:val="22"/>
              </w:rPr>
              <w:t>Brand Health Score</w:t>
            </w:r>
          </w:p>
        </w:tc>
        <w:tc>
          <w:tcPr>
            <w:tcW w:type="dxa" w:w="4703"/>
          </w:tcPr>
          <w:p>
            <w:pPr>
              <w:spacing w:before="80" w:after="80"/>
            </w:pPr>
            <w:r/>
            <w:r>
              <w:rPr>
                <w:rFonts w:ascii="Inter" w:hAnsi="Inter"/>
                <w:b/>
                <w:i w:val="0"/>
                <w:color w:val="DC2626"/>
                <w:sz w:val="26"/>
              </w:rPr>
              <w:t>0/100</w:t>
            </w:r>
          </w:p>
        </w:tc>
      </w:tr>
      <w:tr>
        <w:tc>
          <w:tcPr>
            <w:tcW w:type="dxa" w:w="4703"/>
          </w:tcPr>
          <w:p>
            <w:pPr>
              <w:spacing w:before="80" w:after="80"/>
            </w:pPr>
            <w:r/>
            <w:r>
              <w:rPr>
                <w:rFonts w:ascii="Inter" w:hAnsi="Inter"/>
                <w:b w:val="0"/>
                <w:i w:val="0"/>
                <w:color w:val="374151"/>
                <w:sz w:val="22"/>
              </w:rPr>
              <w:t>Data Sources</w:t>
            </w:r>
          </w:p>
        </w:tc>
        <w:tc>
          <w:tcPr>
            <w:tcW w:type="dxa" w:w="4703"/>
          </w:tcPr>
          <w:p>
            <w:pPr>
              <w:spacing w:before="80" w:after="80"/>
            </w:pPr>
            <w:r/>
            <w:r>
              <w:rPr>
                <w:rFonts w:ascii="Inter" w:hAnsi="Inter"/>
                <w:b/>
                <w:i w:val="0"/>
                <w:color w:val="1E3A5F"/>
                <w:sz w:val="26"/>
              </w:rPr>
              <w:t>4 platforms</w:t>
            </w:r>
          </w:p>
        </w:tc>
      </w:tr>
    </w:tbl>
    <w:p>
      <w:r>
        <w:br w:type="page"/>
      </w:r>
    </w:p>
    <w:p>
      <w:pPr>
        <w:pStyle w:val="Heading1"/>
        <w:jc w:val="left"/>
      </w:pPr>
      <w:r>
        <w:rPr>
          <w:rFonts w:ascii="Inter" w:hAnsi="Inter"/>
          <w:b/>
          <w:color w:val="1E3A5F"/>
          <w:sz w:val="44"/>
        </w:rPr>
        <w:t>Data Universe</w:t>
      </w:r>
    </w:p>
    <w:p>
      <w:pPr>
        <w:pStyle w:val="Heading2"/>
        <w:jc w:val="left"/>
      </w:pPr>
      <w:r>
        <w:rPr>
          <w:rFonts w:ascii="Inter" w:hAnsi="Inter"/>
          <w:b/>
          <w:color w:val="1E3A5F"/>
          <w:sz w:val="32"/>
        </w:rPr>
        <w:t>Collection Funnel</w:t>
      </w:r>
    </w:p>
    <w:p>
      <w:pPr>
        <w:spacing w:after="120" w:before="0"/>
      </w:pPr>
      <w:r>
        <w:rPr>
          <w:rFonts w:ascii="Inter" w:hAnsi="Inter"/>
          <w:b w:val="0"/>
          <w:i w:val="0"/>
          <w:sz w:val="22"/>
        </w:rPr>
        <w:t>Of 6,388 raw data points collected across all sources, 1,208 remained after deduplication and engagement filtering, and 472 passed LLM relevance classification (7.4% of total collected). These 472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Stage</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Notes</w:t>
            </w:r>
          </w:p>
        </w:tc>
      </w:tr>
      <w:tr>
        <w:tc>
          <w:tcPr>
            <w:tcW w:type="dxa" w:w="3135"/>
          </w:tcPr>
          <w:p>
            <w:r>
              <w:t>Raw collected</w:t>
            </w:r>
          </w:p>
        </w:tc>
        <w:tc>
          <w:tcPr>
            <w:tcW w:type="dxa" w:w="3135"/>
          </w:tcPr>
          <w:p>
            <w:r>
              <w:t>6,388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1,208</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472</w:t>
            </w:r>
          </w:p>
        </w:tc>
        <w:tc>
          <w:tcPr>
            <w:tcW w:type="dxa" w:w="3135"/>
          </w:tcPr>
          <w:p>
            <w:r>
              <w:t>LLM relevance filter — 7.4% of raw collected. Analysis corpus.</w:t>
            </w:r>
          </w:p>
        </w:tc>
      </w:tr>
    </w:tbl>
    <w:p/>
    <w:p>
      <w:pPr>
        <w:pStyle w:val="Heading2"/>
        <w:jc w:val="left"/>
      </w:pPr>
      <w:r>
        <w:rPr>
          <w:rFonts w:ascii="Inter" w:hAnsi="Inter"/>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Platform</w:t>
            </w:r>
          </w:p>
        </w:tc>
        <w:tc>
          <w:tcPr>
            <w:tcW w:type="dxa" w:w="3135"/>
            <w:shd w:val="clear" w:color="auto" w:fill="1E3A5F"/>
          </w:tcPr>
          <w:p>
            <w:pPr>
              <w:spacing w:before="60" w:after="60"/>
            </w:pPr>
            <w:r/>
            <w:r>
              <w:rPr>
                <w:rFonts w:ascii="Inter" w:hAnsi="Inter"/>
                <w:b/>
                <w:i w:val="0"/>
                <w:color w:val="FFFFFF"/>
                <w:sz w:val="20"/>
              </w:rPr>
              <w:t>Items</w:t>
            </w:r>
          </w:p>
        </w:tc>
        <w:tc>
          <w:tcPr>
            <w:tcW w:type="dxa" w:w="3135"/>
            <w:shd w:val="clear" w:color="auto" w:fill="1E3A5F"/>
          </w:tcPr>
          <w:p>
            <w:pPr>
              <w:spacing w:before="60" w:after="60"/>
            </w:pPr>
            <w:r/>
            <w:r>
              <w:rPr>
                <w:rFonts w:ascii="Inter" w:hAnsi="Inter"/>
                <w:b/>
                <w:i w:val="0"/>
                <w:color w:val="FFFFFF"/>
                <w:sz w:val="20"/>
              </w:rPr>
              <w:t>Share of Corpus</w:t>
            </w:r>
          </w:p>
        </w:tc>
      </w:tr>
      <w:tr>
        <w:tc>
          <w:tcPr>
            <w:tcW w:type="dxa" w:w="3135"/>
          </w:tcPr>
          <w:p>
            <w:r>
              <w:t>Youtube</w:t>
            </w:r>
          </w:p>
        </w:tc>
        <w:tc>
          <w:tcPr>
            <w:tcW w:type="dxa" w:w="3135"/>
          </w:tcPr>
          <w:p>
            <w:r>
              <w:t>277</w:t>
            </w:r>
          </w:p>
        </w:tc>
        <w:tc>
          <w:tcPr>
            <w:tcW w:type="dxa" w:w="3135"/>
          </w:tcPr>
          <w:p>
            <w:r>
              <w:t>58.7%</w:t>
            </w:r>
          </w:p>
        </w:tc>
      </w:tr>
      <w:tr>
        <w:tc>
          <w:tcPr>
            <w:tcW w:type="dxa" w:w="3135"/>
          </w:tcPr>
          <w:p>
            <w:r>
              <w:t>Reddit</w:t>
            </w:r>
          </w:p>
        </w:tc>
        <w:tc>
          <w:tcPr>
            <w:tcW w:type="dxa" w:w="3135"/>
          </w:tcPr>
          <w:p>
            <w:r>
              <w:t>121</w:t>
            </w:r>
          </w:p>
        </w:tc>
        <w:tc>
          <w:tcPr>
            <w:tcW w:type="dxa" w:w="3135"/>
          </w:tcPr>
          <w:p>
            <w:r>
              <w:t>25.6%</w:t>
            </w:r>
          </w:p>
        </w:tc>
      </w:tr>
      <w:tr>
        <w:tc>
          <w:tcPr>
            <w:tcW w:type="dxa" w:w="3135"/>
          </w:tcPr>
          <w:p>
            <w:r>
              <w:t>Academic</w:t>
            </w:r>
          </w:p>
        </w:tc>
        <w:tc>
          <w:tcPr>
            <w:tcW w:type="dxa" w:w="3135"/>
          </w:tcPr>
          <w:p>
            <w:r>
              <w:t>38</w:t>
            </w:r>
          </w:p>
        </w:tc>
        <w:tc>
          <w:tcPr>
            <w:tcW w:type="dxa" w:w="3135"/>
          </w:tcPr>
          <w:p>
            <w:r>
              <w:t>8.1%</w:t>
            </w:r>
          </w:p>
        </w:tc>
      </w:tr>
      <w:tr>
        <w:tc>
          <w:tcPr>
            <w:tcW w:type="dxa" w:w="3135"/>
          </w:tcPr>
          <w:p>
            <w:r>
              <w:t>News</w:t>
            </w:r>
          </w:p>
        </w:tc>
        <w:tc>
          <w:tcPr>
            <w:tcW w:type="dxa" w:w="3135"/>
          </w:tcPr>
          <w:p>
            <w:r>
              <w:t>36</w:t>
            </w:r>
          </w:p>
        </w:tc>
        <w:tc>
          <w:tcPr>
            <w:tcW w:type="dxa" w:w="3135"/>
          </w:tcPr>
          <w:p>
            <w:r>
              <w:t>7.6%</w:t>
            </w:r>
          </w:p>
        </w:tc>
      </w:tr>
    </w:tbl>
    <w:p>
      <w:pPr>
        <w:jc w:val="center"/>
      </w:pPr>
      <w:r>
        <w:drawing>
          <wp:inline xmlns:a="http://schemas.openxmlformats.org/drawingml/2006/main" xmlns:pic="http://schemas.openxmlformats.org/drawingml/2006/picture">
            <wp:extent cx="4114800" cy="1402891"/>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2891"/>
                    </a:xfrm>
                    <a:prstGeom prst="rect"/>
                  </pic:spPr>
                </pic:pic>
              </a:graphicData>
            </a:graphic>
          </wp:inline>
        </w:drawing>
      </w:r>
    </w:p>
    <w:p>
      <w:pPr>
        <w:spacing w:after="240"/>
        <w:jc w:val="center"/>
      </w:pPr>
      <w:r>
        <w:rPr>
          <w:rFonts w:ascii="Inter" w:hAnsi="Inter"/>
          <w:b w:val="0"/>
          <w:i/>
          <w:color w:val="6B7280"/>
          <w:sz w:val="18"/>
        </w:rPr>
        <w:t>Figure 1: Item distribution by source platform</w:t>
      </w:r>
    </w:p>
    <w:p>
      <w:pPr>
        <w:pStyle w:val="Heading2"/>
        <w:jc w:val="left"/>
      </w:pPr>
      <w:r>
        <w:rPr>
          <w:rFonts w:ascii="Inter" w:hAnsi="Inter"/>
          <w:b/>
          <w:color w:val="1E3A5F"/>
          <w:sz w:val="32"/>
        </w:rPr>
        <w:t>Collection Methodology</w:t>
      </w:r>
    </w:p>
    <w:p>
      <w:pPr>
        <w:spacing w:after="120" w:before="0"/>
      </w:pPr>
      <w:r>
        <w:rPr>
          <w:rFonts w:ascii="Inter" w:hAnsi="Inter"/>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Inter" w:hAnsi="Inter"/>
          <w:b/>
          <w:color w:val="1E3A5F"/>
          <w:sz w:val="44"/>
        </w:rPr>
        <w:t>Sentiment &amp; Emotion Analysis</w:t>
      </w:r>
    </w:p>
    <w:p>
      <w:pPr>
        <w:pStyle w:val="Heading2"/>
        <w:jc w:val="left"/>
      </w:pPr>
      <w:r>
        <w:rPr>
          <w:rFonts w:ascii="Inter" w:hAnsi="Inter"/>
          <w:b/>
          <w:color w:val="1E3A5F"/>
          <w:sz w:val="32"/>
        </w:rPr>
        <w:t>Overall Sentiment Distribution</w:t>
      </w:r>
    </w:p>
    <w:p>
      <w:pPr>
        <w:spacing w:after="120" w:before="0"/>
      </w:pPr>
      <w:r>
        <w:rPr>
          <w:rFonts w:ascii="Inter" w:hAnsi="Inter"/>
          <w:b w:val="0"/>
          <w:i w:val="0"/>
          <w:sz w:val="22"/>
        </w:rPr>
        <w:t>Net Sentiment Score (NSS): +10.4%  |  Positive: 103 (21.8%)  |  Negative: 54 (11.4%)  |  Neutral: 306 (64.8%)</w:t>
      </w:r>
    </w:p>
    <w:p>
      <w:pPr>
        <w:spacing w:after="120" w:before="0"/>
      </w:pPr>
      <w:r>
        <w:rPr>
          <w:rFonts w:ascii="Inter" w:hAnsi="Inter"/>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73601"/>
            <wp:docPr id="2" name="Picture 2"/>
            <wp:cNvGraphicFramePr>
              <a:graphicFrameLocks noChangeAspect="1"/>
            </wp:cNvGraphicFramePr>
            <a:graphic>
              <a:graphicData uri="http://schemas.openxmlformats.org/drawingml/2006/picture">
                <pic:pic>
                  <pic:nvPicPr>
                    <pic:cNvPr id="0" name="chart_sentiment.png"/>
                    <pic:cNvPicPr/>
                  </pic:nvPicPr>
                  <pic:blipFill>
                    <a:blip r:embed="rId10"/>
                    <a:stretch>
                      <a:fillRect/>
                    </a:stretch>
                  </pic:blipFill>
                  <pic:spPr>
                    <a:xfrm>
                      <a:off x="0" y="0"/>
                      <a:ext cx="4572000" cy="1673601"/>
                    </a:xfrm>
                    <a:prstGeom prst="rect"/>
                  </pic:spPr>
                </pic:pic>
              </a:graphicData>
            </a:graphic>
          </wp:inline>
        </w:drawing>
      </w:r>
    </w:p>
    <w:p>
      <w:pPr>
        <w:spacing w:after="240"/>
        <w:jc w:val="center"/>
      </w:pPr>
      <w:r>
        <w:rPr>
          <w:rFonts w:ascii="Inter" w:hAnsi="Inter"/>
          <w:b w:val="0"/>
          <w:i/>
          <w:color w:val="6B7280"/>
          <w:sz w:val="18"/>
        </w:rPr>
        <w:t>Figure 2: Sentiment distribution across 472 items</w:t>
      </w:r>
    </w:p>
    <w:p>
      <w:pPr>
        <w:pStyle w:val="Heading2"/>
        <w:jc w:val="left"/>
      </w:pPr>
      <w:r>
        <w:rPr>
          <w:rFonts w:ascii="Inter" w:hAnsi="Inter"/>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Inter" w:hAnsi="Inter"/>
                <w:b/>
                <w:i w:val="0"/>
                <w:color w:val="FFFFFF"/>
                <w:sz w:val="20"/>
              </w:rPr>
              <w:t>Emotion</w:t>
            </w:r>
          </w:p>
        </w:tc>
        <w:tc>
          <w:tcPr>
            <w:tcW w:type="dxa" w:w="4703"/>
            <w:shd w:val="clear" w:color="auto" w:fill="1E3A5F"/>
          </w:tcPr>
          <w:p>
            <w:pPr>
              <w:spacing w:before="60" w:after="60"/>
            </w:pPr>
            <w:r/>
            <w:r>
              <w:rPr>
                <w:rFonts w:ascii="Inter" w:hAnsi="Inter"/>
                <w:b/>
                <w:i w:val="0"/>
                <w:color w:val="FFFFFF"/>
                <w:sz w:val="20"/>
              </w:rPr>
              <w:t>Count</w:t>
            </w:r>
          </w:p>
        </w:tc>
      </w:tr>
      <w:tr>
        <w:tc>
          <w:tcPr>
            <w:tcW w:type="dxa" w:w="4703"/>
          </w:tcPr>
          <w:p>
            <w:r>
              <w:t>None</w:t>
            </w:r>
          </w:p>
        </w:tc>
        <w:tc>
          <w:tcPr>
            <w:tcW w:type="dxa" w:w="4703"/>
          </w:tcPr>
          <w:p>
            <w:r>
              <w:t>319</w:t>
            </w:r>
          </w:p>
        </w:tc>
      </w:tr>
      <w:tr>
        <w:tc>
          <w:tcPr>
            <w:tcW w:type="dxa" w:w="4703"/>
          </w:tcPr>
          <w:p>
            <w:r>
              <w:t>Joy</w:t>
            </w:r>
          </w:p>
        </w:tc>
        <w:tc>
          <w:tcPr>
            <w:tcW w:type="dxa" w:w="4703"/>
          </w:tcPr>
          <w:p>
            <w:r>
              <w:t>76</w:t>
            </w:r>
          </w:p>
        </w:tc>
      </w:tr>
      <w:tr>
        <w:tc>
          <w:tcPr>
            <w:tcW w:type="dxa" w:w="4703"/>
          </w:tcPr>
          <w:p>
            <w:r>
              <w:t>Surprise</w:t>
            </w:r>
          </w:p>
        </w:tc>
        <w:tc>
          <w:tcPr>
            <w:tcW w:type="dxa" w:w="4703"/>
          </w:tcPr>
          <w:p>
            <w:r>
              <w:t>20</w:t>
            </w:r>
          </w:p>
        </w:tc>
      </w:tr>
      <w:tr>
        <w:tc>
          <w:tcPr>
            <w:tcW w:type="dxa" w:w="4703"/>
          </w:tcPr>
          <w:p>
            <w:r>
              <w:t>Trust</w:t>
            </w:r>
          </w:p>
        </w:tc>
        <w:tc>
          <w:tcPr>
            <w:tcW w:type="dxa" w:w="4703"/>
          </w:tcPr>
          <w:p>
            <w:r>
              <w:t>18</w:t>
            </w:r>
          </w:p>
        </w:tc>
      </w:tr>
      <w:tr>
        <w:tc>
          <w:tcPr>
            <w:tcW w:type="dxa" w:w="4703"/>
          </w:tcPr>
          <w:p>
            <w:r>
              <w:t>Anticipation</w:t>
            </w:r>
          </w:p>
        </w:tc>
        <w:tc>
          <w:tcPr>
            <w:tcW w:type="dxa" w:w="4703"/>
          </w:tcPr>
          <w:p>
            <w:r>
              <w:t>16</w:t>
            </w:r>
          </w:p>
        </w:tc>
      </w:tr>
      <w:tr>
        <w:tc>
          <w:tcPr>
            <w:tcW w:type="dxa" w:w="4703"/>
          </w:tcPr>
          <w:p>
            <w:r>
              <w:t>Sadness</w:t>
            </w:r>
          </w:p>
        </w:tc>
        <w:tc>
          <w:tcPr>
            <w:tcW w:type="dxa" w:w="4703"/>
          </w:tcPr>
          <w:p>
            <w:r>
              <w:t>9</w:t>
            </w:r>
          </w:p>
        </w:tc>
      </w:tr>
      <w:tr>
        <w:tc>
          <w:tcPr>
            <w:tcW w:type="dxa" w:w="4703"/>
          </w:tcPr>
          <w:p>
            <w:r>
              <w:t>Fear</w:t>
            </w:r>
          </w:p>
        </w:tc>
        <w:tc>
          <w:tcPr>
            <w:tcW w:type="dxa" w:w="4703"/>
          </w:tcPr>
          <w:p>
            <w:r>
              <w:t>6</w:t>
            </w:r>
          </w:p>
        </w:tc>
      </w:tr>
      <w:tr>
        <w:tc>
          <w:tcPr>
            <w:tcW w:type="dxa" w:w="4703"/>
          </w:tcPr>
          <w:p>
            <w:r>
              <w:t>Disgust</w:t>
            </w:r>
          </w:p>
        </w:tc>
        <w:tc>
          <w:tcPr>
            <w:tcW w:type="dxa" w:w="4703"/>
          </w:tcPr>
          <w:p>
            <w:r>
              <w:t>4</w:t>
            </w:r>
          </w:p>
        </w:tc>
      </w:tr>
      <w:tr>
        <w:tc>
          <w:tcPr>
            <w:tcW w:type="dxa" w:w="4703"/>
          </w:tcPr>
          <w:p>
            <w:r>
              <w:t>Anger</w:t>
            </w:r>
          </w:p>
        </w:tc>
        <w:tc>
          <w:tcPr>
            <w:tcW w:type="dxa" w:w="4703"/>
          </w:tcPr>
          <w:p>
            <w:r>
              <w:t>4</w:t>
            </w:r>
          </w:p>
        </w:tc>
      </w:tr>
    </w:tbl>
    <w:p>
      <w:pPr>
        <w:jc w:val="center"/>
      </w:pPr>
      <w:r>
        <w:drawing>
          <wp:inline xmlns:a="http://schemas.openxmlformats.org/drawingml/2006/main" xmlns:pic="http://schemas.openxmlformats.org/drawingml/2006/picture">
            <wp:extent cx="4572000" cy="2254129"/>
            <wp:docPr id="3" name="Picture 3"/>
            <wp:cNvGraphicFramePr>
              <a:graphicFrameLocks noChangeAspect="1"/>
            </wp:cNvGraphicFramePr>
            <a:graphic>
              <a:graphicData uri="http://schemas.openxmlformats.org/drawingml/2006/picture">
                <pic:pic>
                  <pic:nvPicPr>
                    <pic:cNvPr id="0" name="chart_emotions.png"/>
                    <pic:cNvPicPr/>
                  </pic:nvPicPr>
                  <pic:blipFill>
                    <a:blip r:embed="rId11"/>
                    <a:stretch>
                      <a:fillRect/>
                    </a:stretch>
                  </pic:blipFill>
                  <pic:spPr>
                    <a:xfrm>
                      <a:off x="0" y="0"/>
                      <a:ext cx="4572000" cy="2254129"/>
                    </a:xfrm>
                    <a:prstGeom prst="rect"/>
                  </pic:spPr>
                </pic:pic>
              </a:graphicData>
            </a:graphic>
          </wp:inline>
        </w:drawing>
      </w:r>
    </w:p>
    <w:p>
      <w:pPr>
        <w:spacing w:after="240"/>
        <w:jc w:val="center"/>
      </w:pPr>
      <w:r>
        <w:rPr>
          <w:rFonts w:ascii="Inter" w:hAnsi="Inter"/>
          <w:b w:val="0"/>
          <w:i/>
          <w:color w:val="6B7280"/>
          <w:sz w:val="18"/>
        </w:rPr>
        <w:t>Figure 3: Plutchik emotion distribution</w:t>
      </w:r>
    </w:p>
    <w:p>
      <w:pPr>
        <w:pStyle w:val="Heading2"/>
        <w:jc w:val="left"/>
      </w:pPr>
      <w:r>
        <w:rPr>
          <w:rFonts w:ascii="Inter" w:hAnsi="Inter"/>
          <w:b/>
          <w:color w:val="1E3A5F"/>
          <w:sz w:val="32"/>
        </w:rPr>
        <w:t>Aspect-Based Sentiment Analysis (ABSA)</w:t>
      </w:r>
    </w:p>
    <w:p>
      <w:pPr>
        <w:spacing w:after="120" w:before="0"/>
      </w:pPr>
      <w:r>
        <w:rPr>
          <w:rFonts w:ascii="Inter" w:hAnsi="Inter"/>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Inter" w:hAnsi="Inter"/>
                <w:b/>
                <w:i w:val="0"/>
                <w:color w:val="FFFFFF"/>
                <w:sz w:val="20"/>
              </w:rPr>
              <w:t>Aspect</w:t>
            </w:r>
          </w:p>
        </w:tc>
        <w:tc>
          <w:tcPr>
            <w:tcW w:type="dxa" w:w="1881"/>
            <w:shd w:val="clear" w:color="auto" w:fill="1E3A5F"/>
          </w:tcPr>
          <w:p>
            <w:pPr>
              <w:spacing w:before="60" w:after="60"/>
            </w:pPr>
            <w:r/>
            <w:r>
              <w:rPr>
                <w:rFonts w:ascii="Inter" w:hAnsi="Inter"/>
                <w:b/>
                <w:i w:val="0"/>
                <w:color w:val="FFFFFF"/>
                <w:sz w:val="20"/>
              </w:rPr>
              <w:t>Total</w:t>
            </w:r>
          </w:p>
        </w:tc>
        <w:tc>
          <w:tcPr>
            <w:tcW w:type="dxa" w:w="1881"/>
            <w:shd w:val="clear" w:color="auto" w:fill="1E3A5F"/>
          </w:tcPr>
          <w:p>
            <w:pPr>
              <w:spacing w:before="60" w:after="60"/>
            </w:pPr>
            <w:r/>
            <w:r>
              <w:rPr>
                <w:rFonts w:ascii="Inter" w:hAnsi="Inter"/>
                <w:b/>
                <w:i w:val="0"/>
                <w:color w:val="FFFFFF"/>
                <w:sz w:val="20"/>
              </w:rPr>
              <w:t>Positive</w:t>
            </w:r>
          </w:p>
        </w:tc>
        <w:tc>
          <w:tcPr>
            <w:tcW w:type="dxa" w:w="1881"/>
            <w:shd w:val="clear" w:color="auto" w:fill="1E3A5F"/>
          </w:tcPr>
          <w:p>
            <w:pPr>
              <w:spacing w:before="60" w:after="60"/>
            </w:pPr>
            <w:r/>
            <w:r>
              <w:rPr>
                <w:rFonts w:ascii="Inter" w:hAnsi="Inter"/>
                <w:b/>
                <w:i w:val="0"/>
                <w:color w:val="FFFFFF"/>
                <w:sz w:val="20"/>
              </w:rPr>
              <w:t>Negative</w:t>
            </w:r>
          </w:p>
        </w:tc>
        <w:tc>
          <w:tcPr>
            <w:tcW w:type="dxa" w:w="1881"/>
            <w:shd w:val="clear" w:color="auto" w:fill="1E3A5F"/>
          </w:tcPr>
          <w:p>
            <w:pPr>
              <w:spacing w:before="60" w:after="60"/>
            </w:pPr>
            <w:r/>
            <w:r>
              <w:rPr>
                <w:rFonts w:ascii="Inter" w:hAnsi="Inter"/>
                <w:b/>
                <w:i w:val="0"/>
                <w:color w:val="FFFFFF"/>
                <w:sz w:val="20"/>
              </w:rPr>
              <w:t>NSS</w:t>
            </w:r>
          </w:p>
        </w:tc>
      </w:tr>
      <w:tr>
        <w:tc>
          <w:tcPr>
            <w:tcW w:type="dxa" w:w="1881"/>
          </w:tcPr>
          <w:p>
            <w:r>
              <w:t>Packaging</w:t>
            </w:r>
          </w:p>
        </w:tc>
        <w:tc>
          <w:tcPr>
            <w:tcW w:type="dxa" w:w="1881"/>
          </w:tcPr>
          <w:p>
            <w:r>
              <w:t>162</w:t>
            </w:r>
          </w:p>
        </w:tc>
        <w:tc>
          <w:tcPr>
            <w:tcW w:type="dxa" w:w="1881"/>
          </w:tcPr>
          <w:p>
            <w:r>
              <w:t>45</w:t>
            </w:r>
          </w:p>
        </w:tc>
        <w:tc>
          <w:tcPr>
            <w:tcW w:type="dxa" w:w="1881"/>
          </w:tcPr>
          <w:p>
            <w:r>
              <w:t>27</w:t>
            </w:r>
          </w:p>
        </w:tc>
        <w:tc>
          <w:tcPr>
            <w:tcW w:type="dxa" w:w="1881"/>
          </w:tcPr>
          <w:p>
            <w:r>
              <w:t>+11%</w:t>
            </w:r>
          </w:p>
        </w:tc>
      </w:tr>
      <w:tr>
        <w:tc>
          <w:tcPr>
            <w:tcW w:type="dxa" w:w="1881"/>
          </w:tcPr>
          <w:p>
            <w:r>
              <w:t>Price</w:t>
            </w:r>
          </w:p>
        </w:tc>
        <w:tc>
          <w:tcPr>
            <w:tcW w:type="dxa" w:w="1881"/>
          </w:tcPr>
          <w:p>
            <w:r>
              <w:t>152</w:t>
            </w:r>
          </w:p>
        </w:tc>
        <w:tc>
          <w:tcPr>
            <w:tcW w:type="dxa" w:w="1881"/>
          </w:tcPr>
          <w:p>
            <w:r>
              <w:t>39</w:t>
            </w:r>
          </w:p>
        </w:tc>
        <w:tc>
          <w:tcPr>
            <w:tcW w:type="dxa" w:w="1881"/>
          </w:tcPr>
          <w:p>
            <w:r>
              <w:t>24</w:t>
            </w:r>
          </w:p>
        </w:tc>
        <w:tc>
          <w:tcPr>
            <w:tcW w:type="dxa" w:w="1881"/>
          </w:tcPr>
          <w:p>
            <w:r>
              <w:t>+10%</w:t>
            </w:r>
          </w:p>
        </w:tc>
      </w:tr>
      <w:tr>
        <w:tc>
          <w:tcPr>
            <w:tcW w:type="dxa" w:w="1881"/>
          </w:tcPr>
          <w:p>
            <w:r>
              <w:t>Advertising</w:t>
            </w:r>
          </w:p>
        </w:tc>
        <w:tc>
          <w:tcPr>
            <w:tcW w:type="dxa" w:w="1881"/>
          </w:tcPr>
          <w:p>
            <w:r>
              <w:t>152</w:t>
            </w:r>
          </w:p>
        </w:tc>
        <w:tc>
          <w:tcPr>
            <w:tcW w:type="dxa" w:w="1881"/>
          </w:tcPr>
          <w:p>
            <w:r>
              <w:t>44</w:t>
            </w:r>
          </w:p>
        </w:tc>
        <w:tc>
          <w:tcPr>
            <w:tcW w:type="dxa" w:w="1881"/>
          </w:tcPr>
          <w:p>
            <w:r>
              <w:t>25</w:t>
            </w:r>
          </w:p>
        </w:tc>
        <w:tc>
          <w:tcPr>
            <w:tcW w:type="dxa" w:w="1881"/>
          </w:tcPr>
          <w:p>
            <w:r>
              <w:t>+12%</w:t>
            </w:r>
          </w:p>
        </w:tc>
      </w:tr>
      <w:tr>
        <w:tc>
          <w:tcPr>
            <w:tcW w:type="dxa" w:w="1881"/>
          </w:tcPr>
          <w:p>
            <w:r>
              <w:t>Taste</w:t>
            </w:r>
          </w:p>
        </w:tc>
        <w:tc>
          <w:tcPr>
            <w:tcW w:type="dxa" w:w="1881"/>
          </w:tcPr>
          <w:p>
            <w:r>
              <w:t>121</w:t>
            </w:r>
          </w:p>
        </w:tc>
        <w:tc>
          <w:tcPr>
            <w:tcW w:type="dxa" w:w="1881"/>
          </w:tcPr>
          <w:p>
            <w:r>
              <w:t>44</w:t>
            </w:r>
          </w:p>
        </w:tc>
        <w:tc>
          <w:tcPr>
            <w:tcW w:type="dxa" w:w="1881"/>
          </w:tcPr>
          <w:p>
            <w:r>
              <w:t>19</w:t>
            </w:r>
          </w:p>
        </w:tc>
        <w:tc>
          <w:tcPr>
            <w:tcW w:type="dxa" w:w="1881"/>
          </w:tcPr>
          <w:p>
            <w:r>
              <w:t>+21%</w:t>
            </w:r>
          </w:p>
        </w:tc>
      </w:tr>
      <w:tr>
        <w:tc>
          <w:tcPr>
            <w:tcW w:type="dxa" w:w="1881"/>
          </w:tcPr>
          <w:p>
            <w:r>
              <w:t>Competition</w:t>
            </w:r>
          </w:p>
        </w:tc>
        <w:tc>
          <w:tcPr>
            <w:tcW w:type="dxa" w:w="1881"/>
          </w:tcPr>
          <w:p>
            <w:r>
              <w:t>114</w:t>
            </w:r>
          </w:p>
        </w:tc>
        <w:tc>
          <w:tcPr>
            <w:tcW w:type="dxa" w:w="1881"/>
          </w:tcPr>
          <w:p>
            <w:r>
              <w:t>27</w:t>
            </w:r>
          </w:p>
        </w:tc>
        <w:tc>
          <w:tcPr>
            <w:tcW w:type="dxa" w:w="1881"/>
          </w:tcPr>
          <w:p>
            <w:r>
              <w:t>18</w:t>
            </w:r>
          </w:p>
        </w:tc>
        <w:tc>
          <w:tcPr>
            <w:tcW w:type="dxa" w:w="1881"/>
          </w:tcPr>
          <w:p>
            <w:r>
              <w:t>+8%</w:t>
            </w:r>
          </w:p>
        </w:tc>
      </w:tr>
      <w:tr>
        <w:tc>
          <w:tcPr>
            <w:tcW w:type="dxa" w:w="1881"/>
          </w:tcPr>
          <w:p>
            <w:r>
              <w:t>Availability</w:t>
            </w:r>
          </w:p>
        </w:tc>
        <w:tc>
          <w:tcPr>
            <w:tcW w:type="dxa" w:w="1881"/>
          </w:tcPr>
          <w:p>
            <w:r>
              <w:t>78</w:t>
            </w:r>
          </w:p>
        </w:tc>
        <w:tc>
          <w:tcPr>
            <w:tcW w:type="dxa" w:w="1881"/>
          </w:tcPr>
          <w:p>
            <w:r>
              <w:t>19</w:t>
            </w:r>
          </w:p>
        </w:tc>
        <w:tc>
          <w:tcPr>
            <w:tcW w:type="dxa" w:w="1881"/>
          </w:tcPr>
          <w:p>
            <w:r>
              <w:t>6</w:t>
            </w:r>
          </w:p>
        </w:tc>
        <w:tc>
          <w:tcPr>
            <w:tcW w:type="dxa" w:w="1881"/>
          </w:tcPr>
          <w:p>
            <w:r>
              <w:t>+17%</w:t>
            </w:r>
          </w:p>
        </w:tc>
      </w:tr>
      <w:tr>
        <w:tc>
          <w:tcPr>
            <w:tcW w:type="dxa" w:w="1881"/>
          </w:tcPr>
          <w:p>
            <w:r>
              <w:t>Brand Image</w:t>
            </w:r>
          </w:p>
        </w:tc>
        <w:tc>
          <w:tcPr>
            <w:tcW w:type="dxa" w:w="1881"/>
          </w:tcPr>
          <w:p>
            <w:r>
              <w:t>74</w:t>
            </w:r>
          </w:p>
        </w:tc>
        <w:tc>
          <w:tcPr>
            <w:tcW w:type="dxa" w:w="1881"/>
          </w:tcPr>
          <w:p>
            <w:r>
              <w:t>31</w:t>
            </w:r>
          </w:p>
        </w:tc>
        <w:tc>
          <w:tcPr>
            <w:tcW w:type="dxa" w:w="1881"/>
          </w:tcPr>
          <w:p>
            <w:r>
              <w:t>6</w:t>
            </w:r>
          </w:p>
        </w:tc>
        <w:tc>
          <w:tcPr>
            <w:tcW w:type="dxa" w:w="1881"/>
          </w:tcPr>
          <w:p>
            <w:r>
              <w:t>+34%</w:t>
            </w:r>
          </w:p>
        </w:tc>
      </w:tr>
      <w:tr>
        <w:tc>
          <w:tcPr>
            <w:tcW w:type="dxa" w:w="1881"/>
          </w:tcPr>
          <w:p>
            <w:r>
              <w:t>Health</w:t>
            </w:r>
          </w:p>
        </w:tc>
        <w:tc>
          <w:tcPr>
            <w:tcW w:type="dxa" w:w="1881"/>
          </w:tcPr>
          <w:p>
            <w:r>
              <w:t>57</w:t>
            </w:r>
          </w:p>
        </w:tc>
        <w:tc>
          <w:tcPr>
            <w:tcW w:type="dxa" w:w="1881"/>
          </w:tcPr>
          <w:p>
            <w:r>
              <w:t>6</w:t>
            </w:r>
          </w:p>
        </w:tc>
        <w:tc>
          <w:tcPr>
            <w:tcW w:type="dxa" w:w="1881"/>
          </w:tcPr>
          <w:p>
            <w:r>
              <w:t>37</w:t>
            </w:r>
          </w:p>
        </w:tc>
        <w:tc>
          <w:tcPr>
            <w:tcW w:type="dxa" w:w="1881"/>
          </w:tcPr>
          <w:p>
            <w:r>
              <w:t>-54%</w:t>
            </w:r>
          </w:p>
        </w:tc>
      </w:tr>
    </w:tbl>
    <w:p>
      <w:pPr>
        <w:spacing w:after="120" w:before="0"/>
      </w:pPr>
      <w:r>
        <w:rPr>
          <w:rFonts w:ascii="Inter" w:hAnsi="Inter"/>
          <w:b w:val="0"/>
          <w:i w:val="0"/>
          <w:sz w:val="22"/>
        </w:rPr>
      </w:r>
    </w:p>
    <w:p>
      <w:pPr>
        <w:jc w:val="center"/>
      </w:pPr>
      <w:r>
        <w:drawing>
          <wp:inline xmlns:a="http://schemas.openxmlformats.org/drawingml/2006/main" xmlns:pic="http://schemas.openxmlformats.org/drawingml/2006/picture">
            <wp:extent cx="5029200" cy="2651217"/>
            <wp:docPr id="4" name="Picture 4"/>
            <wp:cNvGraphicFramePr>
              <a:graphicFrameLocks noChangeAspect="1"/>
            </wp:cNvGraphicFramePr>
            <a:graphic>
              <a:graphicData uri="http://schemas.openxmlformats.org/drawingml/2006/picture">
                <pic:pic>
                  <pic:nvPicPr>
                    <pic:cNvPr id="0" name="chart_aspect_heatmap.png"/>
                    <pic:cNvPicPr/>
                  </pic:nvPicPr>
                  <pic:blipFill>
                    <a:blip r:embed="rId12"/>
                    <a:stretch>
                      <a:fillRect/>
                    </a:stretch>
                  </pic:blipFill>
                  <pic:spPr>
                    <a:xfrm>
                      <a:off x="0" y="0"/>
                      <a:ext cx="5029200" cy="2651217"/>
                    </a:xfrm>
                    <a:prstGeom prst="rect"/>
                  </pic:spPr>
                </pic:pic>
              </a:graphicData>
            </a:graphic>
          </wp:inline>
        </w:drawing>
      </w:r>
    </w:p>
    <w:p>
      <w:pPr>
        <w:spacing w:after="240"/>
        <w:jc w:val="center"/>
      </w:pPr>
      <w:r>
        <w:rPr>
          <w:rFonts w:ascii="Inter" w:hAnsi="Inter"/>
          <w:b w:val="0"/>
          <w:i/>
          <w:color w:val="6B7280"/>
          <w:sz w:val="18"/>
        </w:rPr>
        <w:t>Figure 4: Aspect sentiment heatmap (aspects with ≥10 mentions)</w:t>
      </w:r>
    </w:p>
    <w:p>
      <w:r>
        <w:br w:type="page"/>
      </w:r>
    </w:p>
    <w:p>
      <w:pPr>
        <w:pStyle w:val="Heading1"/>
        <w:jc w:val="left"/>
      </w:pPr>
      <w:r>
        <w:rPr>
          <w:rFonts w:ascii="Inter" w:hAnsi="Inter"/>
          <w:b/>
          <w:color w:val="1E3A5F"/>
          <w:sz w:val="44"/>
        </w:rPr>
        <w:t>Insight Landscape</w:t>
      </w:r>
    </w:p>
    <w:p>
      <w:pPr>
        <w:spacing w:after="120" w:before="0"/>
      </w:pPr>
      <w:r>
        <w:rPr>
          <w:rFonts w:ascii="Inter" w:hAnsi="Inter"/>
          <w:b w:val="0"/>
          <w:i w:val="0"/>
          <w:sz w:val="22"/>
        </w:rPr>
        <w:t>12 insights were identified from 472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Inter" w:hAnsi="Inter"/>
                <w:b/>
                <w:i w:val="0"/>
                <w:color w:val="FFFFFF"/>
                <w:sz w:val="20"/>
              </w:rPr>
              <w:t>Insight</w:t>
            </w:r>
          </w:p>
        </w:tc>
        <w:tc>
          <w:tcPr>
            <w:tcW w:type="dxa" w:w="1568"/>
            <w:shd w:val="clear" w:color="auto" w:fill="1E3A5F"/>
          </w:tcPr>
          <w:p>
            <w:pPr>
              <w:spacing w:before="60" w:after="60"/>
            </w:pPr>
            <w:r/>
            <w:r>
              <w:rPr>
                <w:rFonts w:ascii="Inter" w:hAnsi="Inter"/>
                <w:b/>
                <w:i w:val="0"/>
                <w:color w:val="FFFFFF"/>
                <w:sz w:val="20"/>
              </w:rPr>
              <w:t>Items</w:t>
            </w:r>
          </w:p>
        </w:tc>
        <w:tc>
          <w:tcPr>
            <w:tcW w:type="dxa" w:w="1568"/>
            <w:shd w:val="clear" w:color="auto" w:fill="1E3A5F"/>
          </w:tcPr>
          <w:p>
            <w:pPr>
              <w:spacing w:before="60" w:after="60"/>
            </w:pPr>
            <w:r/>
            <w:r>
              <w:rPr>
                <w:rFonts w:ascii="Inter" w:hAnsi="Inter"/>
                <w:b/>
                <w:i w:val="0"/>
                <w:color w:val="FFFFFF"/>
                <w:sz w:val="20"/>
              </w:rPr>
              <w:t>Prevalence in Dataset</w:t>
            </w:r>
          </w:p>
        </w:tc>
        <w:tc>
          <w:tcPr>
            <w:tcW w:type="dxa" w:w="1568"/>
            <w:shd w:val="clear" w:color="auto" w:fill="1E3A5F"/>
          </w:tcPr>
          <w:p>
            <w:pPr>
              <w:spacing w:before="60" w:after="60"/>
            </w:pPr>
            <w:r/>
            <w:r>
              <w:rPr>
                <w:rFonts w:ascii="Inter" w:hAnsi="Inter"/>
                <w:b/>
                <w:i w:val="0"/>
                <w:color w:val="FFFFFF"/>
                <w:sz w:val="20"/>
              </w:rPr>
              <w:t>Signal Strength</w:t>
            </w:r>
          </w:p>
        </w:tc>
        <w:tc>
          <w:tcPr>
            <w:tcW w:type="dxa" w:w="1568"/>
            <w:shd w:val="clear" w:color="auto" w:fill="1E3A5F"/>
          </w:tcPr>
          <w:p>
            <w:pPr>
              <w:spacing w:before="60" w:after="60"/>
            </w:pPr>
            <w:r/>
            <w:r>
              <w:rPr>
                <w:rFonts w:ascii="Inter" w:hAnsi="Inter"/>
                <w:b/>
                <w:i w:val="0"/>
                <w:color w:val="FFFFFF"/>
                <w:sz w:val="20"/>
              </w:rPr>
              <w:t>Confidence Score</w:t>
            </w:r>
          </w:p>
        </w:tc>
        <w:tc>
          <w:tcPr>
            <w:tcW w:type="dxa" w:w="1568"/>
            <w:shd w:val="clear" w:color="auto" w:fill="1E3A5F"/>
          </w:tcPr>
          <w:p>
            <w:pPr>
              <w:spacing w:before="60" w:after="60"/>
            </w:pPr>
            <w:r/>
            <w:r>
              <w:rPr>
                <w:rFonts w:ascii="Inter" w:hAnsi="Inter"/>
                <w:b/>
                <w:i w:val="0"/>
                <w:color w:val="FFFFFF"/>
                <w:sz w:val="20"/>
              </w:rPr>
              <w:t>NSS</w:t>
            </w:r>
          </w:p>
        </w:tc>
      </w:tr>
      <w:tr>
        <w:tc>
          <w:tcPr>
            <w:tcW w:type="dxa" w:w="1568"/>
          </w:tcPr>
          <w:p>
            <w:r>
              <w:t>Pricing, Packaging &amp; Availability</w:t>
            </w:r>
          </w:p>
        </w:tc>
        <w:tc>
          <w:tcPr>
            <w:tcW w:type="dxa" w:w="1568"/>
          </w:tcPr>
          <w:p>
            <w:r>
              <w:t>209</w:t>
            </w:r>
          </w:p>
        </w:tc>
        <w:tc>
          <w:tcPr>
            <w:tcW w:type="dxa" w:w="1568"/>
          </w:tcPr>
          <w:p>
            <w:r>
              <w:t>44.3%</w:t>
            </w:r>
          </w:p>
        </w:tc>
        <w:tc>
          <w:tcPr>
            <w:tcW w:type="dxa" w:w="1568"/>
          </w:tcPr>
          <w:p>
            <w:r>
              <w:t>83% (Strong)</w:t>
            </w:r>
          </w:p>
        </w:tc>
        <w:tc>
          <w:tcPr>
            <w:tcW w:type="dxa" w:w="1568"/>
          </w:tcPr>
          <w:p>
            <w:r>
              <w:t>92% (High)</w:t>
            </w:r>
          </w:p>
        </w:tc>
        <w:tc>
          <w:tcPr>
            <w:tcW w:type="dxa" w:w="1568"/>
          </w:tcPr>
          <w:p>
            <w:r>
              <w:t>+11%</w:t>
            </w:r>
          </w:p>
        </w:tc>
      </w:tr>
      <w:tr>
        <w:tc>
          <w:tcPr>
            <w:tcW w:type="dxa" w:w="1568"/>
          </w:tcPr>
          <w:p>
            <w:r>
              <w:t>Taste Profile &amp; Carbonation Experience</w:t>
            </w:r>
          </w:p>
        </w:tc>
        <w:tc>
          <w:tcPr>
            <w:tcW w:type="dxa" w:w="1568"/>
          </w:tcPr>
          <w:p>
            <w:r>
              <w:t>201</w:t>
            </w:r>
          </w:p>
        </w:tc>
        <w:tc>
          <w:tcPr>
            <w:tcW w:type="dxa" w:w="1568"/>
          </w:tcPr>
          <w:p>
            <w:r>
              <w:t>42.6%</w:t>
            </w:r>
          </w:p>
        </w:tc>
        <w:tc>
          <w:tcPr>
            <w:tcW w:type="dxa" w:w="1568"/>
          </w:tcPr>
          <w:p>
            <w:r>
              <w:t>87% (Strong)</w:t>
            </w:r>
          </w:p>
        </w:tc>
        <w:tc>
          <w:tcPr>
            <w:tcW w:type="dxa" w:w="1568"/>
          </w:tcPr>
          <w:p>
            <w:r>
              <w:t>90% (High)</w:t>
            </w:r>
          </w:p>
        </w:tc>
        <w:tc>
          <w:tcPr>
            <w:tcW w:type="dxa" w:w="1568"/>
          </w:tcPr>
          <w:p>
            <w:r>
              <w:t>+13%</w:t>
            </w:r>
          </w:p>
        </w:tc>
      </w:tr>
      <w:tr>
        <w:tc>
          <w:tcPr>
            <w:tcW w:type="dxa" w:w="1568"/>
          </w:tcPr>
          <w:p>
            <w:r>
              <w:t>Competitive Positioning vs Coke &amp; Pepsi</w:t>
            </w:r>
          </w:p>
        </w:tc>
        <w:tc>
          <w:tcPr>
            <w:tcW w:type="dxa" w:w="1568"/>
          </w:tcPr>
          <w:p>
            <w:r>
              <w:t>142</w:t>
            </w:r>
          </w:p>
        </w:tc>
        <w:tc>
          <w:tcPr>
            <w:tcW w:type="dxa" w:w="1568"/>
          </w:tcPr>
          <w:p>
            <w:r>
              <w:t>30.1%</w:t>
            </w:r>
          </w:p>
        </w:tc>
        <w:tc>
          <w:tcPr>
            <w:tcW w:type="dxa" w:w="1568"/>
          </w:tcPr>
          <w:p>
            <w:r>
              <w:t>85% (Strong)</w:t>
            </w:r>
          </w:p>
        </w:tc>
        <w:tc>
          <w:tcPr>
            <w:tcW w:type="dxa" w:w="1568"/>
          </w:tcPr>
          <w:p>
            <w:r>
              <w:t>91% (High)</w:t>
            </w:r>
          </w:p>
        </w:tc>
        <w:tc>
          <w:tcPr>
            <w:tcW w:type="dxa" w:w="1568"/>
          </w:tcPr>
          <w:p>
            <w:r>
              <w:t>+10%</w:t>
            </w:r>
          </w:p>
        </w:tc>
      </w:tr>
      <w:tr>
        <w:tc>
          <w:tcPr>
            <w:tcW w:type="dxa" w:w="1568"/>
          </w:tcPr>
          <w:p>
            <w:r>
              <w:t>Advertising, Cricket &amp; Brand Ambassadors</w:t>
            </w:r>
          </w:p>
        </w:tc>
        <w:tc>
          <w:tcPr>
            <w:tcW w:type="dxa" w:w="1568"/>
          </w:tcPr>
          <w:p>
            <w:r>
              <w:t>87</w:t>
            </w:r>
          </w:p>
        </w:tc>
        <w:tc>
          <w:tcPr>
            <w:tcW w:type="dxa" w:w="1568"/>
          </w:tcPr>
          <w:p>
            <w:r>
              <w:t>18.4%</w:t>
            </w:r>
          </w:p>
        </w:tc>
        <w:tc>
          <w:tcPr>
            <w:tcW w:type="dxa" w:w="1568"/>
          </w:tcPr>
          <w:p>
            <w:r>
              <w:t>82% (Strong)</w:t>
            </w:r>
          </w:p>
        </w:tc>
        <w:tc>
          <w:tcPr>
            <w:tcW w:type="dxa" w:w="1568"/>
          </w:tcPr>
          <w:p>
            <w:r>
              <w:t>82% (High)</w:t>
            </w:r>
          </w:p>
        </w:tc>
        <w:tc>
          <w:tcPr>
            <w:tcW w:type="dxa" w:w="1568"/>
          </w:tcPr>
          <w:p>
            <w:r>
              <w:t>+19%</w:t>
            </w:r>
          </w:p>
        </w:tc>
      </w:tr>
      <w:tr>
        <w:tc>
          <w:tcPr>
            <w:tcW w:type="dxa" w:w="1568"/>
          </w:tcPr>
          <w:p>
            <w:r>
              <w:t>Health Concerns &amp; Sugar Debate</w:t>
            </w:r>
          </w:p>
        </w:tc>
        <w:tc>
          <w:tcPr>
            <w:tcW w:type="dxa" w:w="1568"/>
          </w:tcPr>
          <w:p>
            <w:r>
              <w:t>76</w:t>
            </w:r>
          </w:p>
        </w:tc>
        <w:tc>
          <w:tcPr>
            <w:tcW w:type="dxa" w:w="1568"/>
          </w:tcPr>
          <w:p>
            <w:r>
              <w:t>16.1%</w:t>
            </w:r>
          </w:p>
        </w:tc>
        <w:tc>
          <w:tcPr>
            <w:tcW w:type="dxa" w:w="1568"/>
          </w:tcPr>
          <w:p>
            <w:r>
              <w:t>91% (Strong)</w:t>
            </w:r>
          </w:p>
        </w:tc>
        <w:tc>
          <w:tcPr>
            <w:tcW w:type="dxa" w:w="1568"/>
          </w:tcPr>
          <w:p>
            <w:r>
              <w:t>86% (High)</w:t>
            </w:r>
          </w:p>
        </w:tc>
        <w:tc>
          <w:tcPr>
            <w:tcW w:type="dxa" w:w="1568"/>
          </w:tcPr>
          <w:p>
            <w:r>
              <w:t>-37%</w:t>
            </w:r>
          </w:p>
        </w:tc>
      </w:tr>
      <w:tr>
        <w:tc>
          <w:tcPr>
            <w:tcW w:type="dxa" w:w="1568"/>
          </w:tcPr>
          <w:p>
            <w:r>
              <w:t>Nostalgia &amp; Cultural Identity</w:t>
            </w:r>
          </w:p>
        </w:tc>
        <w:tc>
          <w:tcPr>
            <w:tcW w:type="dxa" w:w="1568"/>
          </w:tcPr>
          <w:p>
            <w:r>
              <w:t>55</w:t>
            </w:r>
          </w:p>
        </w:tc>
        <w:tc>
          <w:tcPr>
            <w:tcW w:type="dxa" w:w="1568"/>
          </w:tcPr>
          <w:p>
            <w:r>
              <w:t>11.7%</w:t>
            </w:r>
          </w:p>
        </w:tc>
        <w:tc>
          <w:tcPr>
            <w:tcW w:type="dxa" w:w="1568"/>
          </w:tcPr>
          <w:p>
            <w:r>
              <w:t>86% (Strong)</w:t>
            </w:r>
          </w:p>
        </w:tc>
        <w:tc>
          <w:tcPr>
            <w:tcW w:type="dxa" w:w="1568"/>
          </w:tcPr>
          <w:p>
            <w:r>
              <w:t>83% (High)</w:t>
            </w:r>
          </w:p>
        </w:tc>
        <w:tc>
          <w:tcPr>
            <w:tcW w:type="dxa" w:w="1568"/>
          </w:tcPr>
          <w:p>
            <w:r>
              <w:t>+29%</w:t>
            </w:r>
          </w:p>
        </w:tc>
      </w:tr>
      <w:tr>
        <w:tc>
          <w:tcPr>
            <w:tcW w:type="dxa" w:w="1568"/>
          </w:tcPr>
          <w:p>
            <w:r>
              <w:t>Brand Loyalty &amp; Emotional Connection</w:t>
            </w:r>
          </w:p>
        </w:tc>
        <w:tc>
          <w:tcPr>
            <w:tcW w:type="dxa" w:w="1568"/>
          </w:tcPr>
          <w:p>
            <w:r>
              <w:t>53</w:t>
            </w:r>
          </w:p>
        </w:tc>
        <w:tc>
          <w:tcPr>
            <w:tcW w:type="dxa" w:w="1568"/>
          </w:tcPr>
          <w:p>
            <w:r>
              <w:t>11.2%</w:t>
            </w:r>
          </w:p>
        </w:tc>
        <w:tc>
          <w:tcPr>
            <w:tcW w:type="dxa" w:w="1568"/>
          </w:tcPr>
          <w:p>
            <w:r>
              <w:t>91% (Strong)</w:t>
            </w:r>
          </w:p>
        </w:tc>
        <w:tc>
          <w:tcPr>
            <w:tcW w:type="dxa" w:w="1568"/>
          </w:tcPr>
          <w:p>
            <w:r>
              <w:t>87% (High)</w:t>
            </w:r>
          </w:p>
        </w:tc>
        <w:tc>
          <w:tcPr>
            <w:tcW w:type="dxa" w:w="1568"/>
          </w:tcPr>
          <w:p>
            <w:r>
              <w:t>+54%</w:t>
            </w:r>
          </w:p>
        </w:tc>
      </w:tr>
      <w:tr>
        <w:tc>
          <w:tcPr>
            <w:tcW w:type="dxa" w:w="1568"/>
          </w:tcPr>
          <w:p>
            <w:r>
              <w:t>Zero Sugar &amp; Product Innovation</w:t>
            </w:r>
          </w:p>
        </w:tc>
        <w:tc>
          <w:tcPr>
            <w:tcW w:type="dxa" w:w="1568"/>
          </w:tcPr>
          <w:p>
            <w:r>
              <w:t>44</w:t>
            </w:r>
          </w:p>
        </w:tc>
        <w:tc>
          <w:tcPr>
            <w:tcW w:type="dxa" w:w="1568"/>
          </w:tcPr>
          <w:p>
            <w:r>
              <w:t>9.3%</w:t>
            </w:r>
          </w:p>
        </w:tc>
        <w:tc>
          <w:tcPr>
            <w:tcW w:type="dxa" w:w="1568"/>
          </w:tcPr>
          <w:p>
            <w:r>
              <w:t>84% (Strong)</w:t>
            </w:r>
          </w:p>
        </w:tc>
        <w:tc>
          <w:tcPr>
            <w:tcW w:type="dxa" w:w="1568"/>
          </w:tcPr>
          <w:p>
            <w:r>
              <w:t>84% (High)</w:t>
            </w:r>
          </w:p>
        </w:tc>
        <w:tc>
          <w:tcPr>
            <w:tcW w:type="dxa" w:w="1568"/>
          </w:tcPr>
          <w:p>
            <w:r>
              <w:t>-16%</w:t>
            </w:r>
          </w:p>
        </w:tc>
      </w:tr>
      <w:tr>
        <w:tc>
          <w:tcPr>
            <w:tcW w:type="dxa" w:w="1568"/>
          </w:tcPr>
          <w:p>
            <w:r>
              <w:t>International Discovery &amp; Diaspora</w:t>
            </w:r>
          </w:p>
        </w:tc>
        <w:tc>
          <w:tcPr>
            <w:tcW w:type="dxa" w:w="1568"/>
          </w:tcPr>
          <w:p>
            <w:r>
              <w:t>42</w:t>
            </w:r>
          </w:p>
        </w:tc>
        <w:tc>
          <w:tcPr>
            <w:tcW w:type="dxa" w:w="1568"/>
          </w:tcPr>
          <w:p>
            <w:r>
              <w:t>8.9%</w:t>
            </w:r>
          </w:p>
        </w:tc>
        <w:tc>
          <w:tcPr>
            <w:tcW w:type="dxa" w:w="1568"/>
          </w:tcPr>
          <w:p>
            <w:r>
              <w:t>85% (Strong)</w:t>
            </w:r>
          </w:p>
        </w:tc>
        <w:tc>
          <w:tcPr>
            <w:tcW w:type="dxa" w:w="1568"/>
          </w:tcPr>
          <w:p>
            <w:r>
              <w:t>78% (High)</w:t>
            </w:r>
          </w:p>
        </w:tc>
        <w:tc>
          <w:tcPr>
            <w:tcW w:type="dxa" w:w="1568"/>
          </w:tcPr>
          <w:p>
            <w:r>
              <w:t>+24%</w:t>
            </w:r>
          </w:p>
        </w:tc>
      </w:tr>
      <w:tr>
        <w:tc>
          <w:tcPr>
            <w:tcW w:type="dxa" w:w="1568"/>
          </w:tcPr>
          <w:p>
            <w:r>
              <w:t>Food &amp; Occasion Pairings</w:t>
            </w:r>
          </w:p>
        </w:tc>
        <w:tc>
          <w:tcPr>
            <w:tcW w:type="dxa" w:w="1568"/>
          </w:tcPr>
          <w:p>
            <w:r>
              <w:t>34</w:t>
            </w:r>
          </w:p>
        </w:tc>
        <w:tc>
          <w:tcPr>
            <w:tcW w:type="dxa" w:w="1568"/>
          </w:tcPr>
          <w:p>
            <w:r>
              <w:t>7.2%</w:t>
            </w:r>
          </w:p>
        </w:tc>
        <w:tc>
          <w:tcPr>
            <w:tcW w:type="dxa" w:w="1568"/>
          </w:tcPr>
          <w:p>
            <w:r>
              <w:t>88% (Strong)</w:t>
            </w:r>
          </w:p>
        </w:tc>
        <w:tc>
          <w:tcPr>
            <w:tcW w:type="dxa" w:w="1568"/>
          </w:tcPr>
          <w:p>
            <w:r>
              <w:t>81% (High)</w:t>
            </w:r>
          </w:p>
        </w:tc>
        <w:tc>
          <w:tcPr>
            <w:tcW w:type="dxa" w:w="1568"/>
          </w:tcPr>
          <w:p>
            <w:r>
              <w:t>+15%</w:t>
            </w:r>
          </w:p>
        </w:tc>
      </w:tr>
      <w:tr>
        <w:tc>
          <w:tcPr>
            <w:tcW w:type="dxa" w:w="1568"/>
          </w:tcPr>
          <w:p>
            <w:r>
              <w:t>Coca-Cola Acquisition &amp; Corporate History</w:t>
            </w:r>
          </w:p>
        </w:tc>
        <w:tc>
          <w:tcPr>
            <w:tcW w:type="dxa" w:w="1568"/>
          </w:tcPr>
          <w:p>
            <w:r>
              <w:t>26</w:t>
            </w:r>
          </w:p>
        </w:tc>
        <w:tc>
          <w:tcPr>
            <w:tcW w:type="dxa" w:w="1568"/>
          </w:tcPr>
          <w:p>
            <w:r>
              <w:t>5.5%</w:t>
            </w:r>
          </w:p>
        </w:tc>
        <w:tc>
          <w:tcPr>
            <w:tcW w:type="dxa" w:w="1568"/>
          </w:tcPr>
          <w:p>
            <w:r>
              <w:t>71% (Moderate)</w:t>
            </w:r>
          </w:p>
        </w:tc>
        <w:tc>
          <w:tcPr>
            <w:tcW w:type="dxa" w:w="1568"/>
          </w:tcPr>
          <w:p>
            <w:r>
              <w:t>73% (Medium)</w:t>
            </w:r>
          </w:p>
        </w:tc>
        <w:tc>
          <w:tcPr>
            <w:tcW w:type="dxa" w:w="1568"/>
          </w:tcPr>
          <w:p>
            <w:r>
              <w:t>+19%</w:t>
            </w:r>
          </w:p>
        </w:tc>
      </w:tr>
      <w:tr>
        <w:tc>
          <w:tcPr>
            <w:tcW w:type="dxa" w:w="1568"/>
          </w:tcPr>
          <w:p>
            <w:r>
              <w:t>Quality Issues &amp; Contamination Reports</w:t>
            </w:r>
          </w:p>
        </w:tc>
        <w:tc>
          <w:tcPr>
            <w:tcW w:type="dxa" w:w="1568"/>
          </w:tcPr>
          <w:p>
            <w:r>
              <w:t>20</w:t>
            </w:r>
          </w:p>
        </w:tc>
        <w:tc>
          <w:tcPr>
            <w:tcW w:type="dxa" w:w="1568"/>
          </w:tcPr>
          <w:p>
            <w:r>
              <w:t>4.2%</w:t>
            </w:r>
          </w:p>
        </w:tc>
        <w:tc>
          <w:tcPr>
            <w:tcW w:type="dxa" w:w="1568"/>
          </w:tcPr>
          <w:p>
            <w:r>
              <w:t>79% (Strong)</w:t>
            </w:r>
          </w:p>
        </w:tc>
        <w:tc>
          <w:tcPr>
            <w:tcW w:type="dxa" w:w="1568"/>
          </w:tcPr>
          <w:p>
            <w:r>
              <w:t>80% (High)</w:t>
            </w:r>
          </w:p>
        </w:tc>
        <w:tc>
          <w:tcPr>
            <w:tcW w:type="dxa" w:w="1568"/>
          </w:tcPr>
          <w:p>
            <w:r>
              <w:t>-50%</w:t>
            </w:r>
          </w:p>
        </w:tc>
      </w:tr>
    </w:tbl>
    <w:p>
      <w:pPr>
        <w:jc w:val="center"/>
      </w:pPr>
      <w:r>
        <w:drawing>
          <wp:inline xmlns:a="http://schemas.openxmlformats.org/drawingml/2006/main" xmlns:pic="http://schemas.openxmlformats.org/drawingml/2006/picture">
            <wp:extent cx="5029200" cy="3750374"/>
            <wp:docPr id="5" name="Picture 5"/>
            <wp:cNvGraphicFramePr>
              <a:graphicFrameLocks noChangeAspect="1"/>
            </wp:cNvGraphicFramePr>
            <a:graphic>
              <a:graphicData uri="http://schemas.openxmlformats.org/drawingml/2006/picture">
                <pic:pic>
                  <pic:nvPicPr>
                    <pic:cNvPr id="0" name="chart_themes.png"/>
                    <pic:cNvPicPr/>
                  </pic:nvPicPr>
                  <pic:blipFill>
                    <a:blip r:embed="rId13"/>
                    <a:stretch>
                      <a:fillRect/>
                    </a:stretch>
                  </pic:blipFill>
                  <pic:spPr>
                    <a:xfrm>
                      <a:off x="0" y="0"/>
                      <a:ext cx="5029200" cy="3750374"/>
                    </a:xfrm>
                    <a:prstGeom prst="rect"/>
                  </pic:spPr>
                </pic:pic>
              </a:graphicData>
            </a:graphic>
          </wp:inline>
        </w:drawing>
      </w:r>
    </w:p>
    <w:p>
      <w:pPr>
        <w:spacing w:after="240"/>
        <w:jc w:val="center"/>
      </w:pPr>
      <w:r>
        <w:rPr>
          <w:rFonts w:ascii="Inter" w:hAnsi="Inter"/>
          <w:b w:val="0"/>
          <w:i/>
          <w:color w:val="6B7280"/>
          <w:sz w:val="18"/>
        </w:rPr>
        <w:t>Figure 5: Insight prevalence (% of total corpus)</w:t>
      </w:r>
    </w:p>
    <w:p>
      <w:r>
        <w:br w:type="page"/>
      </w:r>
    </w:p>
    <w:p>
      <w:pPr>
        <w:pStyle w:val="Heading1"/>
        <w:jc w:val="left"/>
      </w:pPr>
      <w:r>
        <w:rPr>
          <w:rFonts w:ascii="Inter" w:hAnsi="Inter"/>
          <w:b/>
          <w:color w:val="1E3A5F"/>
          <w:sz w:val="44"/>
        </w:rPr>
        <w:t>Insight Deep Dives</w:t>
      </w:r>
    </w:p>
    <w:p>
      <w:pPr>
        <w:spacing w:after="120" w:before="0"/>
      </w:pPr>
      <w:r>
        <w:rPr>
          <w:rFonts w:ascii="Inter" w:hAnsi="Inter"/>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Inter" w:hAnsi="Inter"/>
          <w:b/>
          <w:color w:val="1E3A5F"/>
          <w:sz w:val="32"/>
        </w:rPr>
        <w:t>01. Pricing, Packaging &amp; Availability</w:t>
      </w:r>
    </w:p>
    <w:p>
      <w:pPr>
        <w:spacing w:after="160"/>
      </w:pPr>
      <w:r>
        <w:rPr>
          <w:rFonts w:ascii="Inter" w:hAnsi="Inter"/>
          <w:b w:val="0"/>
          <w:i w:val="0"/>
          <w:color w:val="6B7280"/>
          <w:sz w:val="18"/>
        </w:rPr>
        <w:t>n=209</w:t>
      </w:r>
      <w:r>
        <w:rPr>
          <w:rFonts w:ascii="Inter" w:hAnsi="Inter"/>
          <w:b w:val="0"/>
          <w:i w:val="0"/>
          <w:color w:val="374151"/>
          <w:sz w:val="18"/>
        </w:rPr>
        <w:t xml:space="preserve">  |  Confidence: </w:t>
      </w:r>
      <w:r>
        <w:rPr>
          <w:rFonts w:ascii="Inter" w:hAnsi="Inter"/>
          <w:b/>
          <w:i w:val="0"/>
          <w:color w:val="059669"/>
          <w:sz w:val="18"/>
        </w:rPr>
        <w:t>92% (High)</w:t>
      </w:r>
      <w:r>
        <w:rPr>
          <w:rFonts w:ascii="Inter" w:hAnsi="Inter"/>
          <w:b w:val="0"/>
          <w:i w:val="0"/>
          <w:color w:val="374151"/>
          <w:sz w:val="18"/>
        </w:rPr>
        <w:t xml:space="preserve">  |  Signal: </w:t>
      </w:r>
      <w:r>
        <w:rPr>
          <w:rFonts w:ascii="Inter" w:hAnsi="Inter"/>
          <w:b/>
          <w:i w:val="0"/>
          <w:color w:val="374151"/>
          <w:sz w:val="18"/>
        </w:rPr>
        <w:t>83% (Strong)</w:t>
      </w:r>
      <w:r>
        <w:rPr>
          <w:rFonts w:ascii="Inter" w:hAnsi="Inter"/>
          <w:b w:val="0"/>
          <w:i w:val="0"/>
          <w:color w:val="6B7280"/>
          <w:sz w:val="18"/>
        </w:rPr>
        <w:t xml:space="preserve">  |  44.3% of Dataset</w:t>
      </w:r>
      <w:r>
        <w:rPr>
          <w:rFonts w:ascii="Inter" w:hAnsi="Inter"/>
          <w:b w:val="0"/>
          <w:i w:val="0"/>
          <w:color w:val="6B7280"/>
          <w:sz w:val="18"/>
        </w:rPr>
        <w:t xml:space="preserve">  |  NSS: </w:t>
      </w:r>
      <w:r>
        <w:rPr>
          <w:rFonts w:ascii="Inter" w:hAnsi="Inter"/>
          <w:b/>
          <w:i w:val="0"/>
          <w:color w:val="059669"/>
          <w:sz w:val="18"/>
        </w:rPr>
        <w:t>+11%</w:t>
      </w:r>
    </w:p>
    <w:p>
      <w:pPr>
        <w:jc w:val="center"/>
      </w:pPr>
      <w:r>
        <w:drawing>
          <wp:inline xmlns:a="http://schemas.openxmlformats.org/drawingml/2006/main" xmlns:pic="http://schemas.openxmlformats.org/drawingml/2006/picture">
            <wp:extent cx="3474720" cy="3525078"/>
            <wp:docPr id="6" name="Picture 6"/>
            <wp:cNvGraphicFramePr>
              <a:graphicFrameLocks noChangeAspect="1"/>
            </wp:cNvGraphicFramePr>
            <a:graphic>
              <a:graphicData uri="http://schemas.openxmlformats.org/drawingml/2006/picture">
                <pic:pic>
                  <pic:nvPicPr>
                    <pic:cNvPr id="0" name="chart_radar_INS_009.png"/>
                    <pic:cNvPicPr/>
                  </pic:nvPicPr>
                  <pic:blipFill>
                    <a:blip r:embed="rId1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Pricing, Packaging &amp; Availability</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Pricing and packaging is the largest theme (209 items, 44.3%) with slight positive sentiment (+10.5%). Price comparisons between sizes and formats dominate. The Rs 20 price point for 250ml+ is seen as competitive. Glass bottle nostalgia coexists with PET convenience preference. Regional availability gaps are noted.</w:t>
      </w:r>
    </w:p>
    <w:p>
      <w:pPr>
        <w:pStyle w:val="Heading3"/>
        <w:jc w:val="left"/>
      </w:pPr>
      <w:r>
        <w:rPr>
          <w:rFonts w:ascii="Inter" w:hAnsi="Inter"/>
          <w:b/>
          <w:color w:val="1E3A5F"/>
          <w:sz w:val="26"/>
        </w:rPr>
        <w:t>What it Means</w:t>
      </w:r>
    </w:p>
    <w:p>
      <w:pPr>
        <w:spacing w:after="120" w:before="0"/>
      </w:pPr>
      <w:r>
        <w:rPr>
          <w:rFonts w:ascii="Inter" w:hAnsi="Inter"/>
          <w:b w:val="0"/>
          <w:i w:val="0"/>
          <w:sz w:val="22"/>
        </w:rPr>
        <w:t>Indian cola consumers are extremely price-literate - they calculate value on a per-ml basis and actively seek the best ratio. The Rs 10-20 price range is the battleground where purchasing decisions are made, and the +150ml bonus packs are recognised and appreciated as value signals. This suggests that the Indian cola consumer's loyalty has a price ceiling - even loyal consumers will switch if the value equation shifts significantly.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Price is the one lever that can override taste loyalty. While consumers choose Thums Up for taste, they evaluate purchase on value-per-ml. Competitors (especially Campa backed by Reliance's cost advantage) could disrupt by offering comparable taste at lower price points. The brand needs to win on both taste and perceived value, not just taste.</w:t>
      </w:r>
    </w:p>
    <w:p>
      <w:pPr>
        <w:pStyle w:val="Heading3"/>
        <w:jc w:val="left"/>
      </w:pPr>
      <w:r>
        <w:rPr>
          <w:rFonts w:ascii="Inter" w:hAnsi="Inter"/>
          <w:b/>
          <w:color w:val="1E3A5F"/>
          <w:sz w:val="26"/>
        </w:rPr>
        <w:t>Recommendation</w:t>
      </w:r>
    </w:p>
    <w:p>
      <w:pPr>
        <w:spacing w:after="120" w:before="0"/>
      </w:pPr>
      <w:r>
        <w:rPr>
          <w:rFonts w:ascii="Inter" w:hAnsi="Inter"/>
          <w:b w:val="0"/>
          <w:i w:val="0"/>
          <w:sz w:val="22"/>
        </w:rPr>
        <w:t>Maintain aggressive pricing on entry-level packs (200-300ml) to prevent trial erosion. Ensure bonus-pack promotions are sustained in high-competition periods. Monitor Campa Cola's pricing strategy - if Reliance undercuts on price in the same 'bold' taste territory, the loyalty moat will be tested.</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Map price elasticity by pack size and channel. Identify the price premium consumers are willing to pay for Thums Up over Campa/Pepsi at each pack size.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"MOVA Z60 Ultra Roller Complete: 43,000 sq. ft., a Mopping Beast, and the V50’s Rival As many of you may have seen in the news, a horrific fire broke out this week at the Wang Fuk Court estate in Tai Po, Hong Kong."</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heard a story. Coke silently bought all the empty bottles by paying double the price from the distributors which delayed the distribution of thumbs up. They did this again and again and over a time, thumbs up sales started to decline regularly"</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 xml:space="preserve">"Just a tip for Canadians,  if there is a flavor you like that is out of stock and mio has it. You can pour the mio into an old thristi pod, and it works just as good as the ninja flavoring. They are cheaper as well. </w:t>
        <w:br/>
        <w:t>The US seems to have more stock than Ninja Canada or amazon Canada."</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02. Competitive Positioning vs Coke &amp; Pepsi</w:t>
      </w:r>
    </w:p>
    <w:p>
      <w:pPr>
        <w:spacing w:after="160"/>
      </w:pPr>
      <w:r>
        <w:rPr>
          <w:rFonts w:ascii="Inter" w:hAnsi="Inter"/>
          <w:b w:val="0"/>
          <w:i w:val="0"/>
          <w:color w:val="6B7280"/>
          <w:sz w:val="18"/>
        </w:rPr>
        <w:t>n=142</w:t>
      </w:r>
      <w:r>
        <w:rPr>
          <w:rFonts w:ascii="Inter" w:hAnsi="Inter"/>
          <w:b w:val="0"/>
          <w:i w:val="0"/>
          <w:color w:val="374151"/>
          <w:sz w:val="18"/>
        </w:rPr>
        <w:t xml:space="preserve">  |  Confidence: </w:t>
      </w:r>
      <w:r>
        <w:rPr>
          <w:rFonts w:ascii="Inter" w:hAnsi="Inter"/>
          <w:b/>
          <w:i w:val="0"/>
          <w:color w:val="059669"/>
          <w:sz w:val="18"/>
        </w:rPr>
        <w:t>91% (High)</w:t>
      </w:r>
      <w:r>
        <w:rPr>
          <w:rFonts w:ascii="Inter" w:hAnsi="Inter"/>
          <w:b w:val="0"/>
          <w:i w:val="0"/>
          <w:color w:val="374151"/>
          <w:sz w:val="18"/>
        </w:rPr>
        <w:t xml:space="preserve">  |  Signal: </w:t>
      </w:r>
      <w:r>
        <w:rPr>
          <w:rFonts w:ascii="Inter" w:hAnsi="Inter"/>
          <w:b/>
          <w:i w:val="0"/>
          <w:color w:val="374151"/>
          <w:sz w:val="18"/>
        </w:rPr>
        <w:t>85% (Strong)</w:t>
      </w:r>
      <w:r>
        <w:rPr>
          <w:rFonts w:ascii="Inter" w:hAnsi="Inter"/>
          <w:b w:val="0"/>
          <w:i w:val="0"/>
          <w:color w:val="6B7280"/>
          <w:sz w:val="18"/>
        </w:rPr>
        <w:t xml:space="preserve">  |  30.1% of Dataset</w:t>
      </w:r>
      <w:r>
        <w:rPr>
          <w:rFonts w:ascii="Inter" w:hAnsi="Inter"/>
          <w:b w:val="0"/>
          <w:i w:val="0"/>
          <w:color w:val="6B7280"/>
          <w:sz w:val="18"/>
        </w:rPr>
        <w:t xml:space="preserve">  |  NSS: </w:t>
      </w:r>
      <w:r>
        <w:rPr>
          <w:rFonts w:ascii="Inter" w:hAnsi="Inter"/>
          <w:b/>
          <w:i w:val="0"/>
          <w:color w:val="D97706"/>
          <w:sz w:val="18"/>
        </w:rPr>
        <w:t>+10%</w:t>
      </w:r>
    </w:p>
    <w:p>
      <w:pPr>
        <w:jc w:val="center"/>
      </w:pPr>
      <w:r>
        <w:drawing>
          <wp:inline xmlns:a="http://schemas.openxmlformats.org/drawingml/2006/main" xmlns:pic="http://schemas.openxmlformats.org/drawingml/2006/picture">
            <wp:extent cx="3474720" cy="3525078"/>
            <wp:docPr id="7" name="Picture 7"/>
            <wp:cNvGraphicFramePr>
              <a:graphicFrameLocks noChangeAspect="1"/>
            </wp:cNvGraphicFramePr>
            <a:graphic>
              <a:graphicData uri="http://schemas.openxmlformats.org/drawingml/2006/picture">
                <pic:pic>
                  <pic:nvPicPr>
                    <pic:cNvPr id="0" name="chart_radar_INS_003.png"/>
                    <pic:cNvPicPr/>
                  </pic:nvPicPr>
                  <pic:blipFill>
                    <a:blip r:embed="rId1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Competitive Positioning vs Coke &amp; Pepsi</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Competitive positioning is the second-largest theme (142 items, 30.1%) with slightly positive NSS (+9.9%). Thums Up vs Coca-Cola is the primary comparison axis, with Pepsi a distant third. Consumers frame the choice as 'bold vs smooth' with Thums Up owning 'bold'. Campa Cola appears as an emerging disruptor backed by Reliance, generating curiosity but not yet threatening loyalty.</w:t>
      </w:r>
    </w:p>
    <w:p>
      <w:pPr>
        <w:pStyle w:val="Heading3"/>
        <w:jc w:val="left"/>
      </w:pPr>
      <w:r>
        <w:rPr>
          <w:rFonts w:ascii="Inter" w:hAnsi="Inter"/>
          <w:b/>
          <w:color w:val="1E3A5F"/>
          <w:sz w:val="26"/>
        </w:rPr>
        <w:t>What it Means</w:t>
      </w:r>
    </w:p>
    <w:p>
      <w:pPr>
        <w:spacing w:after="120" w:before="0"/>
      </w:pPr>
      <w:r>
        <w:rPr>
          <w:rFonts w:ascii="Inter" w:hAnsi="Inter"/>
          <w:b w:val="0"/>
          <w:i w:val="0"/>
          <w:sz w:val="22"/>
        </w:rPr>
        <w:t>The Indian cola market operates on a taste-intensity spectrum that Thums Up anchors at the bold end. Consumers do not see Thums Up and Coca-Cola as interchangeable - they are functionally different products that happen to be in the same category. This means Thums Up's real competitive threat is not from Coke or Pepsi directly but from any new entrant that can credibly claim the 'bold' territory (Campa's positioning bears watching).</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Thums Up should compete on distinctiveness rather than market share parity. The brand wins when the conversation is about taste character, and loses when it becomes about price or availability (where Coca-Cola's distribution advantage dominates). Campa Cola backed by Reliance's distribution network could be the first credible bold-positioning challenger.</w:t>
      </w:r>
    </w:p>
    <w:p>
      <w:pPr>
        <w:pStyle w:val="Heading3"/>
        <w:jc w:val="left"/>
      </w:pPr>
      <w:r>
        <w:rPr>
          <w:rFonts w:ascii="Inter" w:hAnsi="Inter"/>
          <w:b/>
          <w:color w:val="1E3A5F"/>
          <w:sz w:val="26"/>
        </w:rPr>
        <w:t>Recommendation</w:t>
      </w:r>
    </w:p>
    <w:p>
      <w:pPr>
        <w:spacing w:after="120" w:before="0"/>
      </w:pPr>
      <w:r>
        <w:rPr>
          <w:rFonts w:ascii="Inter" w:hAnsi="Inter"/>
          <w:b w:val="0"/>
          <w:i w:val="0"/>
          <w:sz w:val="22"/>
        </w:rPr>
        <w:t>Monitor Campa Cola's brand positioning closely - if Reliance positions it as 'bold' or 'strong', it directly threatens Thums Up's territory. Reinforce taste differentiation in all communication. Avoid price wars that commoditise the category and erase Thums Up's distinctiveness.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Campa Cola trial and repeat rates among Thums Up loyalists. Conduct competitive taste mapping to understand exactly where each brand sits on the intensity spectrum.</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"These days... thumsup dena bhaiya,</w:t>
        <w:br/>
        <w:t>Shopkeeper - Nahi hai Coke/Pepsi dedu</w:t>
        <w:br/>
        <w:t>Me- Nahi Bhaiya, paani dedo fir 1 ltr wala</w:t>
        <w:br/>
        <w:t>Thumbs-up is next level"</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03. Taste Profile &amp; Carbonation Experience</w:t>
      </w:r>
    </w:p>
    <w:p>
      <w:pPr>
        <w:spacing w:after="160"/>
      </w:pPr>
      <w:r>
        <w:rPr>
          <w:rFonts w:ascii="Inter" w:hAnsi="Inter"/>
          <w:b w:val="0"/>
          <w:i w:val="0"/>
          <w:color w:val="6B7280"/>
          <w:sz w:val="18"/>
        </w:rPr>
        <w:t>n=200</w:t>
      </w:r>
      <w:r>
        <w:rPr>
          <w:rFonts w:ascii="Inter" w:hAnsi="Inter"/>
          <w:b w:val="0"/>
          <w:i w:val="0"/>
          <w:color w:val="374151"/>
          <w:sz w:val="18"/>
        </w:rPr>
        <w:t xml:space="preserve">  |  Confidence: </w:t>
      </w:r>
      <w:r>
        <w:rPr>
          <w:rFonts w:ascii="Inter" w:hAnsi="Inter"/>
          <w:b/>
          <w:i w:val="0"/>
          <w:color w:val="059669"/>
          <w:sz w:val="18"/>
        </w:rPr>
        <w:t>90% (High)</w:t>
      </w:r>
      <w:r>
        <w:rPr>
          <w:rFonts w:ascii="Inter" w:hAnsi="Inter"/>
          <w:b w:val="0"/>
          <w:i w:val="0"/>
          <w:color w:val="374151"/>
          <w:sz w:val="18"/>
        </w:rPr>
        <w:t xml:space="preserve">  |  Signal: </w:t>
      </w:r>
      <w:r>
        <w:rPr>
          <w:rFonts w:ascii="Inter" w:hAnsi="Inter"/>
          <w:b/>
          <w:i w:val="0"/>
          <w:color w:val="374151"/>
          <w:sz w:val="18"/>
        </w:rPr>
        <w:t>87% (Strong)</w:t>
      </w:r>
      <w:r>
        <w:rPr>
          <w:rFonts w:ascii="Inter" w:hAnsi="Inter"/>
          <w:b w:val="0"/>
          <w:i w:val="0"/>
          <w:color w:val="6B7280"/>
          <w:sz w:val="18"/>
        </w:rPr>
        <w:t xml:space="preserve">  |  42.6% of Dataset</w:t>
      </w:r>
      <w:r>
        <w:rPr>
          <w:rFonts w:ascii="Inter" w:hAnsi="Inter"/>
          <w:b w:val="0"/>
          <w:i w:val="0"/>
          <w:color w:val="6B7280"/>
          <w:sz w:val="18"/>
        </w:rPr>
        <w:t xml:space="preserve">  |  NSS: </w:t>
      </w:r>
      <w:r>
        <w:rPr>
          <w:rFonts w:ascii="Inter" w:hAnsi="Inter"/>
          <w:b/>
          <w:i w:val="0"/>
          <w:color w:val="059669"/>
          <w:sz w:val="18"/>
        </w:rPr>
        <w:t>+13%</w:t>
      </w:r>
    </w:p>
    <w:p>
      <w:pPr>
        <w:jc w:val="center"/>
      </w:pPr>
      <w:r>
        <w:drawing>
          <wp:inline xmlns:a="http://schemas.openxmlformats.org/drawingml/2006/main" xmlns:pic="http://schemas.openxmlformats.org/drawingml/2006/picture">
            <wp:extent cx="3474720" cy="3525078"/>
            <wp:docPr id="8" name="Picture 8"/>
            <wp:cNvGraphicFramePr>
              <a:graphicFrameLocks noChangeAspect="1"/>
            </wp:cNvGraphicFramePr>
            <a:graphic>
              <a:graphicData uri="http://schemas.openxmlformats.org/drawingml/2006/picture">
                <pic:pic>
                  <pic:nvPicPr>
                    <pic:cNvPr id="0" name="chart_radar_INS_001.png"/>
                    <pic:cNvPicPr/>
                  </pic:nvPicPr>
                  <pic:blipFill>
                    <a:blip r:embed="rId16"/>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Taste Profile &amp; Carbonation Experience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Taste and carbonation experience is the dominant conversation (200 items, 42.4%) with positive NSS (+13%). Consumers consistently describe Thums Up as 'stronger', 'bolder', and 'more fizzy' than Coca-Cola. Temperature sensitivity is frequently noted - the drink is described as best when ice-cold. Flat or warm Thums Up receives negative commentary.</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Up's core brand equity lives in its sensory extremity - consumers choose it specifically because it delivers a more intense carbonation and flavour hit than any competitor. This is not a generic cola preference but a deliberate choice of intensity. The consumer who picks Thums Up is seeking a physical sensation (the 'kick') not just a sweet drink.</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Any reformulation that reduces carbonation intensity or sweetness balance risks destroying the brand's primary differentiator. The 'bold' positioning is not marketing - it is a genuine product truth that consumers validate in their own words. However, this also means the brand is temperature-dependent: warm or flat Thums Up actively damages perception.</w:t>
      </w:r>
    </w:p>
    <w:p>
      <w:pPr>
        <w:pStyle w:val="Heading3"/>
        <w:jc w:val="left"/>
      </w:pPr>
      <w:r>
        <w:rPr>
          <w:rFonts w:ascii="Inter" w:hAnsi="Inter"/>
          <w:b/>
          <w:color w:val="1E3A5F"/>
          <w:sz w:val="26"/>
        </w:rPr>
        <w:t>Recommendation</w:t>
      </w:r>
    </w:p>
    <w:p>
      <w:pPr>
        <w:spacing w:after="120" w:before="0"/>
      </w:pPr>
      <w:r>
        <w:rPr>
          <w:rFonts w:ascii="Inter" w:hAnsi="Inter"/>
          <w:b w:val="0"/>
          <w:i w:val="0"/>
          <w:sz w:val="22"/>
        </w:rPr>
        <w:t>Protect carbonation intensity as a non-negotiable product parameter. Invest in cold-chain infrastructure and retail visibility of chilled availability. Consider 'best served at X degrees' messaging to set expectations. Never reformulate toward a milder taste profile even if cost pressures arise.</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blind taste testing at different temperatures and carbonation levels to identify the minimum acceptable threshold. Measure whether chilled availability correlates with repeat purchase.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"Carbonated mineral water is so so good, some of them are so refreshing when chilled"</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"Dr. Pepper is famously not really meant to taste like anything in particular. I think the official story is that the guy wanted it to taste like the way his soda shop smelled? Which could explain why some people interpret it as a mix of flavors but won’t really get it right"</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"Dad superpowers:</w:t>
        <w:br/>
        <w:t>1. Immune to mom</w:t>
        <w:br/>
        <w:t>2. Immune to spicy food</w:t>
        <w:br/>
        <w:t>3. Immune to bad tastes</w:t>
        <w:br/>
        <w:t>4.Doesn't waste food"</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04. Brand Loyalty &amp; Emotional Connection</w:t>
      </w:r>
    </w:p>
    <w:p>
      <w:pPr>
        <w:spacing w:after="160"/>
      </w:pPr>
      <w:r>
        <w:rPr>
          <w:rFonts w:ascii="Inter" w:hAnsi="Inter"/>
          <w:b w:val="0"/>
          <w:i w:val="0"/>
          <w:color w:val="6B7280"/>
          <w:sz w:val="18"/>
        </w:rPr>
        <w:t>n=46</w:t>
      </w:r>
      <w:r>
        <w:rPr>
          <w:rFonts w:ascii="Inter" w:hAnsi="Inter"/>
          <w:b w:val="0"/>
          <w:i w:val="0"/>
          <w:color w:val="374151"/>
          <w:sz w:val="18"/>
        </w:rPr>
        <w:t xml:space="preserve">  |  Confidence: </w:t>
      </w:r>
      <w:r>
        <w:rPr>
          <w:rFonts w:ascii="Inter" w:hAnsi="Inter"/>
          <w:b/>
          <w:i w:val="0"/>
          <w:color w:val="059669"/>
          <w:sz w:val="18"/>
        </w:rPr>
        <w:t>87% (High)</w:t>
      </w:r>
      <w:r>
        <w:rPr>
          <w:rFonts w:ascii="Inter" w:hAnsi="Inter"/>
          <w:b w:val="0"/>
          <w:i w:val="0"/>
          <w:color w:val="374151"/>
          <w:sz w:val="18"/>
        </w:rPr>
        <w:t xml:space="preserve">  |  Signal: </w:t>
      </w:r>
      <w:r>
        <w:rPr>
          <w:rFonts w:ascii="Inter" w:hAnsi="Inter"/>
          <w:b/>
          <w:i w:val="0"/>
          <w:color w:val="374151"/>
          <w:sz w:val="18"/>
        </w:rPr>
        <w:t>91% (Strong)</w:t>
      </w:r>
      <w:r>
        <w:rPr>
          <w:rFonts w:ascii="Inter" w:hAnsi="Inter"/>
          <w:b w:val="0"/>
          <w:i w:val="0"/>
          <w:color w:val="6B7280"/>
          <w:sz w:val="18"/>
        </w:rPr>
        <w:t xml:space="preserve">  |  11.2% of Dataset</w:t>
      </w:r>
      <w:r>
        <w:rPr>
          <w:rFonts w:ascii="Inter" w:hAnsi="Inter"/>
          <w:b w:val="0"/>
          <w:i w:val="0"/>
          <w:color w:val="6B7280"/>
          <w:sz w:val="18"/>
        </w:rPr>
        <w:t xml:space="preserve">  |  NSS: </w:t>
      </w:r>
      <w:r>
        <w:rPr>
          <w:rFonts w:ascii="Inter" w:hAnsi="Inter"/>
          <w:b/>
          <w:i w:val="0"/>
          <w:color w:val="059669"/>
          <w:sz w:val="18"/>
        </w:rPr>
        <w:t>+54%</w:t>
      </w:r>
    </w:p>
    <w:p>
      <w:pPr>
        <w:jc w:val="center"/>
      </w:pPr>
      <w:r>
        <w:drawing>
          <wp:inline xmlns:a="http://schemas.openxmlformats.org/drawingml/2006/main" xmlns:pic="http://schemas.openxmlformats.org/drawingml/2006/picture">
            <wp:extent cx="3474720" cy="3525078"/>
            <wp:docPr id="9" name="Picture 9"/>
            <wp:cNvGraphicFramePr>
              <a:graphicFrameLocks noChangeAspect="1"/>
            </wp:cNvGraphicFramePr>
            <a:graphic>
              <a:graphicData uri="http://schemas.openxmlformats.org/drawingml/2006/picture">
                <pic:pic>
                  <pic:nvPicPr>
                    <pic:cNvPr id="0" name="chart_radar_INS_006.png"/>
                    <pic:cNvPicPr/>
                  </pic:nvPicPr>
                  <pic:blipFill>
                    <a:blip r:embed="rId17"/>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Brand Loyalty &amp; Emotional Connection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Brand loyalty is intensely positive (+54.4% NSS, 46 items, 9.8%) with consumers using declarative language ('nothing beats it', 'always my first choice', 'die-hard fan'). Loyalty appears to be taste-driven rather than marketing-driven - consumers cite the flavour as their reason, not advertising.</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 loyalty operates at the identity level, not the preference level. Loyal consumers do not just 'prefer' Thums Up - they define part of their identity through it. This is closer to how motorcycle enthusiasts relate to Royal Enfield than how most people relate to a beverage. The loyalty is self-reinforcing: choosing Thums Up signals boldness, which attracts consumers who want to signal boldness.</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loyalty base is deep but may be narrow. The identity-level attachment means loyal consumers are extremely resistant to switching, but it also means the brand may not appeal to consumers who do not identify with 'bold' or 'strong' archetypes. Growth requires widening the appeal without diluting the identity.</w:t>
      </w:r>
    </w:p>
    <w:p>
      <w:pPr>
        <w:pStyle w:val="Heading3"/>
        <w:jc w:val="left"/>
      </w:pPr>
      <w:r>
        <w:rPr>
          <w:rFonts w:ascii="Inter" w:hAnsi="Inter"/>
          <w:b/>
          <w:color w:val="1E3A5F"/>
          <w:sz w:val="26"/>
        </w:rPr>
        <w:t>Recommendation</w:t>
      </w:r>
    </w:p>
    <w:p>
      <w:pPr>
        <w:spacing w:after="120" w:before="0"/>
      </w:pPr>
      <w:r>
        <w:rPr>
          <w:rFonts w:ascii="Inter" w:hAnsi="Inter"/>
          <w:b w:val="0"/>
          <w:i w:val="0"/>
          <w:sz w:val="22"/>
        </w:rPr>
        <w:t>Protect the loyalty base by never compromising on product experience. Use loyal consumers as brand advocates through user-generated content campaigns. Do not try to make Thums Up appeal to everyone - the strength is in its polarising character. Growth should come from converting the 'curious but not yet tried' segment, not from softening the brand.</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the loyalty-to-advocacy conversion rate. Survey to understand whether Thums Up loyalty is generational (inherited from parents) or individually adopted.</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 100% agree with you about the Fanta Beetlejuice apple. It was great. I like that it wasn't the typical sour apple."</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"As a Mexican I recommend drinking mineral water with salt and lime juice. Its so tasty and addicting. And helps with hangovers"</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"It's not rip off, it's in the market for last 50 years, unethically acquired by Coca Cola. They even altered the taste so that brand vanishes but Indians are very loyal even after 3 decades of takeover."</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05. Health Concerns &amp; Sugar Debate</w:t>
      </w:r>
    </w:p>
    <w:p>
      <w:pPr>
        <w:spacing w:after="160"/>
      </w:pPr>
      <w:r>
        <w:rPr>
          <w:rFonts w:ascii="Inter" w:hAnsi="Inter"/>
          <w:b w:val="0"/>
          <w:i w:val="0"/>
          <w:color w:val="6B7280"/>
          <w:sz w:val="18"/>
        </w:rPr>
        <w:t>n=76</w:t>
      </w:r>
      <w:r>
        <w:rPr>
          <w:rFonts w:ascii="Inter" w:hAnsi="Inter"/>
          <w:b w:val="0"/>
          <w:i w:val="0"/>
          <w:color w:val="374151"/>
          <w:sz w:val="18"/>
        </w:rPr>
        <w:t xml:space="preserve">  |  Confidence: </w:t>
      </w:r>
      <w:r>
        <w:rPr>
          <w:rFonts w:ascii="Inter" w:hAnsi="Inter"/>
          <w:b/>
          <w:i w:val="0"/>
          <w:color w:val="059669"/>
          <w:sz w:val="18"/>
        </w:rPr>
        <w:t>86% (High)</w:t>
      </w:r>
      <w:r>
        <w:rPr>
          <w:rFonts w:ascii="Inter" w:hAnsi="Inter"/>
          <w:b w:val="0"/>
          <w:i w:val="0"/>
          <w:color w:val="374151"/>
          <w:sz w:val="18"/>
        </w:rPr>
        <w:t xml:space="preserve">  |  Signal: </w:t>
      </w:r>
      <w:r>
        <w:rPr>
          <w:rFonts w:ascii="Inter" w:hAnsi="Inter"/>
          <w:b/>
          <w:i w:val="0"/>
          <w:color w:val="374151"/>
          <w:sz w:val="18"/>
        </w:rPr>
        <w:t>91% (Strong)</w:t>
      </w:r>
      <w:r>
        <w:rPr>
          <w:rFonts w:ascii="Inter" w:hAnsi="Inter"/>
          <w:b w:val="0"/>
          <w:i w:val="0"/>
          <w:color w:val="6B7280"/>
          <w:sz w:val="18"/>
        </w:rPr>
        <w:t xml:space="preserve">  |  16.1% of Dataset</w:t>
      </w:r>
      <w:r>
        <w:rPr>
          <w:rFonts w:ascii="Inter" w:hAnsi="Inter"/>
          <w:b w:val="0"/>
          <w:i w:val="0"/>
          <w:color w:val="6B7280"/>
          <w:sz w:val="18"/>
        </w:rPr>
        <w:t xml:space="preserve">  |  NSS: </w:t>
      </w:r>
      <w:r>
        <w:rPr>
          <w:rFonts w:ascii="Inter" w:hAnsi="Inter"/>
          <w:b/>
          <w:i w:val="0"/>
          <w:color w:val="DC2626"/>
          <w:sz w:val="18"/>
        </w:rPr>
        <w:t>-37%</w:t>
      </w:r>
    </w:p>
    <w:p>
      <w:pPr>
        <w:jc w:val="center"/>
      </w:pPr>
      <w:r>
        <w:drawing>
          <wp:inline xmlns:a="http://schemas.openxmlformats.org/drawingml/2006/main" xmlns:pic="http://schemas.openxmlformats.org/drawingml/2006/picture">
            <wp:extent cx="3474720" cy="3517840"/>
            <wp:docPr id="10" name="Picture 10"/>
            <wp:cNvGraphicFramePr>
              <a:graphicFrameLocks noChangeAspect="1"/>
            </wp:cNvGraphicFramePr>
            <a:graphic>
              <a:graphicData uri="http://schemas.openxmlformats.org/drawingml/2006/picture">
                <pic:pic>
                  <pic:nvPicPr>
                    <pic:cNvPr id="0" name="chart_radar_INS_004.png"/>
                    <pic:cNvPicPr/>
                  </pic:nvPicPr>
                  <pic:blipFill>
                    <a:blip r:embed="rId18"/>
                    <a:stretch>
                      <a:fillRect/>
                    </a:stretch>
                  </pic:blipFill>
                  <pic:spPr>
                    <a:xfrm>
                      <a:off x="0" y="0"/>
                      <a:ext cx="3474720" cy="3517840"/>
                    </a:xfrm>
                    <a:prstGeom prst="rect"/>
                  </pic:spPr>
                </pic:pic>
              </a:graphicData>
            </a:graphic>
          </wp:inline>
        </w:drawing>
      </w:r>
    </w:p>
    <w:p>
      <w:pPr>
        <w:spacing w:after="240"/>
        <w:jc w:val="center"/>
      </w:pPr>
      <w:r>
        <w:rPr>
          <w:rFonts w:ascii="Inter" w:hAnsi="Inter"/>
          <w:b w:val="0"/>
          <w:i/>
          <w:color w:val="6B7280"/>
          <w:sz w:val="18"/>
        </w:rPr>
        <w:t>Score Breakdown: Health Concerns &amp; Sugar Debate</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Health concerns represent 16.1% of conversation (76 items) with the most negative sentiment in the dataset (-36.8%). Sugar content, caffeine effects, diabetes risk, and cancer associations dominate. The conversation is not specific to Thums Up but applies to all colas. Academic papers in the corpus reinforce health risks with clinical evidence.</w:t>
      </w:r>
    </w:p>
    <w:p>
      <w:pPr>
        <w:pStyle w:val="Heading3"/>
        <w:jc w:val="left"/>
      </w:pPr>
      <w:r>
        <w:rPr>
          <w:rFonts w:ascii="Inter" w:hAnsi="Inter"/>
          <w:b/>
          <w:color w:val="1E3A5F"/>
          <w:sz w:val="26"/>
        </w:rPr>
        <w:t>What it Means</w:t>
      </w:r>
    </w:p>
    <w:p>
      <w:pPr>
        <w:spacing w:after="120" w:before="0"/>
      </w:pPr>
      <w:r>
        <w:rPr>
          <w:rFonts w:ascii="Inter" w:hAnsi="Inter"/>
          <w:b w:val="0"/>
          <w:i w:val="0"/>
          <w:sz w:val="22"/>
        </w:rPr>
        <w:t>Health consciousness is the structural headwind for the entire cola category in India, and Thums Up is not immune. The health conversation is intensifying as India's diabetes epidemic grows and consumers become more nutrition-literate. Unlike Western markets where diet/zero variants have partially addressed this, Indian consumers remain sceptical of zero-sugar alternatives (see THM_007).</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Thums Up cannot outrun the health narrative - it must navigate it. Ignoring health concerns risks slow erosion as health-conscious consumers quietly switch to alternatives. But over-indexing on health (reformulation, health claims) risks alienating the core consumer who explicitly chooses Thums Up for its bold, unapologetic character.</w:t>
      </w:r>
    </w:p>
    <w:p>
      <w:pPr>
        <w:pStyle w:val="Heading3"/>
        <w:jc w:val="left"/>
      </w:pPr>
      <w:r>
        <w:rPr>
          <w:rFonts w:ascii="Inter" w:hAnsi="Inter"/>
          <w:b/>
          <w:color w:val="1E3A5F"/>
          <w:sz w:val="26"/>
        </w:rPr>
        <w:t>Recommendation</w:t>
      </w:r>
    </w:p>
    <w:p>
      <w:pPr>
        <w:spacing w:after="120" w:before="0"/>
      </w:pPr>
      <w:r>
        <w:rPr>
          <w:rFonts w:ascii="Inter" w:hAnsi="Inter"/>
          <w:b w:val="0"/>
          <w:i w:val="0"/>
          <w:sz w:val="22"/>
        </w:rPr>
        <w:t>Do not reformulate the flagship product. Instead, ensure the zero-sugar variant is genuinely good and widely available as a 'permission to keep drinking' option. Avoid making health claims for any variant. Position the brand as an informed indulgence ('you know what it is, and you choose it anyway') rather than trying to be healthy.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Track the proportion of health-concern mentions over time to measure whether the headwind is accelerating. Survey lapsed Thums Up drinkers to understand whether health was the primary reason for switching.</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"It “probably” is a better option? You don’t have to be a doctor to know that a Coke has 155 calories which is 416.67% more calories that’s in a 30 calorie OLIPOP Vintage Cola. 39 grams of sugar in a regular coke which is 89.74% more of the sugar content that is in a OLIPOP Vintage cola."</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"Kids in the comment complaining about less sugars in their drink. Bro compromise with the taste, atleast you are not drinking diabetes in a glass like the americans."</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asked my dentist and she said it's totally fine to drink carbonated water. Sugar and acidity are the problem."</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06. Zero Sugar &amp; Product Innovation</w:t>
      </w:r>
    </w:p>
    <w:p>
      <w:pPr>
        <w:spacing w:after="160"/>
      </w:pPr>
      <w:r>
        <w:rPr>
          <w:rFonts w:ascii="Inter" w:hAnsi="Inter"/>
          <w:b w:val="0"/>
          <w:i w:val="0"/>
          <w:color w:val="6B7280"/>
          <w:sz w:val="18"/>
        </w:rPr>
        <w:t>n=44</w:t>
      </w:r>
      <w:r>
        <w:rPr>
          <w:rFonts w:ascii="Inter" w:hAnsi="Inter"/>
          <w:b w:val="0"/>
          <w:i w:val="0"/>
          <w:color w:val="374151"/>
          <w:sz w:val="18"/>
        </w:rPr>
        <w:t xml:space="preserve">  |  Confidence: </w:t>
      </w:r>
      <w:r>
        <w:rPr>
          <w:rFonts w:ascii="Inter" w:hAnsi="Inter"/>
          <w:b/>
          <w:i w:val="0"/>
          <w:color w:val="059669"/>
          <w:sz w:val="18"/>
        </w:rPr>
        <w:t>84% (High)</w:t>
      </w:r>
      <w:r>
        <w:rPr>
          <w:rFonts w:ascii="Inter" w:hAnsi="Inter"/>
          <w:b w:val="0"/>
          <w:i w:val="0"/>
          <w:color w:val="374151"/>
          <w:sz w:val="18"/>
        </w:rPr>
        <w:t xml:space="preserve">  |  Signal: </w:t>
      </w:r>
      <w:r>
        <w:rPr>
          <w:rFonts w:ascii="Inter" w:hAnsi="Inter"/>
          <w:b/>
          <w:i w:val="0"/>
          <w:color w:val="374151"/>
          <w:sz w:val="18"/>
        </w:rPr>
        <w:t>84% (Strong)</w:t>
      </w:r>
      <w:r>
        <w:rPr>
          <w:rFonts w:ascii="Inter" w:hAnsi="Inter"/>
          <w:b w:val="0"/>
          <w:i w:val="0"/>
          <w:color w:val="6B7280"/>
          <w:sz w:val="18"/>
        </w:rPr>
        <w:t xml:space="preserve">  |  9.3% of Dataset</w:t>
      </w:r>
      <w:r>
        <w:rPr>
          <w:rFonts w:ascii="Inter" w:hAnsi="Inter"/>
          <w:b w:val="0"/>
          <w:i w:val="0"/>
          <w:color w:val="6B7280"/>
          <w:sz w:val="18"/>
        </w:rPr>
        <w:t xml:space="preserve">  |  NSS: </w:t>
      </w:r>
      <w:r>
        <w:rPr>
          <w:rFonts w:ascii="Inter" w:hAnsi="Inter"/>
          <w:b/>
          <w:i w:val="0"/>
          <w:color w:val="DC2626"/>
          <w:sz w:val="18"/>
        </w:rPr>
        <w:t>-16%</w:t>
      </w:r>
    </w:p>
    <w:p>
      <w:pPr>
        <w:jc w:val="center"/>
      </w:pPr>
      <w:r>
        <w:drawing>
          <wp:inline xmlns:a="http://schemas.openxmlformats.org/drawingml/2006/main" xmlns:pic="http://schemas.openxmlformats.org/drawingml/2006/picture">
            <wp:extent cx="3474720" cy="3525078"/>
            <wp:docPr id="11" name="Picture 11"/>
            <wp:cNvGraphicFramePr>
              <a:graphicFrameLocks noChangeAspect="1"/>
            </wp:cNvGraphicFramePr>
            <a:graphic>
              <a:graphicData uri="http://schemas.openxmlformats.org/drawingml/2006/picture">
                <pic:pic>
                  <pic:nvPicPr>
                    <pic:cNvPr id="0" name="chart_radar_INS_007.png"/>
                    <pic:cNvPicPr/>
                  </pic:nvPicPr>
                  <pic:blipFill>
                    <a:blip r:embed="rId19"/>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Zero Sugar &amp; Product Innovation</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Zero sugar and product innovation accounts for 9.3% (44 items) with notably negative sentiment (-15.9%). Consumers are divided: some appreciate the option, others find the taste inferior ('doesn't taste like real Thums Up'). The zero-sugar variant is compared unfavourably to Coke Zero. New variants (Charged, Thunder) receive mixed reception.</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Up's core consumers are suspicious of product extensions because they perceive them as dilutions of the original's character. The zero-sugar variant faces a double challenge: it must taste like Thums Up (which is defined by its bold sweetness) while removing the sugar that creates that boldness. Consumers feel that if they wanted a milder drink, they would switch brands - they chose Thums Up for the full experience.</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Product innovation for Thums Up must respect the 'bold' contract. Variants that feel like compromises will be rejected. The zero-sugar variant needs to match the original's intensity profile or it will remain a niche product rather than a meaningful health migration path.</w:t>
      </w:r>
    </w:p>
    <w:p>
      <w:pPr>
        <w:pStyle w:val="Heading3"/>
        <w:jc w:val="left"/>
      </w:pPr>
      <w:r>
        <w:rPr>
          <w:rFonts w:ascii="Inter" w:hAnsi="Inter"/>
          <w:b/>
          <w:color w:val="1E3A5F"/>
          <w:sz w:val="26"/>
        </w:rPr>
        <w:t>Recommendation</w:t>
      </w:r>
    </w:p>
    <w:p>
      <w:pPr>
        <w:spacing w:after="120" w:before="0"/>
      </w:pPr>
      <w:r>
        <w:rPr>
          <w:rFonts w:ascii="Inter" w:hAnsi="Inter"/>
          <w:b w:val="0"/>
          <w:i w:val="0"/>
          <w:sz w:val="22"/>
        </w:rPr>
        <w:t>Invest in zero-sugar reformulation to close the taste gap with the original - this is the single highest-value product investment for health-conscious consumer retention. For new variants, ensure each has a clear 'bolder than' positioning rather than a 'different from' positioning.</w:t>
      </w:r>
    </w:p>
    <w:p>
      <w:pPr>
        <w:pStyle w:val="Heading3"/>
        <w:jc w:val="left"/>
      </w:pPr>
      <w:r>
        <w:rPr>
          <w:rFonts w:ascii="Inter" w:hAnsi="Inter"/>
          <w:b/>
          <w:color w:val="1E3A5F"/>
          <w:sz w:val="26"/>
        </w:rPr>
        <w:t>Further Validation</w:t>
      </w:r>
    </w:p>
    <w:p>
      <w:pPr>
        <w:spacing w:after="120" w:before="0"/>
      </w:pPr>
      <w:r>
        <w:rPr>
          <w:rFonts w:ascii="Inter" w:hAnsi="Inter"/>
          <w:b w:val="0"/>
          <w:i w:val="0"/>
          <w:sz w:val="22"/>
        </w:rPr>
        <w:t>Conduct blind taste comparison between Thums Up Zero and Coke Zero among Thums Up loyalists. Measure willingness to switch to zero-sugar if taste parity were achieved.</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"It's very good! Exactly the same as regular thumsup  ,it didn't even feel like zero sugar. </w:t>
        <w:br/>
        <w:t>In fact best in the zero sugar segment. Before this I was drinking Coke zero which I like better than Diet coke."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"Zero sugar cold drink ❎</w:t>
        <w:br/>
        <w:t>Colourful water ✅</w:t>
        <w:br/>
        <w:br/>
        <w:t>EDIT:- jo sweetener bol raha hai unke liye ---</w:t>
        <w:br/>
        <w:t>Colourful water ❎</w:t>
        <w:br/>
        <w:t>Sweetener ✅"</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"Thums Up has a stronger taste than Coca Cola. When Coca Cola Company withdrew its business from India in 1977, Parle Drinks launched Thums Up in 1977 to take the market share of withdrawn Coca Cola and it became the most popular Cola in India."</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07. Nostalgia &amp; Cultural Identity</w:t>
      </w:r>
    </w:p>
    <w:p>
      <w:pPr>
        <w:spacing w:after="160"/>
      </w:pPr>
      <w:r>
        <w:rPr>
          <w:rFonts w:ascii="Inter" w:hAnsi="Inter"/>
          <w:b w:val="0"/>
          <w:i w:val="0"/>
          <w:color w:val="6B7280"/>
          <w:sz w:val="18"/>
        </w:rPr>
        <w:t>n=52</w:t>
      </w:r>
      <w:r>
        <w:rPr>
          <w:rFonts w:ascii="Inter" w:hAnsi="Inter"/>
          <w:b w:val="0"/>
          <w:i w:val="0"/>
          <w:color w:val="374151"/>
          <w:sz w:val="18"/>
        </w:rPr>
        <w:t xml:space="preserve">  |  Confidence: </w:t>
      </w:r>
      <w:r>
        <w:rPr>
          <w:rFonts w:ascii="Inter" w:hAnsi="Inter"/>
          <w:b/>
          <w:i w:val="0"/>
          <w:color w:val="059669"/>
          <w:sz w:val="18"/>
        </w:rPr>
        <w:t>83% (High)</w:t>
      </w:r>
      <w:r>
        <w:rPr>
          <w:rFonts w:ascii="Inter" w:hAnsi="Inter"/>
          <w:b w:val="0"/>
          <w:i w:val="0"/>
          <w:color w:val="374151"/>
          <w:sz w:val="18"/>
        </w:rPr>
        <w:t xml:space="preserve">  |  Signal: </w:t>
      </w:r>
      <w:r>
        <w:rPr>
          <w:rFonts w:ascii="Inter" w:hAnsi="Inter"/>
          <w:b/>
          <w:i w:val="0"/>
          <w:color w:val="374151"/>
          <w:sz w:val="18"/>
        </w:rPr>
        <w:t>86% (Strong)</w:t>
      </w:r>
      <w:r>
        <w:rPr>
          <w:rFonts w:ascii="Inter" w:hAnsi="Inter"/>
          <w:b w:val="0"/>
          <w:i w:val="0"/>
          <w:color w:val="6B7280"/>
          <w:sz w:val="18"/>
        </w:rPr>
        <w:t xml:space="preserve">  |  11.7% of Dataset</w:t>
      </w:r>
      <w:r>
        <w:rPr>
          <w:rFonts w:ascii="Inter" w:hAnsi="Inter"/>
          <w:b w:val="0"/>
          <w:i w:val="0"/>
          <w:color w:val="6B7280"/>
          <w:sz w:val="18"/>
        </w:rPr>
        <w:t xml:space="preserve">  |  NSS: </w:t>
      </w:r>
      <w:r>
        <w:rPr>
          <w:rFonts w:ascii="Inter" w:hAnsi="Inter"/>
          <w:b/>
          <w:i w:val="0"/>
          <w:color w:val="059669"/>
          <w:sz w:val="18"/>
        </w:rPr>
        <w:t>+29%</w:t>
      </w:r>
    </w:p>
    <w:p>
      <w:pPr>
        <w:jc w:val="center"/>
      </w:pPr>
      <w:r>
        <w:drawing>
          <wp:inline xmlns:a="http://schemas.openxmlformats.org/drawingml/2006/main" xmlns:pic="http://schemas.openxmlformats.org/drawingml/2006/picture">
            <wp:extent cx="3474720" cy="3525078"/>
            <wp:docPr id="12" name="Picture 12"/>
            <wp:cNvGraphicFramePr>
              <a:graphicFrameLocks noChangeAspect="1"/>
            </wp:cNvGraphicFramePr>
            <a:graphic>
              <a:graphicData uri="http://schemas.openxmlformats.org/drawingml/2006/picture">
                <pic:pic>
                  <pic:nvPicPr>
                    <pic:cNvPr id="0" name="chart_radar_INS_002.png"/>
                    <pic:cNvPicPr/>
                  </pic:nvPicPr>
                  <pic:blipFill>
                    <a:blip r:embed="rId20"/>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Nostalgia &amp; Cultural Identity</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Nostalgia and cultural identity accounts for 11% of conversation (52 items) with strongly positive sentiment (+28.9%). Consumers reference childhood memories, the Parle era, and pre-Coca-Cola India with genuine emotional warmth. The brand is positioned as 'truly Indian' despite being owned by Coca-Cola. References to 1977 (when Coca-Cola left India) and 1993 (acquisition) recur.</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 occupies a unique position in Indian consumer memory - it is simultaneously a corporate product and a national symbol. The brand's survival story (created when Coke left, survived when Coke returned) has become a folk narrative of Indian resilience. This emotional layer exists independently of any marketing - consumers tell this story to each other unprompted.</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nostalgia equity is irreplaceable and cannot be manufactured by competitors. However, it is also ageing - the consumers who remember the Parle era are 40+. If the brand does not create new cultural anchors for younger consumers, the nostalgia advantage will erode generationally.</w:t>
      </w:r>
    </w:p>
    <w:p>
      <w:pPr>
        <w:pStyle w:val="Heading3"/>
        <w:jc w:val="left"/>
      </w:pPr>
      <w:r>
        <w:rPr>
          <w:rFonts w:ascii="Inter" w:hAnsi="Inter"/>
          <w:b/>
          <w:color w:val="1E3A5F"/>
          <w:sz w:val="26"/>
        </w:rPr>
        <w:t>Recommendation</w:t>
      </w:r>
    </w:p>
    <w:p>
      <w:pPr>
        <w:spacing w:after="120" w:before="0"/>
      </w:pPr>
      <w:r>
        <w:rPr>
          <w:rFonts w:ascii="Inter" w:hAnsi="Inter"/>
          <w:b w:val="0"/>
          <w:i w:val="0"/>
          <w:sz w:val="22"/>
        </w:rPr>
        <w:t>Create a 'heritage' content series that tells the Thums Up origin story to younger consumers who never experienced the Parle era. Use this as a differentiation lever against Pepsi and Coca-Cola - neither can claim Indian origin. Do not let the nostalgia narrative exist only in the memories of older consumers.</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Survey brand origin awareness by age cohort. Measure whether younger consumers (18-25) know the Parle story and whether it affects their brand preference.</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"The bottle design has been kept for more than 140 years. The drink is a quintessential symbol of Japanese summer, it's a staple at seasonal festivals and fireworks displays. For many Japanese, across generations, its taste and experience are deeply intertwined with childhood memories of summer, the bottle design is a part of that nostalgia."</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"Had this one myself! Years later when I joined advertising, I met someone who’d designed these for Parle! Was surreal."</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think the answer to the question is, “corporate told us we are NOT allowed to give customers an IQ test prior to buy our products.” then the designer said “hold my beer” 😂"</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08. Advertising, Cricket &amp; Brand Ambassadors</w:t>
      </w:r>
    </w:p>
    <w:p>
      <w:pPr>
        <w:spacing w:after="160"/>
      </w:pPr>
      <w:r>
        <w:rPr>
          <w:rFonts w:ascii="Inter" w:hAnsi="Inter"/>
          <w:b w:val="0"/>
          <w:i w:val="0"/>
          <w:color w:val="6B7280"/>
          <w:sz w:val="18"/>
        </w:rPr>
        <w:t>n=85</w:t>
      </w:r>
      <w:r>
        <w:rPr>
          <w:rFonts w:ascii="Inter" w:hAnsi="Inter"/>
          <w:b w:val="0"/>
          <w:i w:val="0"/>
          <w:color w:val="374151"/>
          <w:sz w:val="18"/>
        </w:rPr>
        <w:t xml:space="preserve">  |  Confidence: </w:t>
      </w:r>
      <w:r>
        <w:rPr>
          <w:rFonts w:ascii="Inter" w:hAnsi="Inter"/>
          <w:b/>
          <w:i w:val="0"/>
          <w:color w:val="059669"/>
          <w:sz w:val="18"/>
        </w:rPr>
        <w:t>82% (High)</w:t>
      </w:r>
      <w:r>
        <w:rPr>
          <w:rFonts w:ascii="Inter" w:hAnsi="Inter"/>
          <w:b w:val="0"/>
          <w:i w:val="0"/>
          <w:color w:val="374151"/>
          <w:sz w:val="18"/>
        </w:rPr>
        <w:t xml:space="preserve">  |  Signal: </w:t>
      </w:r>
      <w:r>
        <w:rPr>
          <w:rFonts w:ascii="Inter" w:hAnsi="Inter"/>
          <w:b/>
          <w:i w:val="0"/>
          <w:color w:val="374151"/>
          <w:sz w:val="18"/>
        </w:rPr>
        <w:t>82% (Strong)</w:t>
      </w:r>
      <w:r>
        <w:rPr>
          <w:rFonts w:ascii="Inter" w:hAnsi="Inter"/>
          <w:b w:val="0"/>
          <w:i w:val="0"/>
          <w:color w:val="6B7280"/>
          <w:sz w:val="18"/>
        </w:rPr>
        <w:t xml:space="preserve">  |  18.4% of Dataset</w:t>
      </w:r>
      <w:r>
        <w:rPr>
          <w:rFonts w:ascii="Inter" w:hAnsi="Inter"/>
          <w:b w:val="0"/>
          <w:i w:val="0"/>
          <w:color w:val="6B7280"/>
          <w:sz w:val="18"/>
        </w:rPr>
        <w:t xml:space="preserve">  |  NSS: </w:t>
      </w:r>
      <w:r>
        <w:rPr>
          <w:rFonts w:ascii="Inter" w:hAnsi="Inter"/>
          <w:b/>
          <w:i w:val="0"/>
          <w:color w:val="059669"/>
          <w:sz w:val="18"/>
        </w:rPr>
        <w:t>+19%</w:t>
      </w:r>
    </w:p>
    <w:p>
      <w:pPr>
        <w:jc w:val="center"/>
      </w:pPr>
      <w:r>
        <w:drawing>
          <wp:inline xmlns:a="http://schemas.openxmlformats.org/drawingml/2006/main" xmlns:pic="http://schemas.openxmlformats.org/drawingml/2006/picture">
            <wp:extent cx="3474720" cy="3525078"/>
            <wp:docPr id="13" name="Picture 13"/>
            <wp:cNvGraphicFramePr>
              <a:graphicFrameLocks noChangeAspect="1"/>
            </wp:cNvGraphicFramePr>
            <a:graphic>
              <a:graphicData uri="http://schemas.openxmlformats.org/drawingml/2006/picture">
                <pic:pic>
                  <pic:nvPicPr>
                    <pic:cNvPr id="0" name="chart_radar_INS_008.png"/>
                    <pic:cNvPicPr/>
                  </pic:nvPicPr>
                  <pic:blipFill>
                    <a:blip r:embed="rId21"/>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Advertising, Cricket &amp; Brand Ambassadors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Advertising and cricket sponsorship represent 18% of conversation (85 items) with positive NSS (+18.8%). Salman Khan's association is recognised but not universally loved. Cricket sponsorship (IPL) generates significant visibility. The 'toofani' (stormy/wild) tagline has cultural penetration. Stunt-based advertising is remembered but sometimes seen as over-the-top.</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Up's advertising works because it amplifies the product truth (boldness) rather than creating a disconnected aspiration. The cricket-stunt-masculinity advertising universe is coherent and reinforcing. However, the exclusively masculine positioning may be creating a ceiling - women are almost entirely absent from the brand conversation, which represents a significant untapped volume opportunity.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current advertising strategy is effective for the core male 18-35 audience but self-limiting. The brand's cultural presence is disproportionately through cricket and action, which codes as masculine entertainment. Expanding the brand's cultural footprint without abandoning the 'bold' identity requires new occasion and context advertising rather than new personality advertising.</w:t>
      </w:r>
    </w:p>
    <w:p>
      <w:pPr>
        <w:pStyle w:val="Heading3"/>
        <w:jc w:val="left"/>
      </w:pPr>
      <w:r>
        <w:rPr>
          <w:rFonts w:ascii="Inter" w:hAnsi="Inter"/>
          <w:b/>
          <w:color w:val="1E3A5F"/>
          <w:sz w:val="26"/>
        </w:rPr>
        <w:t>Recommendation</w:t>
      </w:r>
    </w:p>
    <w:p>
      <w:pPr>
        <w:spacing w:after="120" w:before="0"/>
      </w:pPr>
      <w:r>
        <w:rPr>
          <w:rFonts w:ascii="Inter" w:hAnsi="Inter"/>
          <w:b w:val="0"/>
          <w:i w:val="0"/>
          <w:sz w:val="22"/>
        </w:rPr>
        <w:t>Maintain cricket sponsorship and action-oriented creative for the core audience. Test food-pairing advertising (biryani, street food) as a gender-neutral entry point that expands reach without diluting brand character. Avoid directly targeting women with softened messaging - instead, create occasions where women naturally encounter the brand in a context that feels authentic.</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brand consideration by gender to quantify the gender gap. Test food-pairing creative vs. stunt creative for recall and purchase intent across demographics.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"Had this one myself! Years later when I joined advertising, I met someone who’d designed these for Parle! Was surreal."</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"I was bracing myself for a sponsored video but instead Sammy delivered a DIY hack."</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"Can this guy do Fifa world cup song? Long time since we had a good one! K'naan okke pole oru worldwide item!"</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09. Food &amp; Occasion Pairings</w:t>
      </w:r>
    </w:p>
    <w:p>
      <w:pPr>
        <w:spacing w:after="160"/>
      </w:pPr>
      <w:r>
        <w:rPr>
          <w:rFonts w:ascii="Inter" w:hAnsi="Inter"/>
          <w:b w:val="0"/>
          <w:i w:val="0"/>
          <w:color w:val="6B7280"/>
          <w:sz w:val="18"/>
        </w:rPr>
        <w:t>n=33</w:t>
      </w:r>
      <w:r>
        <w:rPr>
          <w:rFonts w:ascii="Inter" w:hAnsi="Inter"/>
          <w:b w:val="0"/>
          <w:i w:val="0"/>
          <w:color w:val="374151"/>
          <w:sz w:val="18"/>
        </w:rPr>
        <w:t xml:space="preserve">  |  Confidence: </w:t>
      </w:r>
      <w:r>
        <w:rPr>
          <w:rFonts w:ascii="Inter" w:hAnsi="Inter"/>
          <w:b/>
          <w:i w:val="0"/>
          <w:color w:val="059669"/>
          <w:sz w:val="18"/>
        </w:rPr>
        <w:t>81% (High)</w:t>
      </w:r>
      <w:r>
        <w:rPr>
          <w:rFonts w:ascii="Inter" w:hAnsi="Inter"/>
          <w:b w:val="0"/>
          <w:i w:val="0"/>
          <w:color w:val="374151"/>
          <w:sz w:val="18"/>
        </w:rPr>
        <w:t xml:space="preserve">  |  Signal: </w:t>
      </w:r>
      <w:r>
        <w:rPr>
          <w:rFonts w:ascii="Inter" w:hAnsi="Inter"/>
          <w:b/>
          <w:i w:val="0"/>
          <w:color w:val="374151"/>
          <w:sz w:val="18"/>
        </w:rPr>
        <w:t>88% (Strong)</w:t>
      </w:r>
      <w:r>
        <w:rPr>
          <w:rFonts w:ascii="Inter" w:hAnsi="Inter"/>
          <w:b w:val="0"/>
          <w:i w:val="0"/>
          <w:color w:val="6B7280"/>
          <w:sz w:val="18"/>
        </w:rPr>
        <w:t xml:space="preserve">  |  7.2% of Dataset</w:t>
      </w:r>
      <w:r>
        <w:rPr>
          <w:rFonts w:ascii="Inter" w:hAnsi="Inter"/>
          <w:b w:val="0"/>
          <w:i w:val="0"/>
          <w:color w:val="6B7280"/>
          <w:sz w:val="18"/>
        </w:rPr>
        <w:t xml:space="preserve">  |  NSS: </w:t>
      </w:r>
      <w:r>
        <w:rPr>
          <w:rFonts w:ascii="Inter" w:hAnsi="Inter"/>
          <w:b/>
          <w:i w:val="0"/>
          <w:color w:val="059669"/>
          <w:sz w:val="18"/>
        </w:rPr>
        <w:t>+15%</w:t>
      </w:r>
    </w:p>
    <w:p>
      <w:pPr>
        <w:jc w:val="center"/>
      </w:pPr>
      <w:r>
        <w:drawing>
          <wp:inline xmlns:a="http://schemas.openxmlformats.org/drawingml/2006/main" xmlns:pic="http://schemas.openxmlformats.org/drawingml/2006/picture">
            <wp:extent cx="3474720" cy="3525078"/>
            <wp:docPr id="14" name="Picture 14"/>
            <wp:cNvGraphicFramePr>
              <a:graphicFrameLocks noChangeAspect="1"/>
            </wp:cNvGraphicFramePr>
            <a:graphic>
              <a:graphicData uri="http://schemas.openxmlformats.org/drawingml/2006/picture">
                <pic:pic>
                  <pic:nvPicPr>
                    <pic:cNvPr id="0" name="chart_radar_INS_005.png"/>
                    <pic:cNvPicPr/>
                  </pic:nvPicPr>
                  <pic:blipFill>
                    <a:blip r:embed="rId22"/>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Food &amp; Occasion Pairings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Food pairing accounts for 7% of conversation (33 items) with positive sentiment (+15.2%). Biryani is the most-cited pairing, followed by street food (kebabs, chaat) and dhaba meals. Old Monk rum + Thums Up is a recognised cultural combination. The pairings are distinctly Indian and class-transcending - from street-side to restaurant.</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 has organically become the default cola for Indian occasion eating in a way that Coca-Cola has not. The biryani-Thums Up pairing is approaching cultural ritual status - consumers mention it as an automatic, unquestioned combination. The Old Monk pairing extends the brand into nightlife without any official positioning. These pairings were not created by marketing - they emerged from consumer behaviour.</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Food pairing is an under-leveraged brand asset. The biryani association alone connects Thums Up to one of India's most popular and emotionally charged foods. This is a defensible moat that no competitor can easily replicate because it is rooted in decades of consumer habit.</w:t>
      </w:r>
    </w:p>
    <w:p>
      <w:pPr>
        <w:pStyle w:val="Heading3"/>
        <w:jc w:val="left"/>
      </w:pPr>
      <w:r>
        <w:rPr>
          <w:rFonts w:ascii="Inter" w:hAnsi="Inter"/>
          <w:b/>
          <w:color w:val="1E3A5F"/>
          <w:sz w:val="26"/>
        </w:rPr>
        <w:t>Recommendation</w:t>
      </w:r>
    </w:p>
    <w:p>
      <w:pPr>
        <w:spacing w:after="120" w:before="0"/>
      </w:pPr>
      <w:r>
        <w:rPr>
          <w:rFonts w:ascii="Inter" w:hAnsi="Inter"/>
          <w:b w:val="0"/>
          <w:i w:val="0"/>
          <w:sz w:val="22"/>
        </w:rPr>
        <w:t>Explicitly own the food-pairing territory in marketing. Create 'Thums Up + Biryani' occasion marketing during Ramadan, Eid, and weekend dining occasions. Partner with biryani delivery platforms (Swiggy, Zomato) for bundled offers. Do not try to expand pairings artificially - let the existing organic pairings lead.</w:t>
      </w:r>
    </w:p>
    <w:p>
      <w:pPr>
        <w:pStyle w:val="Heading3"/>
        <w:jc w:val="left"/>
      </w:pPr>
      <w:r>
        <w:rPr>
          <w:rFonts w:ascii="Inter" w:hAnsi="Inter"/>
          <w:b/>
          <w:color w:val="1E3A5F"/>
          <w:sz w:val="26"/>
        </w:rPr>
        <w:t>Further Validation</w:t>
      </w:r>
    </w:p>
    <w:p>
      <w:pPr>
        <w:spacing w:after="120" w:before="0"/>
      </w:pPr>
      <w:r>
        <w:rPr>
          <w:rFonts w:ascii="Inter" w:hAnsi="Inter"/>
          <w:b w:val="0"/>
          <w:i w:val="0"/>
          <w:sz w:val="22"/>
        </w:rPr>
        <w:t>Quantify the food-pairing association through structured survey (what drink do you pair with biryani?) to measure share vs. competitors. Track whether occasion marketing drives incremental sales during target periods.</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"Shah Rukh Khan (SRK) Loves Biryani and Thums Up. I Love You Shah Rukh Khan (SRK). Shah Rukh Khan (SRK) I am the biggest fan of you."</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"I think these plastic bottles are not able to hold the Fizz for long. Few weeks back, got those glass bottles at a restaurant and it was fantastic."</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 xml:space="preserve">"Ya to kisi ne complaint ki hogi ki tum thumps up me alcohol mila ke pi rhe ho </w:t>
        <w:br/>
        <w:t xml:space="preserve">Ya unhone jaate time notice Kiya hoga thumps up </w:t>
        <w:br/>
        <w:t xml:space="preserve">Aur aate time check Kari </w:t>
        <w:br/>
        <w:br/>
        <w:br/>
        <w:br/>
        <w:br/>
        <w:t>It's not allowed to drink in train but still people do"</w:t>
      </w:r>
      <w:r>
        <w:rPr>
          <w:rFonts w:ascii="Inter" w:hAnsi="Inter"/>
          <w:b w:val="0"/>
          <w:i w:val="0"/>
          <w:color w:val="6B7280"/>
          <w:sz w:val="18"/>
        </w:rPr>
        <w:t xml:space="preserve">  - reddit</w:t>
      </w:r>
    </w:p>
    <w:p>
      <w:pPr>
        <w:spacing w:before="80" w:after="80"/>
        <w:pBdr>
          <w:bottom w:val="single" w:sz="4" w:space="1" w:color="6B7280"/>
        </w:pBdr>
      </w:pPr>
    </w:p>
    <w:p>
      <w:pPr>
        <w:pStyle w:val="Heading2"/>
        <w:jc w:val="left"/>
      </w:pPr>
      <w:r>
        <w:rPr>
          <w:rFonts w:ascii="Inter" w:hAnsi="Inter"/>
          <w:b/>
          <w:color w:val="1E3A5F"/>
          <w:sz w:val="32"/>
        </w:rPr>
        <w:t>10. Quality Issues &amp; Contamination Reports</w:t>
      </w:r>
    </w:p>
    <w:p>
      <w:pPr>
        <w:spacing w:after="160"/>
      </w:pPr>
      <w:r>
        <w:rPr>
          <w:rFonts w:ascii="Inter" w:hAnsi="Inter"/>
          <w:b w:val="0"/>
          <w:i w:val="0"/>
          <w:color w:val="6B7280"/>
          <w:sz w:val="18"/>
        </w:rPr>
        <w:t>n=18</w:t>
      </w:r>
      <w:r>
        <w:rPr>
          <w:rFonts w:ascii="Inter" w:hAnsi="Inter"/>
          <w:b w:val="0"/>
          <w:i w:val="0"/>
          <w:color w:val="374151"/>
          <w:sz w:val="18"/>
        </w:rPr>
        <w:t xml:space="preserve">  |  Confidence: </w:t>
      </w:r>
      <w:r>
        <w:rPr>
          <w:rFonts w:ascii="Inter" w:hAnsi="Inter"/>
          <w:b/>
          <w:i w:val="0"/>
          <w:color w:val="059669"/>
          <w:sz w:val="18"/>
        </w:rPr>
        <w:t>80% (High)</w:t>
      </w:r>
      <w:r>
        <w:rPr>
          <w:rFonts w:ascii="Inter" w:hAnsi="Inter"/>
          <w:b w:val="0"/>
          <w:i w:val="0"/>
          <w:color w:val="374151"/>
          <w:sz w:val="18"/>
        </w:rPr>
        <w:t xml:space="preserve">  |  Signal: </w:t>
      </w:r>
      <w:r>
        <w:rPr>
          <w:rFonts w:ascii="Inter" w:hAnsi="Inter"/>
          <w:b/>
          <w:i w:val="0"/>
          <w:color w:val="374151"/>
          <w:sz w:val="18"/>
        </w:rPr>
        <w:t>79% (Strong)</w:t>
      </w:r>
      <w:r>
        <w:rPr>
          <w:rFonts w:ascii="Inter" w:hAnsi="Inter"/>
          <w:b w:val="0"/>
          <w:i w:val="0"/>
          <w:color w:val="6B7280"/>
          <w:sz w:val="18"/>
        </w:rPr>
        <w:t xml:space="preserve">  |  4.2% of Dataset</w:t>
      </w:r>
      <w:r>
        <w:rPr>
          <w:rFonts w:ascii="Inter" w:hAnsi="Inter"/>
          <w:b w:val="0"/>
          <w:i w:val="0"/>
          <w:color w:val="6B7280"/>
          <w:sz w:val="18"/>
        </w:rPr>
        <w:t xml:space="preserve">  |  NSS: </w:t>
      </w:r>
      <w:r>
        <w:rPr>
          <w:rFonts w:ascii="Inter" w:hAnsi="Inter"/>
          <w:b/>
          <w:i w:val="0"/>
          <w:color w:val="DC2626"/>
          <w:sz w:val="18"/>
        </w:rPr>
        <w:t>-50%</w:t>
      </w:r>
    </w:p>
    <w:p>
      <w:pPr>
        <w:jc w:val="center"/>
      </w:pPr>
      <w:r>
        <w:drawing>
          <wp:inline xmlns:a="http://schemas.openxmlformats.org/drawingml/2006/main" xmlns:pic="http://schemas.openxmlformats.org/drawingml/2006/picture">
            <wp:extent cx="3474720" cy="3525078"/>
            <wp:docPr id="15" name="Picture 15"/>
            <wp:cNvGraphicFramePr>
              <a:graphicFrameLocks noChangeAspect="1"/>
            </wp:cNvGraphicFramePr>
            <a:graphic>
              <a:graphicData uri="http://schemas.openxmlformats.org/drawingml/2006/picture">
                <pic:pic>
                  <pic:nvPicPr>
                    <pic:cNvPr id="0" name="chart_radar_INS_010.png"/>
                    <pic:cNvPicPr/>
                  </pic:nvPicPr>
                  <pic:blipFill>
                    <a:blip r:embed="rId23"/>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Quality Issues &amp; Contamination Reports</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Quality issues appear in 3.8% of conversation (18 items) with strongly negative sentiment (-50%). Reports include foreign objects found in bottles, inconsistent taste between manufacturing plants, and expired products on shelves. Though small in volume, these complaints are high-engagement posts that generate significant discussion and sharing.</w:t>
      </w:r>
    </w:p>
    <w:p>
      <w:pPr>
        <w:pStyle w:val="Heading3"/>
        <w:jc w:val="left"/>
      </w:pPr>
      <w:r>
        <w:rPr>
          <w:rFonts w:ascii="Inter" w:hAnsi="Inter"/>
          <w:b/>
          <w:color w:val="1E3A5F"/>
          <w:sz w:val="26"/>
        </w:rPr>
        <w:t>What it Means</w:t>
      </w:r>
    </w:p>
    <w:p>
      <w:pPr>
        <w:spacing w:after="120" w:before="0"/>
      </w:pPr>
      <w:r>
        <w:rPr>
          <w:rFonts w:ascii="Inter" w:hAnsi="Inter"/>
          <w:b w:val="0"/>
          <w:i w:val="0"/>
          <w:sz w:val="22"/>
        </w:rPr>
        <w:t>Quality complaints in food and beverage have an asymmetric impact - a single contamination report generates more engagement and brand damage than dozens of positive mentions. The manufacturing inconsistency complaints are particularly concerning because they suggest the brand promise (bold, consistent taste) is not being delivered uniformly across plants. This erodes the trust that sustains loyalty.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Quality control is a brand survival issue, not just an operations issue. In the age of social media, a single viral contamination post can undo months of advertising investment. The taste inconsistency complaints suggest a systemic manufacturing variance that, if left unaddressed, will gradually undermine the 'I know what I am getting' trust that drives repeat purchase.</w:t>
      </w:r>
    </w:p>
    <w:p>
      <w:pPr>
        <w:pStyle w:val="Heading3"/>
        <w:jc w:val="left"/>
      </w:pPr>
      <w:r>
        <w:rPr>
          <w:rFonts w:ascii="Inter" w:hAnsi="Inter"/>
          <w:b/>
          <w:color w:val="1E3A5F"/>
          <w:sz w:val="26"/>
        </w:rPr>
        <w:t>Recommendation</w:t>
      </w:r>
    </w:p>
    <w:p>
      <w:pPr>
        <w:spacing w:after="120" w:before="0"/>
      </w:pPr>
      <w:r>
        <w:rPr>
          <w:rFonts w:ascii="Inter" w:hAnsi="Inter"/>
          <w:b w:val="0"/>
          <w:i w:val="0"/>
          <w:sz w:val="22"/>
        </w:rPr>
        <w:t>Implement plant-level quality auditing with consumer taste-testing panels to detect manufacturing variance before it reaches consumers. Create a rapid-response social media protocol for contamination reports - speed of acknowledgement matters more than the outcome. Invest in supply chain freshness (FIFO enforcement, shelf-life monitoring).</w:t>
      </w:r>
    </w:p>
    <w:p>
      <w:pPr>
        <w:pStyle w:val="Heading3"/>
        <w:jc w:val="left"/>
      </w:pPr>
      <w:r>
        <w:rPr>
          <w:rFonts w:ascii="Inter" w:hAnsi="Inter"/>
          <w:b/>
          <w:color w:val="1E3A5F"/>
          <w:sz w:val="26"/>
        </w:rPr>
        <w:t>Further Validation</w:t>
      </w:r>
    </w:p>
    <w:p>
      <w:pPr>
        <w:spacing w:after="120" w:before="0"/>
      </w:pPr>
      <w:r>
        <w:rPr>
          <w:rFonts w:ascii="Inter" w:hAnsi="Inter"/>
          <w:b w:val="0"/>
          <w:i w:val="0"/>
          <w:sz w:val="22"/>
        </w:rPr>
        <w:t>Audit taste consistency across manufacturing plants through blind testing. Track social media sentiment impact of quality complaints to quantify the damage multiplier.</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 xml:space="preserve">"It should be harmless, somehow air got in and contaminated the drink, it formed that slimy structure with sugar. </w:t>
        <w:br/>
        <w:br/>
        <w:t>Still contact Coke, so they can investigate."</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"After watching a few of your videos a few weeks ago, I now have a ginger bug working its magic and when it's ready I'm looking forward to making fruit flavoured sodas similar to the ones you've featured here. Thank you for your passionate fermentation videos. I'm learning so much. 😊 God bless you!"</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"You bought soda stream for pop, I bought for sparking water, no we are not the same😂😂"</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11. International Discovery &amp; Diaspora</w:t>
      </w:r>
    </w:p>
    <w:p>
      <w:pPr>
        <w:spacing w:after="160"/>
      </w:pPr>
      <w:r>
        <w:rPr>
          <w:rFonts w:ascii="Inter" w:hAnsi="Inter"/>
          <w:b w:val="0"/>
          <w:i w:val="0"/>
          <w:color w:val="6B7280"/>
          <w:sz w:val="18"/>
        </w:rPr>
        <w:t>n=42</w:t>
      </w:r>
      <w:r>
        <w:rPr>
          <w:rFonts w:ascii="Inter" w:hAnsi="Inter"/>
          <w:b w:val="0"/>
          <w:i w:val="0"/>
          <w:color w:val="374151"/>
          <w:sz w:val="18"/>
        </w:rPr>
        <w:t xml:space="preserve">  |  Confidence: </w:t>
      </w:r>
      <w:r>
        <w:rPr>
          <w:rFonts w:ascii="Inter" w:hAnsi="Inter"/>
          <w:b/>
          <w:i w:val="0"/>
          <w:color w:val="059669"/>
          <w:sz w:val="18"/>
        </w:rPr>
        <w:t>78% (High)</w:t>
      </w:r>
      <w:r>
        <w:rPr>
          <w:rFonts w:ascii="Inter" w:hAnsi="Inter"/>
          <w:b w:val="0"/>
          <w:i w:val="0"/>
          <w:color w:val="374151"/>
          <w:sz w:val="18"/>
        </w:rPr>
        <w:t xml:space="preserve">  |  Signal: </w:t>
      </w:r>
      <w:r>
        <w:rPr>
          <w:rFonts w:ascii="Inter" w:hAnsi="Inter"/>
          <w:b/>
          <w:i w:val="0"/>
          <w:color w:val="374151"/>
          <w:sz w:val="18"/>
        </w:rPr>
        <w:t>85% (Strong)</w:t>
      </w:r>
      <w:r>
        <w:rPr>
          <w:rFonts w:ascii="Inter" w:hAnsi="Inter"/>
          <w:b w:val="0"/>
          <w:i w:val="0"/>
          <w:color w:val="6B7280"/>
          <w:sz w:val="18"/>
        </w:rPr>
        <w:t xml:space="preserve">  |  8.9% of Dataset</w:t>
      </w:r>
      <w:r>
        <w:rPr>
          <w:rFonts w:ascii="Inter" w:hAnsi="Inter"/>
          <w:b w:val="0"/>
          <w:i w:val="0"/>
          <w:color w:val="6B7280"/>
          <w:sz w:val="18"/>
        </w:rPr>
        <w:t xml:space="preserve">  |  NSS: </w:t>
      </w:r>
      <w:r>
        <w:rPr>
          <w:rFonts w:ascii="Inter" w:hAnsi="Inter"/>
          <w:b/>
          <w:i w:val="0"/>
          <w:color w:val="059669"/>
          <w:sz w:val="18"/>
        </w:rPr>
        <w:t>+24%</w:t>
      </w:r>
    </w:p>
    <w:p>
      <w:pPr>
        <w:jc w:val="center"/>
      </w:pPr>
      <w:r>
        <w:drawing>
          <wp:inline xmlns:a="http://schemas.openxmlformats.org/drawingml/2006/main" xmlns:pic="http://schemas.openxmlformats.org/drawingml/2006/picture">
            <wp:extent cx="3474720" cy="3525078"/>
            <wp:docPr id="16" name="Picture 16"/>
            <wp:cNvGraphicFramePr>
              <a:graphicFrameLocks noChangeAspect="1"/>
            </wp:cNvGraphicFramePr>
            <a:graphic>
              <a:graphicData uri="http://schemas.openxmlformats.org/drawingml/2006/picture">
                <pic:pic>
                  <pic:nvPicPr>
                    <pic:cNvPr id="0" name="chart_radar_INS_011.png"/>
                    <pic:cNvPicPr/>
                  </pic:nvPicPr>
                  <pic:blipFill>
                    <a:blip r:embed="rId24"/>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International Discovery &amp; Diaspora</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International discovery and diaspora conversations account for 8.9% (42 items) with positive sentiment (+23.8%). NRIs actively seek Thums Up in Indian grocery stores abroad. International consumers who discover it describe it as 'different from any cola I have tried'. The brand has a small but passionate following in unexpected markets (Ireland, Middle East, US).</w:t>
      </w:r>
    </w:p>
    <w:p>
      <w:pPr>
        <w:pStyle w:val="Heading3"/>
        <w:jc w:val="left"/>
      </w:pPr>
      <w:r>
        <w:rPr>
          <w:rFonts w:ascii="Inter" w:hAnsi="Inter"/>
          <w:b/>
          <w:color w:val="1E3A5F"/>
          <w:sz w:val="26"/>
        </w:rPr>
        <w:t>What it Means</w:t>
      </w:r>
    </w:p>
    <w:p>
      <w:pPr>
        <w:spacing w:after="120" w:before="0"/>
      </w:pPr>
      <w:r>
        <w:rPr>
          <w:rFonts w:ascii="Inter" w:hAnsi="Inter"/>
          <w:b w:val="0"/>
          <w:i w:val="0"/>
          <w:sz w:val="22"/>
        </w:rPr>
        <w:t>Thums Up has untapped international potential that is currently served entirely through diaspora grocery channels. The brand's distinctiveness (which is its domestic strength) makes it a genuine curiosity product for non-Indian consumers who discover it. However, the current international presence is accidental rather than strategic - it exists because diaspora demand created distribution, not because of any export strategy.</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The international opportunity is real but requires deliberate investment. The diaspora channel provides a low-risk testbed for international expansion - these consumers already love the product and can serve as brand ambassadors. The 'Indian bold cola' positioning is genuinely differentiated in markets where Coke and Pepsi dominate with similar mild profiles.</w:t>
      </w:r>
    </w:p>
    <w:p>
      <w:pPr>
        <w:pStyle w:val="Heading3"/>
        <w:jc w:val="left"/>
      </w:pPr>
      <w:r>
        <w:rPr>
          <w:rFonts w:ascii="Inter" w:hAnsi="Inter"/>
          <w:b/>
          <w:color w:val="1E3A5F"/>
          <w:sz w:val="26"/>
        </w:rPr>
        <w:t>Recommendation</w:t>
      </w:r>
    </w:p>
    <w:p>
      <w:pPr>
        <w:spacing w:after="120" w:before="0"/>
      </w:pPr>
      <w:r>
        <w:rPr>
          <w:rFonts w:ascii="Inter" w:hAnsi="Inter"/>
          <w:b w:val="0"/>
          <w:i w:val="0"/>
          <w:sz w:val="22"/>
        </w:rPr>
        <w:t>Formalise the diaspora distribution strategy - ensure Thums Up is consistently available in Indian grocery stores in top 20 diaspora cities (Dubai, London, New York, Toronto, Singapore). Test premium positioning in non-Indian channels (speciality beverage retailers) where 'exotic Indian cola' can command curiosity-driven trial. Do not price it the same as Coke - premium pricing signals authenticity.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Size the diaspora market opportunity by city. Conduct taste testing with non-Indian consumers in key markets to measure acceptance and willingness to pay.</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"First Japan Trip Report w/ Price Spending Breakdown and Full Hourly Itinerary Excel **My personal planning Excel with Price/Item Breakdown and Hour by Hour Schedule can be found here:** ***(Originally made in Excel so Google sheets broke the fancy picture banners I had for each day)***</w:t>
        <w:br/>
        <w:br/>
        <w:t>[**https://d..."</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"First Japan Trip Report w/ Spending Breakdown and Full Itinerary Excel **My personal planning Excel with Price/Item Breakdown and Hour by Hour Schedule can be found here:** ***(Originally made in Excel so Google sheets broke the fancy picture banners I had for each day)***</w:t>
        <w:br/>
        <w:br/>
        <w:t>[**https://docs.google.co..."</w:t>
      </w:r>
      <w:r>
        <w:rPr>
          <w:rFonts w:ascii="Inter" w:hAnsi="Inter"/>
          <w:b w:val="0"/>
          <w:i w:val="0"/>
          <w:color w:val="6B7280"/>
          <w:sz w:val="18"/>
        </w:rPr>
        <w:t xml:space="preserve">  - reddit</w:t>
      </w:r>
    </w:p>
    <w:p>
      <w:pPr>
        <w:spacing w:before="80" w:after="80"/>
        <w:ind w:left="680" w:right="680"/>
      </w:pPr>
      <w:r>
        <w:rPr>
          <w:rFonts w:ascii="Inter" w:hAnsi="Inter"/>
          <w:b w:val="0"/>
          <w:i/>
          <w:color w:val="374151"/>
          <w:sz w:val="20"/>
        </w:rPr>
        <w:t>"my Dad said he used to smash open lemonade bottles for the marbles, nice to know Japan still makes them."</w:t>
      </w:r>
      <w:r>
        <w:rPr>
          <w:rFonts w:ascii="Inter" w:hAnsi="Inter"/>
          <w:b w:val="0"/>
          <w:i w:val="0"/>
          <w:color w:val="6B7280"/>
          <w:sz w:val="18"/>
        </w:rPr>
        <w:t xml:space="preserve">  - youtube</w:t>
      </w:r>
    </w:p>
    <w:p>
      <w:pPr>
        <w:spacing w:before="80" w:after="80"/>
        <w:pBdr>
          <w:bottom w:val="single" w:sz="4" w:space="1" w:color="6B7280"/>
        </w:pBdr>
      </w:pPr>
    </w:p>
    <w:p>
      <w:pPr>
        <w:pStyle w:val="Heading2"/>
        <w:jc w:val="left"/>
      </w:pPr>
      <w:r>
        <w:rPr>
          <w:rFonts w:ascii="Inter" w:hAnsi="Inter"/>
          <w:b/>
          <w:color w:val="1E3A5F"/>
          <w:sz w:val="32"/>
        </w:rPr>
        <w:t>12. Coca-Cola Acquisition &amp; Corporate History</w:t>
      </w:r>
    </w:p>
    <w:p>
      <w:pPr>
        <w:spacing w:after="160"/>
      </w:pPr>
      <w:r>
        <w:rPr>
          <w:rFonts w:ascii="Inter" w:hAnsi="Inter"/>
          <w:b w:val="0"/>
          <w:i w:val="0"/>
          <w:color w:val="6B7280"/>
          <w:sz w:val="18"/>
        </w:rPr>
        <w:t>n=26</w:t>
      </w:r>
      <w:r>
        <w:rPr>
          <w:rFonts w:ascii="Inter" w:hAnsi="Inter"/>
          <w:b w:val="0"/>
          <w:i w:val="0"/>
          <w:color w:val="374151"/>
          <w:sz w:val="18"/>
        </w:rPr>
        <w:t xml:space="preserve">  |  Confidence: </w:t>
      </w:r>
      <w:r>
        <w:rPr>
          <w:rFonts w:ascii="Inter" w:hAnsi="Inter"/>
          <w:b/>
          <w:i w:val="0"/>
          <w:color w:val="D97706"/>
          <w:sz w:val="18"/>
        </w:rPr>
        <w:t>73% (Medium)</w:t>
      </w:r>
      <w:r>
        <w:rPr>
          <w:rFonts w:ascii="Inter" w:hAnsi="Inter"/>
          <w:b w:val="0"/>
          <w:i w:val="0"/>
          <w:color w:val="374151"/>
          <w:sz w:val="18"/>
        </w:rPr>
        <w:t xml:space="preserve">  |  Signal: </w:t>
      </w:r>
      <w:r>
        <w:rPr>
          <w:rFonts w:ascii="Inter" w:hAnsi="Inter"/>
          <w:b/>
          <w:i w:val="0"/>
          <w:color w:val="374151"/>
          <w:sz w:val="18"/>
        </w:rPr>
        <w:t>71% (Moderate)</w:t>
      </w:r>
      <w:r>
        <w:rPr>
          <w:rFonts w:ascii="Inter" w:hAnsi="Inter"/>
          <w:b w:val="0"/>
          <w:i w:val="0"/>
          <w:color w:val="6B7280"/>
          <w:sz w:val="18"/>
        </w:rPr>
        <w:t xml:space="preserve">  |  5.5% of Dataset</w:t>
      </w:r>
      <w:r>
        <w:rPr>
          <w:rFonts w:ascii="Inter" w:hAnsi="Inter"/>
          <w:b w:val="0"/>
          <w:i w:val="0"/>
          <w:color w:val="6B7280"/>
          <w:sz w:val="18"/>
        </w:rPr>
        <w:t xml:space="preserve">  |  NSS: </w:t>
      </w:r>
      <w:r>
        <w:rPr>
          <w:rFonts w:ascii="Inter" w:hAnsi="Inter"/>
          <w:b/>
          <w:i w:val="0"/>
          <w:color w:val="059669"/>
          <w:sz w:val="18"/>
        </w:rPr>
        <w:t>+19%</w:t>
      </w:r>
    </w:p>
    <w:p>
      <w:pPr>
        <w:jc w:val="center"/>
      </w:pPr>
      <w:r>
        <w:drawing>
          <wp:inline xmlns:a="http://schemas.openxmlformats.org/drawingml/2006/main" xmlns:pic="http://schemas.openxmlformats.org/drawingml/2006/picture">
            <wp:extent cx="3474720" cy="3525078"/>
            <wp:docPr id="17" name="Picture 17"/>
            <wp:cNvGraphicFramePr>
              <a:graphicFrameLocks noChangeAspect="1"/>
            </wp:cNvGraphicFramePr>
            <a:graphic>
              <a:graphicData uri="http://schemas.openxmlformats.org/drawingml/2006/picture">
                <pic:pic>
                  <pic:nvPicPr>
                    <pic:cNvPr id="0" name="chart_radar_INS_012.png"/>
                    <pic:cNvPicPr/>
                  </pic:nvPicPr>
                  <pic:blipFill>
                    <a:blip r:embed="rId25"/>
                    <a:stretch>
                      <a:fillRect/>
                    </a:stretch>
                  </pic:blipFill>
                  <pic:spPr>
                    <a:xfrm>
                      <a:off x="0" y="0"/>
                      <a:ext cx="3474720" cy="3525078"/>
                    </a:xfrm>
                    <a:prstGeom prst="rect"/>
                  </pic:spPr>
                </pic:pic>
              </a:graphicData>
            </a:graphic>
          </wp:inline>
        </w:drawing>
      </w:r>
    </w:p>
    <w:p>
      <w:pPr>
        <w:spacing w:after="240"/>
        <w:jc w:val="center"/>
      </w:pPr>
      <w:r>
        <w:rPr>
          <w:rFonts w:ascii="Inter" w:hAnsi="Inter"/>
          <w:b w:val="0"/>
          <w:i/>
          <w:color w:val="6B7280"/>
          <w:sz w:val="18"/>
        </w:rPr>
        <w:t>Score Breakdown: Coca-Cola Acquisition &amp; Corporate History</w:t>
      </w:r>
    </w:p>
    <w:p>
      <w:pPr>
        <w:pStyle w:val="Heading3"/>
        <w:jc w:val="left"/>
      </w:pPr>
      <w:r>
        <w:rPr>
          <w:rFonts w:ascii="Inter" w:hAnsi="Inter"/>
          <w:b/>
          <w:color w:val="1E3A5F"/>
          <w:sz w:val="26"/>
        </w:rPr>
        <w:t>What the Data Shows</w:t>
      </w:r>
    </w:p>
    <w:p>
      <w:pPr>
        <w:spacing w:after="120" w:before="0"/>
      </w:pPr>
      <w:r>
        <w:rPr>
          <w:rFonts w:ascii="Inter" w:hAnsi="Inter"/>
          <w:b w:val="0"/>
          <w:i w:val="0"/>
          <w:sz w:val="22"/>
        </w:rPr>
        <w:t>The Coca-Cola acquisition narrative accounts for 5.5% (26 items) with positive sentiment (+19.2%). The dominant narrative is 'Coke tried to kill Thums Up but failed because Indians loved it too much'. This story is told with pride and positions the brand as a survivor. References to Ramesh Chauhan (Parle founder) and the 1993 acquisition are common knowledge among engaged consumers.</w:t>
      </w:r>
    </w:p>
    <w:p>
      <w:pPr>
        <w:pStyle w:val="Heading3"/>
        <w:jc w:val="left"/>
      </w:pPr>
      <w:r>
        <w:rPr>
          <w:rFonts w:ascii="Inter" w:hAnsi="Inter"/>
          <w:b/>
          <w:color w:val="1E3A5F"/>
          <w:sz w:val="26"/>
        </w:rPr>
        <w:t>What it Means</w:t>
      </w:r>
    </w:p>
    <w:p>
      <w:pPr>
        <w:spacing w:after="120" w:before="0"/>
      </w:pPr>
      <w:r>
        <w:rPr>
          <w:rFonts w:ascii="Inter" w:hAnsi="Inter"/>
          <w:b w:val="0"/>
          <w:i w:val="0"/>
          <w:sz w:val="22"/>
        </w:rPr>
        <w:t>The acquisition survival story has become Thums Up's founding myth - a narrative of Indian consumer power defeating corporate strategy. This is more powerful than any manufactured brand story because it is true, verifiable, and emotionally resonant. The fact that consumers tell this story unprompted means it has achieved cultural status beyond brand marketing.</w:t>
      </w:r>
    </w:p>
    <w:p>
      <w:pPr>
        <w:pStyle w:val="Heading3"/>
        <w:jc w:val="left"/>
      </w:pPr>
      <w:r>
        <w:rPr>
          <w:rFonts w:ascii="Inter" w:hAnsi="Inter"/>
          <w:b/>
          <w:color w:val="1E3A5F"/>
          <w:sz w:val="26"/>
        </w:rPr>
        <w:t>Business Implication &amp; Rationale</w:t>
      </w:r>
    </w:p>
    <w:p>
      <w:pPr>
        <w:spacing w:after="120" w:before="0"/>
      </w:pPr>
      <w:r>
        <w:rPr>
          <w:rFonts w:ascii="Inter" w:hAnsi="Inter"/>
          <w:b w:val="0"/>
          <w:i w:val="0"/>
          <w:sz w:val="22"/>
        </w:rPr>
        <w:t>This narrative is a permanent competitive moat. No competitor can replicate a genuine survival story. However, Coca-Cola (as current owner) must handle this narrative carefully - the story positions Coca-Cola as the villain and Thums Up as the hero. Overplaying corporate ownership could undermine the 'Indian underdog' narrative that consumers love.</w:t>
      </w:r>
    </w:p>
    <w:p>
      <w:pPr>
        <w:pStyle w:val="Heading3"/>
        <w:jc w:val="left"/>
      </w:pPr>
      <w:r>
        <w:rPr>
          <w:rFonts w:ascii="Inter" w:hAnsi="Inter"/>
          <w:b/>
          <w:color w:val="1E3A5F"/>
          <w:sz w:val="26"/>
        </w:rPr>
        <w:t>Recommendation</w:t>
      </w:r>
    </w:p>
    <w:p>
      <w:pPr>
        <w:spacing w:after="120" w:before="0"/>
      </w:pPr>
      <w:r>
        <w:rPr>
          <w:rFonts w:ascii="Inter" w:hAnsi="Inter"/>
          <w:b w:val="0"/>
          <w:i w:val="0"/>
          <w:sz w:val="22"/>
        </w:rPr>
        <w:t>Let consumers own and tell this story - do not corporatise it. If using the heritage narrative in marketing, centre Ramesh Chauhan and the Parle founding rather than the Coca-Cola acquisition. The story works because it is about Indian resilience, not about Coca-Cola's portfolio strategy. Use it sparingly and authentically.</w:t>
      </w:r>
    </w:p>
    <w:p>
      <w:pPr>
        <w:pStyle w:val="Heading3"/>
        <w:jc w:val="left"/>
      </w:pPr>
      <w:r>
        <w:rPr>
          <w:rFonts w:ascii="Inter" w:hAnsi="Inter"/>
          <w:b/>
          <w:color w:val="1E3A5F"/>
          <w:sz w:val="26"/>
        </w:rPr>
        <w:t>Further Validation</w:t>
      </w:r>
    </w:p>
    <w:p>
      <w:pPr>
        <w:spacing w:after="120" w:before="0"/>
      </w:pPr>
      <w:r>
        <w:rPr>
          <w:rFonts w:ascii="Inter" w:hAnsi="Inter"/>
          <w:b w:val="0"/>
          <w:i w:val="0"/>
          <w:sz w:val="22"/>
        </w:rPr>
        <w:t>Measure whether the acquisition narrative affects brand perception differently across age cohorts. Test whether heritage-led advertising moves preference among younger consumers who may not know the story.</w:t>
      </w:r>
    </w:p>
    <w:p>
      <w:pPr>
        <w:pStyle w:val="Heading3"/>
        <w:jc w:val="left"/>
      </w:pPr>
      <w:r>
        <w:rPr>
          <w:rFonts w:ascii="Inter" w:hAnsi="Inter"/>
          <w:b/>
          <w:color w:val="1E3A5F"/>
          <w:sz w:val="26"/>
        </w:rPr>
        <w:t>Representative Voices</w:t>
      </w:r>
    </w:p>
    <w:p>
      <w:pPr>
        <w:spacing w:before="80" w:after="80"/>
        <w:ind w:left="680" w:right="680"/>
      </w:pPr>
      <w:r>
        <w:rPr>
          <w:rFonts w:ascii="Inter" w:hAnsi="Inter"/>
          <w:b w:val="0"/>
          <w:i/>
          <w:color w:val="374151"/>
          <w:sz w:val="20"/>
        </w:rPr>
        <w:t>"Coca Cola acquired Thums Up, they didn't create a new product. Thumbs Up had been introduced in the Indian market in 1977, at a time when Coca Cola exited it. It was a very popular drink at the time of acquisition (1993) and a strong competitor to Pepsi and Coke."</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"It's not rip off, it's in the market for last 50 years, unethically acquired by Coca Cola. They even altered the taste so that brand vanishes but Indians are very loyal even after 3 decades of takeover."</w:t>
      </w:r>
      <w:r>
        <w:rPr>
          <w:rFonts w:ascii="Inter" w:hAnsi="Inter"/>
          <w:b w:val="0"/>
          <w:i w:val="0"/>
          <w:color w:val="6B7280"/>
          <w:sz w:val="18"/>
        </w:rPr>
        <w:t xml:space="preserve">  - youtube</w:t>
      </w:r>
    </w:p>
    <w:p>
      <w:pPr>
        <w:spacing w:before="80" w:after="80"/>
        <w:ind w:left="680" w:right="680"/>
      </w:pPr>
      <w:r>
        <w:rPr>
          <w:rFonts w:ascii="Inter" w:hAnsi="Inter"/>
          <w:b w:val="0"/>
          <w:i/>
          <w:color w:val="374151"/>
          <w:sz w:val="20"/>
        </w:rPr>
        <w:t>"It was the "Coca-Cola" of India between 1977 and 1993, it was and still is a Coke product. Now there's both Thums Up and Coca-Cola in India. Each has a unique cola flavor. I've had Thums Up, it's good!"</w:t>
      </w:r>
      <w:r>
        <w:rPr>
          <w:rFonts w:ascii="Inter" w:hAnsi="Inter"/>
          <w:b w:val="0"/>
          <w:i w:val="0"/>
          <w:color w:val="6B7280"/>
          <w:sz w:val="18"/>
        </w:rPr>
        <w:t xml:space="preserve">  - reddit</w:t>
      </w:r>
    </w:p>
    <w:p>
      <w:r>
        <w:br w:type="page"/>
      </w:r>
    </w:p>
    <w:p>
      <w:pPr>
        <w:pStyle w:val="Heading1"/>
        <w:jc w:val="left"/>
      </w:pPr>
      <w:r>
        <w:rPr>
          <w:rFonts w:ascii="Inter" w:hAnsi="Inter"/>
          <w:b/>
          <w:color w:val="1E3A5F"/>
          <w:sz w:val="44"/>
        </w:rPr>
        <w:t>Brand Health Score</w:t>
      </w:r>
    </w:p>
    <w:p>
      <w:pPr>
        <w:spacing w:after="160"/>
      </w:pPr>
      <w:r>
        <w:rPr>
          <w:rFonts w:ascii="Inter" w:hAnsi="Inter"/>
          <w:b/>
          <w:i w:val="0"/>
          <w:color w:val="1E3A5F"/>
          <w:sz w:val="26"/>
        </w:rPr>
        <w:t xml:space="preserve">Overall Brand Health Score: </w:t>
      </w:r>
      <w:r>
        <w:rPr>
          <w:rFonts w:ascii="Inter" w:hAnsi="Inter"/>
          <w:b/>
          <w:i w:val="0"/>
          <w:color w:val="DC2626"/>
          <w:sz w:val="40"/>
        </w:rPr>
        <w:t>0/100</w:t>
      </w:r>
    </w:p>
    <w:p>
      <w:pPr>
        <w:spacing w:after="120" w:before="0"/>
      </w:pPr>
      <w:r>
        <w:rPr>
          <w:rFonts w:ascii="Inter" w:hAnsi="Inter"/>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Inter" w:hAnsi="Inter"/>
                <w:b/>
                <w:i w:val="0"/>
                <w:color w:val="FFFFFF"/>
                <w:sz w:val="20"/>
              </w:rPr>
              <w:t>Component</w:t>
            </w:r>
          </w:p>
        </w:tc>
        <w:tc>
          <w:tcPr>
            <w:tcW w:type="dxa" w:w="3135"/>
            <w:shd w:val="clear" w:color="auto" w:fill="1E3A5F"/>
          </w:tcPr>
          <w:p>
            <w:pPr>
              <w:spacing w:before="60" w:after="60"/>
            </w:pPr>
            <w:r/>
            <w:r>
              <w:rPr>
                <w:rFonts w:ascii="Inter" w:hAnsi="Inter"/>
                <w:b/>
                <w:i w:val="0"/>
                <w:color w:val="FFFFFF"/>
                <w:sz w:val="20"/>
              </w:rPr>
              <w:t>Score</w:t>
            </w:r>
          </w:p>
        </w:tc>
        <w:tc>
          <w:tcPr>
            <w:tcW w:type="dxa" w:w="3135"/>
            <w:shd w:val="clear" w:color="auto" w:fill="1E3A5F"/>
          </w:tcPr>
          <w:p>
            <w:pPr>
              <w:spacing w:before="60" w:after="60"/>
            </w:pPr>
            <w:r/>
            <w:r>
              <w:rPr>
                <w:rFonts w:ascii="Inter" w:hAnsi="Inter"/>
                <w:b/>
                <w:i w:val="0"/>
                <w:color w:val="FFFFFF"/>
                <w:sz w:val="20"/>
              </w:rPr>
              <w:t>Methodology</w:t>
            </w:r>
          </w:p>
        </w:tc>
      </w:tr>
      <w:tr>
        <w:tc>
          <w:tcPr>
            <w:tcW w:type="dxa" w:w="3135"/>
          </w:tcPr>
          <w:p>
            <w:r>
              <w:t>Sentiment Component (30%)</w:t>
            </w:r>
          </w:p>
        </w:tc>
        <w:tc>
          <w:tcPr>
            <w:tcW w:type="dxa" w:w="3135"/>
          </w:tcPr>
          <w:p>
            <w:r>
              <w:rPr>
                <w:rFonts w:ascii="Inter" w:hAnsi="Inter"/>
                <w:b/>
                <w:i w:val="0"/>
                <w:color w:val="DC2626"/>
                <w:sz w:val="22"/>
              </w:rPr>
              <w:t>0.0</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Inter" w:hAnsi="Inter"/>
                <w:b/>
                <w:i w:val="0"/>
                <w:color w:val="DC2626"/>
                <w:sz w:val="22"/>
              </w:rPr>
              <w:t>0.0</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Inter" w:hAnsi="Inter"/>
                <w:b/>
                <w:i w:val="0"/>
                <w:color w:val="DC2626"/>
                <w:sz w:val="22"/>
              </w:rPr>
              <w:t>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Inter" w:hAnsi="Inter"/>
                <w:b/>
                <w:i w:val="0"/>
                <w:color w:val="DC2626"/>
                <w:sz w:val="22"/>
              </w:rPr>
              <w:t>0.0</w:t>
            </w:r>
          </w:p>
        </w:tc>
        <w:tc>
          <w:tcPr>
            <w:tcW w:type="dxa" w:w="3135"/>
          </w:tcPr>
          <w:p>
            <w:r>
              <w:t>Sentiment consistency across platforms and time periods.</w:t>
            </w:r>
          </w:p>
        </w:tc>
      </w:tr>
      <w:tr>
        <w:tc>
          <w:tcPr>
            <w:tcW w:type="dxa" w:w="3135"/>
          </w:tcPr>
          <w:p>
            <w:r>
              <w:t>Conversation Component (10%)</w:t>
            </w:r>
          </w:p>
        </w:tc>
        <w:tc>
          <w:tcPr>
            <w:tcW w:type="dxa" w:w="3135"/>
          </w:tcPr>
          <w:p>
            <w:r>
              <w:rPr>
                <w:rFonts w:ascii="Inter" w:hAnsi="Inter"/>
                <w:b/>
                <w:i w:val="0"/>
                <w:color w:val="DC2626"/>
                <w:sz w:val="22"/>
              </w:rPr>
              <w:t>0.0</w:t>
            </w:r>
          </w:p>
        </w:tc>
        <w:tc>
          <w:tcPr>
            <w:tcW w:type="dxa" w:w="3135"/>
          </w:tcPr>
          <w:p>
            <w:r>
              <w:t>Volume and depth of organic brand conversation (non-promotional threads).</w:t>
            </w:r>
          </w:p>
        </w:tc>
      </w:tr>
    </w:tbl>
    <w:p>
      <w:pPr>
        <w:spacing w:before="280" w:after="120"/>
      </w:pPr>
      <w:r>
        <w:rPr>
          <w:rFonts w:ascii="Inter" w:hAnsi="Inter"/>
          <w:b/>
          <w:i w:val="0"/>
          <w:color w:val="1E3A5F"/>
          <w:sz w:val="22"/>
        </w:rPr>
        <w:t xml:space="preserve">Note: </w:t>
      </w:r>
      <w:r>
        <w:rPr>
          <w:rFonts w:ascii="Inter" w:hAnsi="Inter"/>
          <w:b w:val="0"/>
          <w:i w:val="0"/>
          <w:color w:val="374151"/>
          <w:sz w:val="22"/>
        </w:rPr>
        <w:t>The Conversation Component (0/100)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Inter" w:hAnsi="Inter"/>
          <w:b/>
          <w:color w:val="1E3A5F"/>
          <w:sz w:val="44"/>
        </w:rPr>
        <w:t>Methodology</w:t>
      </w:r>
    </w:p>
    <w:p>
      <w:pPr>
        <w:pStyle w:val="Heading2"/>
        <w:jc w:val="left"/>
      </w:pPr>
      <w:r>
        <w:rPr>
          <w:rFonts w:ascii="Inter" w:hAnsi="Inter"/>
          <w:b/>
          <w:color w:val="1E3A5F"/>
          <w:sz w:val="32"/>
        </w:rPr>
        <w:t>Pipeline Overview</w:t>
      </w:r>
    </w:p>
    <w:p>
      <w:pPr>
        <w:pStyle w:val="ListBullet"/>
        <w:spacing w:after="80"/>
      </w:pPr>
      <w:r>
        <w:rPr>
          <w:rFonts w:ascii="Inter" w:hAnsi="Inter"/>
          <w:b/>
          <w:i w:val="0"/>
          <w:color w:val="1E3A5F"/>
          <w:sz w:val="22"/>
        </w:rPr>
        <w:t xml:space="preserve">Stage 0 - Brief </w:t>
      </w:r>
      <w:r>
        <w:rPr>
          <w:rFonts w:ascii="Inter" w:hAnsi="Inter"/>
          <w:b w:val="0"/>
          <w:i w:val="0"/>
          <w:sz w:val="22"/>
        </w:rPr>
        <w:t>Structured research brief defines brand, competitors, geography, business objectives, and keyword seed list.</w:t>
      </w:r>
    </w:p>
    <w:p>
      <w:pPr>
        <w:pStyle w:val="ListBullet"/>
        <w:spacing w:after="80"/>
      </w:pPr>
      <w:r>
        <w:rPr>
          <w:rFonts w:ascii="Inter" w:hAnsi="Inter"/>
          <w:b/>
          <w:i w:val="0"/>
          <w:color w:val="1E3A5F"/>
          <w:sz w:val="22"/>
        </w:rPr>
        <w:t xml:space="preserve">Stage 1 - Collect </w:t>
      </w:r>
      <w:r>
        <w:rPr>
          <w:rFonts w:ascii="Inter" w:hAnsi="Inter"/>
          <w:b w:val="0"/>
          <w:i w:val="0"/>
          <w:sz w:val="22"/>
        </w:rPr>
        <w:t>Automated collection across Academic, News, Reddit, Youtube. Engagement-minimum filters applied at collection time.</w:t>
      </w:r>
    </w:p>
    <w:p>
      <w:pPr>
        <w:pStyle w:val="ListBullet"/>
        <w:spacing w:after="80"/>
      </w:pPr>
      <w:r>
        <w:rPr>
          <w:rFonts w:ascii="Inter" w:hAnsi="Inter"/>
          <w:b/>
          <w:i w:val="0"/>
          <w:color w:val="1E3A5F"/>
          <w:sz w:val="22"/>
        </w:rPr>
        <w:t xml:space="preserve">Stage 2 - Normalize </w:t>
      </w:r>
      <w:r>
        <w:rPr>
          <w:rFonts w:ascii="Inter" w:hAnsi="Inter"/>
          <w:b w:val="0"/>
          <w:i w:val="0"/>
          <w:sz w:val="22"/>
        </w:rPr>
        <w:t>Thread-level deduplication (comments capped per thread). Deterministic SHA-256 item IDs prevent re-collection of duplicates across runs.</w:t>
      </w:r>
    </w:p>
    <w:p>
      <w:pPr>
        <w:pStyle w:val="ListBullet"/>
        <w:spacing w:after="80"/>
      </w:pPr>
      <w:r>
        <w:rPr>
          <w:rFonts w:ascii="Inter" w:hAnsi="Inter"/>
          <w:b/>
          <w:i w:val="0"/>
          <w:color w:val="1E3A5F"/>
          <w:sz w:val="22"/>
        </w:rPr>
        <w:t xml:space="preserve">Stage 3 - Filter </w:t>
      </w:r>
      <w:r>
        <w:rPr>
          <w:rFonts w:ascii="Inter" w:hAnsi="Inter"/>
          <w:b w:val="0"/>
          <w:i w:val="0"/>
          <w:sz w:val="22"/>
        </w:rPr>
        <w:t>LLM relevance classification (claude-sonnet-4-20250514). Each item classified as relevant/irrelevant with a reason. Multilingual support enabled.</w:t>
      </w:r>
    </w:p>
    <w:p>
      <w:pPr>
        <w:pStyle w:val="ListBullet"/>
        <w:spacing w:after="80"/>
      </w:pPr>
      <w:r>
        <w:rPr>
          <w:rFonts w:ascii="Inter" w:hAnsi="Inter"/>
          <w:b/>
          <w:i w:val="0"/>
          <w:color w:val="1E3A5F"/>
          <w:sz w:val="22"/>
        </w:rPr>
        <w:t xml:space="preserve">Stage 4 - Analyze </w:t>
      </w:r>
      <w:r>
        <w:rPr>
          <w:rFonts w:ascii="Inter" w:hAnsi="Inter"/>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Inter" w:hAnsi="Inter"/>
          <w:b/>
          <w:i w:val="0"/>
          <w:color w:val="1E3A5F"/>
          <w:sz w:val="22"/>
        </w:rPr>
        <w:t xml:space="preserve">Stage 5 - Synthesize </w:t>
      </w:r>
      <w:r>
        <w:rPr>
          <w:rFonts w:ascii="Inter" w:hAnsi="Inter"/>
          <w:b w:val="0"/>
          <w:i w:val="0"/>
          <w:sz w:val="22"/>
        </w:rPr>
        <w:t>One insight per theme, mandated by prompt. Insight structure: Observation - Insight - Implication - Recommendation - Further Validation.</w:t>
      </w:r>
    </w:p>
    <w:p>
      <w:pPr>
        <w:pStyle w:val="ListBullet"/>
        <w:spacing w:after="80"/>
      </w:pPr>
      <w:r>
        <w:rPr>
          <w:rFonts w:ascii="Inter" w:hAnsi="Inter"/>
          <w:b/>
          <w:i w:val="0"/>
          <w:color w:val="1E3A5F"/>
          <w:sz w:val="22"/>
        </w:rPr>
        <w:t xml:space="preserve">Stage 6 - Score </w:t>
      </w:r>
      <w:r>
        <w:rPr>
          <w:rFonts w:ascii="Inter" w:hAnsi="Inter"/>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Inter" w:hAnsi="Inter"/>
          <w:b/>
          <w:i w:val="0"/>
          <w:color w:val="1E3A5F"/>
          <w:sz w:val="22"/>
        </w:rPr>
        <w:t xml:space="preserve">Stage 7 - Report </w:t>
      </w:r>
      <w:r>
        <w:rPr>
          <w:rFonts w:ascii="Inter" w:hAnsi="Inter"/>
          <w:b w:val="0"/>
          <w:i w:val="0"/>
          <w:sz w:val="22"/>
        </w:rPr>
        <w:t>Google Doc-compatible DOCX with inline charts, block-quoted verbatims, and full data tables.</w:t>
      </w:r>
    </w:p>
    <w:p>
      <w:pPr>
        <w:pStyle w:val="Heading2"/>
        <w:jc w:val="left"/>
      </w:pPr>
      <w:r>
        <w:rPr>
          <w:rFonts w:ascii="Inter" w:hAnsi="Inter"/>
          <w:b/>
          <w:color w:val="1E3A5F"/>
          <w:sz w:val="32"/>
        </w:rPr>
        <w:t>Scoring Formulas</w:t>
      </w:r>
    </w:p>
    <w:p>
      <w:pPr>
        <w:pStyle w:val="Heading3"/>
        <w:jc w:val="left"/>
      </w:pPr>
      <w:r>
        <w:rPr>
          <w:rFonts w:ascii="Inter" w:hAnsi="Inter"/>
          <w:b/>
          <w:color w:val="1E3A5F"/>
          <w:sz w:val="26"/>
        </w:rPr>
        <w:t>Confidence Score</w:t>
      </w:r>
    </w:p>
    <w:p>
      <w:pPr>
        <w:spacing w:after="120" w:before="0"/>
      </w:pPr>
      <w:r>
        <w:rPr>
          <w:rFonts w:ascii="Inter" w:hAnsi="Inter"/>
          <w:b w:val="0"/>
          <w:i w:val="0"/>
          <w:sz w:val="22"/>
        </w:rPr>
        <w:t>Confidence = (sample_size x 0.25) + (source_diversity x 0.25) + (temporal_consistency x 0.15) + (internal_agreement x 0.2) + (data_recency x 0.15)</w:t>
      </w:r>
    </w:p>
    <w:p>
      <w:pPr>
        <w:pStyle w:val="Heading3"/>
        <w:jc w:val="left"/>
      </w:pPr>
      <w:r>
        <w:rPr>
          <w:rFonts w:ascii="Inter" w:hAnsi="Inter"/>
          <w:b/>
          <w:color w:val="1E3A5F"/>
          <w:sz w:val="26"/>
        </w:rPr>
        <w:t>Signal Strength Score</w:t>
      </w:r>
    </w:p>
    <w:p>
      <w:pPr>
        <w:spacing w:after="120" w:before="0"/>
      </w:pPr>
      <w:r>
        <w:rPr>
          <w:rFonts w:ascii="Inter" w:hAnsi="Inter"/>
          <w:b w:val="0"/>
          <w:i w:val="0"/>
          <w:sz w:val="22"/>
        </w:rPr>
        <w:t>Signal = (prevalence x 0.35) + (engagement x 0.3) + (sentiment_intensity x 0.2) + (conversation_depth x 0.15)</w:t>
      </w:r>
    </w:p>
    <w:p>
      <w:pPr>
        <w:pStyle w:val="Heading3"/>
        <w:jc w:val="left"/>
      </w:pPr>
      <w:r>
        <w:rPr>
          <w:rFonts w:ascii="Inter" w:hAnsi="Inter"/>
          <w:b/>
          <w:color w:val="1E3A5F"/>
          <w:sz w:val="26"/>
        </w:rPr>
        <w:t>Net Sentiment Score (NSS)</w:t>
      </w:r>
    </w:p>
    <w:p>
      <w:pPr>
        <w:spacing w:after="120" w:before="0"/>
      </w:pPr>
      <w:r>
        <w:rPr>
          <w:rFonts w:ascii="Inter" w:hAnsi="Inter"/>
          <w:b w:val="0"/>
          <w:i w:val="0"/>
          <w:sz w:val="22"/>
        </w:rPr>
        <w:t>NSS = (positive_count - negative_count) / total_count. Range -1.0 to +1.0. Industry standard: Brandwatch, Sprinklr, YouGov.</w:t>
      </w:r>
    </w:p>
    <w:p>
      <w:pPr>
        <w:pStyle w:val="Heading2"/>
        <w:jc w:val="left"/>
      </w:pPr>
      <w:r>
        <w:rPr>
          <w:rFonts w:ascii="Inter" w:hAnsi="Inter"/>
          <w:b/>
          <w:color w:val="1E3A5F"/>
          <w:sz w:val="32"/>
        </w:rPr>
        <w:t>Quality Gates</w:t>
      </w:r>
    </w:p>
    <w:p>
      <w:pPr>
        <w:pStyle w:val="ListBullet"/>
        <w:spacing w:after="80"/>
      </w:pPr>
      <w:r>
        <w:rPr>
          <w:rFonts w:ascii="Inter" w:hAnsi="Inter"/>
          <w:b w:val="0"/>
          <w:i w:val="0"/>
          <w:sz w:val="22"/>
        </w:rPr>
        <w:t>Grounded (≥3 sources cited)</w:t>
      </w:r>
    </w:p>
    <w:p>
      <w:pPr>
        <w:pStyle w:val="ListBullet"/>
        <w:spacing w:after="80"/>
      </w:pPr>
      <w:r>
        <w:rPr>
          <w:rFonts w:ascii="Inter" w:hAnsi="Inter"/>
          <w:b w:val="0"/>
          <w:i w:val="0"/>
          <w:sz w:val="22"/>
        </w:rPr>
        <w:t>Non-obvious (not derivable from common knowledge)</w:t>
      </w:r>
    </w:p>
    <w:p>
      <w:pPr>
        <w:pStyle w:val="ListBullet"/>
        <w:spacing w:after="80"/>
      </w:pPr>
      <w:r>
        <w:rPr>
          <w:rFonts w:ascii="Inter" w:hAnsi="Inter"/>
          <w:b w:val="0"/>
          <w:i w:val="0"/>
          <w:sz w:val="22"/>
        </w:rPr>
        <w:t>Actionable (leads to a concrete business decision)</w:t>
      </w:r>
    </w:p>
    <w:p>
      <w:pPr>
        <w:pStyle w:val="ListBullet"/>
        <w:spacing w:after="80"/>
      </w:pPr>
      <w:r>
        <w:rPr>
          <w:rFonts w:ascii="Inter" w:hAnsi="Inter"/>
          <w:b w:val="0"/>
          <w:i w:val="0"/>
          <w:sz w:val="22"/>
        </w:rPr>
        <w:t>Specific (not vague platitude)</w:t>
      </w:r>
    </w:p>
    <w:p>
      <w:pPr>
        <w:pStyle w:val="ListBullet"/>
        <w:spacing w:after="80"/>
      </w:pPr>
      <w:r>
        <w:rPr>
          <w:rFonts w:ascii="Inter" w:hAnsi="Inter"/>
          <w:b w:val="0"/>
          <w:i w:val="0"/>
          <w:sz w:val="22"/>
        </w:rPr>
        <w:t>Falsifiable (could be proven wrong with additional data)</w:t>
      </w:r>
    </w:p>
    <w:p>
      <w:r>
        <w:br w:type="page"/>
      </w:r>
    </w:p>
    <w:p>
      <w:pPr>
        <w:pStyle w:val="Heading1"/>
        <w:jc w:val="left"/>
      </w:pPr>
      <w:r>
        <w:rPr>
          <w:rFonts w:ascii="Inter" w:hAnsi="Inter"/>
          <w:b/>
          <w:color w:val="1E3A5F"/>
          <w:sz w:val="44"/>
        </w:rPr>
        <w:t>Data Provenance</w:t>
      </w:r>
    </w:p>
    <w:p>
      <w:pPr>
        <w:spacing w:after="120" w:before="0"/>
      </w:pPr>
      <w:r>
        <w:rPr>
          <w:rFonts w:ascii="Inter" w:hAnsi="Inter"/>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Inter" w:hAnsi="Inter"/>
                <w:b/>
                <w:i w:val="0"/>
                <w:color w:val="FFFFFF"/>
                <w:sz w:val="20"/>
              </w:rPr>
              <w:t>Source</w:t>
            </w:r>
          </w:p>
        </w:tc>
        <w:tc>
          <w:tcPr>
            <w:tcW w:type="dxa" w:w="2351"/>
            <w:shd w:val="clear" w:color="auto" w:fill="1E3A5F"/>
          </w:tcPr>
          <w:p>
            <w:pPr>
              <w:spacing w:before="60" w:after="60"/>
            </w:pPr>
            <w:r/>
            <w:r>
              <w:rPr>
                <w:rFonts w:ascii="Inter" w:hAnsi="Inter"/>
                <w:b/>
                <w:i w:val="0"/>
                <w:color w:val="FFFFFF"/>
                <w:sz w:val="20"/>
              </w:rPr>
              <w:t>Content Type</w:t>
            </w:r>
          </w:p>
        </w:tc>
        <w:tc>
          <w:tcPr>
            <w:tcW w:type="dxa" w:w="2351"/>
            <w:shd w:val="clear" w:color="auto" w:fill="1E3A5F"/>
          </w:tcPr>
          <w:p>
            <w:pPr>
              <w:spacing w:before="60" w:after="60"/>
            </w:pPr>
            <w:r/>
            <w:r>
              <w:rPr>
                <w:rFonts w:ascii="Inter" w:hAnsi="Inter"/>
                <w:b/>
                <w:i w:val="0"/>
                <w:color w:val="FFFFFF"/>
                <w:sz w:val="20"/>
              </w:rPr>
              <w:t>Access Method</w:t>
            </w:r>
          </w:p>
        </w:tc>
        <w:tc>
          <w:tcPr>
            <w:tcW w:type="dxa" w:w="2351"/>
            <w:shd w:val="clear" w:color="auto" w:fill="1E3A5F"/>
          </w:tcPr>
          <w:p>
            <w:pPr>
              <w:spacing w:before="60" w:after="60"/>
            </w:pPr>
            <w:r/>
            <w:r>
              <w:rPr>
                <w:rFonts w:ascii="Inter" w:hAnsi="Inter"/>
                <w:b/>
                <w:i w:val="0"/>
                <w:color w:val="FFFFFF"/>
                <w:sz w:val="20"/>
              </w:rPr>
              <w:t>Items in Corpus</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277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121</w:t>
            </w:r>
          </w:p>
        </w:tc>
      </w:tr>
      <w:tr>
        <w:tc>
          <w:tcPr>
            <w:tcW w:type="dxa" w:w="2351"/>
          </w:tcPr>
          <w:p>
            <w:r>
              <w:t>OpenAlex</w:t>
            </w:r>
          </w:p>
        </w:tc>
        <w:tc>
          <w:tcPr>
            <w:tcW w:type="dxa" w:w="2351"/>
          </w:tcPr>
          <w:p>
            <w:r>
              <w:t>Academic papers</w:t>
            </w:r>
          </w:p>
        </w:tc>
        <w:tc>
          <w:tcPr>
            <w:tcW w:type="dxa" w:w="2351"/>
          </w:tcPr>
          <w:p>
            <w:r>
              <w:t>Public API</w:t>
            </w:r>
          </w:p>
        </w:tc>
        <w:tc>
          <w:tcPr>
            <w:tcW w:type="dxa" w:w="2351"/>
          </w:tcPr>
          <w:p>
            <w:r>
              <w:t>38</w:t>
            </w:r>
          </w:p>
        </w:tc>
      </w:tr>
      <w:tr>
        <w:tc>
          <w:tcPr>
            <w:tcW w:type="dxa" w:w="2351"/>
          </w:tcPr>
          <w:p>
            <w:r>
              <w:t>NewsData.io</w:t>
            </w:r>
          </w:p>
        </w:tc>
        <w:tc>
          <w:tcPr>
            <w:tcW w:type="dxa" w:w="2351"/>
          </w:tcPr>
          <w:p>
            <w:r>
              <w:t>News articles</w:t>
            </w:r>
          </w:p>
        </w:tc>
        <w:tc>
          <w:tcPr>
            <w:tcW w:type="dxa" w:w="2351"/>
          </w:tcPr>
          <w:p>
            <w:r>
              <w:t>REST API</w:t>
            </w:r>
          </w:p>
        </w:tc>
        <w:tc>
          <w:tcPr>
            <w:tcW w:type="dxa" w:w="2351"/>
          </w:tcPr>
          <w:p>
            <w:r>
              <w:t>36</w:t>
            </w:r>
          </w:p>
        </w:tc>
      </w:tr>
    </w:tbl>
    <w:p>
      <w:pPr>
        <w:spacing w:after="120" w:before="0"/>
      </w:pPr>
      <w:r>
        <w:rPr>
          <w:rFonts w:ascii="Inter" w:hAnsi="Inter"/>
          <w:b w:val="0"/>
          <w:i w:val="0"/>
          <w:sz w:val="22"/>
        </w:rPr>
        <w:t>Corpus composition: 59 posts and 339 comments and 74 other items. Each comment is treated as an independent item linked to its parent post for thread-level analysis.</w:t>
      </w:r>
    </w:p>
    <w:p>
      <w:pPr>
        <w:pStyle w:val="Heading2"/>
        <w:jc w:val="left"/>
      </w:pPr>
      <w:r>
        <w:rPr>
          <w:rFonts w:ascii="Inter" w:hAnsi="Inter"/>
          <w:b/>
          <w:color w:val="1E3A5F"/>
          <w:sz w:val="32"/>
        </w:rPr>
        <w:t>Geographic Coverage</w:t>
      </w:r>
    </w:p>
    <w:p>
      <w:pPr>
        <w:spacing w:after="120" w:before="0"/>
      </w:pPr>
      <w:r>
        <w:rPr>
          <w:rFonts w:ascii="Inter" w:hAnsi="Inter"/>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Inter" w:hAnsi="Inter"/>
          <w:b/>
          <w:color w:val="1E3A5F"/>
          <w:sz w:val="32"/>
        </w:rPr>
        <w:t>Temporal Coverage</w:t>
      </w:r>
    </w:p>
    <w:p>
      <w:pPr>
        <w:spacing w:after="120" w:before="0"/>
      </w:pPr>
      <w:r>
        <w:rPr>
          <w:rFonts w:ascii="Inter" w:hAnsi="Inter"/>
          <w:b w:val="0"/>
          <w:i w:val="0"/>
          <w:sz w:val="22"/>
        </w:rPr>
        <w:t>Data range: Jan 1952 - Mar 2026 (892 months). Items span the full collection period with no temporal exclusion applied at normalization.</w:t>
      </w:r>
    </w:p>
    <w:p>
      <w:pPr>
        <w:pStyle w:val="Heading2"/>
        <w:jc w:val="left"/>
      </w:pPr>
      <w:r>
        <w:rPr>
          <w:rFonts w:ascii="Inter" w:hAnsi="Inter"/>
          <w:b/>
          <w:color w:val="1E3A5F"/>
          <w:sz w:val="32"/>
        </w:rPr>
        <w:t>Demographic Accuracy</w:t>
      </w:r>
    </w:p>
    <w:p>
      <w:pPr>
        <w:spacing w:after="120" w:before="0"/>
      </w:pPr>
      <w:r>
        <w:rPr>
          <w:rFonts w:ascii="Inter" w:hAnsi="Inter"/>
          <w:b w:val="0"/>
          <w:i w:val="0"/>
          <w:sz w:val="22"/>
        </w:rPr>
        <w:t>This methodology explicitly documents platform-level composition so that interpretation accounts for known biases: Reddit skews male, urban, and 18-34; news sources carry no demographic signal; YouTube is more balanced across gender but skews younger audiences; creator content dominates over consumer discussion; academic sources carry no demographic signal.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