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Improving Report Quality Through Expanded Data Collection</w:t>
      </w:r>
    </w:p>
    <w:p>
      <w:pPr>
        <w:pStyle w:val="Heading3"/>
        <w:spacing w:after="150" w:before="300"/>
      </w:pPr>
      <w:r>
        <w:t xml:space="preserve">The Free-Tier Baseline and Its Quality Ceiling</w:t>
      </w:r>
    </w:p>
    <w:p>
      <w:pPr>
        <w:spacing w:after="160"/>
      </w:pPr>
      <w:r>
        <w:t xml:space="preserve">The pipeline runs on free-tier APIs by default. Each source has a hard ceiling: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5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Source</w:t>
            </w:r>
          </w:p>
        </w:tc>
        <w:tc>
          <w:tcPr>
            <w:tcW w:type="dxa" w:w="30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Free Limit</w:t>
            </w:r>
          </w:p>
        </w:tc>
        <w:tc>
          <w:tcPr>
            <w:tcW w:type="dxa" w:w="386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Quality Implication</w:t>
            </w:r>
          </w:p>
        </w:tc>
      </w:tr>
      <w:tr>
        <w:tc>
          <w:tcPr>
            <w:tcW w:type="dxa" w:w="2500"/>
            <w:tcBorders>
              <w:top w:val="single" w:color="374151" w:sz="4"/>
              <w:left w:val="single" w:color="374151" w:sz="4"/>
              <w:bottom w:val="single" w:color="374151" w:sz="4"/>
              <w:right w:val="single" w:color="374151" w:sz="4"/>
            </w:tcBorders>
          </w:tcPr>
          <w:p>
            <w:pPr>
              <w:spacing w:after="60"/>
            </w:pPr>
            <w:r>
              <w:t xml:space="preserve">Reddit public API</w:t>
            </w:r>
          </w:p>
        </w:tc>
        <w:tc>
          <w:tcPr>
            <w:tcW w:type="dxa" w:w="3000"/>
            <w:tcBorders>
              <w:top w:val="single" w:color="374151" w:sz="4"/>
              <w:left w:val="single" w:color="374151" w:sz="4"/>
              <w:bottom w:val="single" w:color="374151" w:sz="4"/>
              <w:right w:val="single" w:color="374151" w:sz="4"/>
            </w:tcBorders>
          </w:tcPr>
          <w:p>
            <w:pPr>
              <w:spacing w:after="60"/>
            </w:pPr>
            <w:r>
              <w:t xml:space="preserve">~500 posts/run, rate-limited to 1 request per 2 seconds</w:t>
            </w:r>
          </w:p>
        </w:tc>
        <w:tc>
          <w:tcPr>
            <w:tcW w:type="dxa" w:w="3860"/>
            <w:tcBorders>
              <w:top w:val="single" w:color="374151" w:sz="4"/>
              <w:left w:val="single" w:color="374151" w:sz="4"/>
              <w:bottom w:val="single" w:color="374151" w:sz="4"/>
              <w:right w:val="single" w:color="374151" w:sz="4"/>
            </w:tcBorders>
          </w:tcPr>
          <w:p>
            <w:pPr>
              <w:spacing w:after="60"/>
            </w:pPr>
            <w:r>
              <w:t xml:space="preserve">Enough for directional findings; not enough for high-confidence scores on any single theme</w:t>
            </w:r>
          </w:p>
        </w:tc>
      </w:tr>
      <w:tr>
        <w:tc>
          <w:tcPr>
            <w:tcW w:type="dxa" w:w="2500"/>
            <w:tcBorders>
              <w:top w:val="single" w:color="374151" w:sz="4"/>
              <w:left w:val="single" w:color="374151" w:sz="4"/>
              <w:bottom w:val="single" w:color="374151" w:sz="4"/>
              <w:right w:val="single" w:color="374151" w:sz="4"/>
            </w:tcBorders>
          </w:tcPr>
          <w:p>
            <w:pPr>
              <w:spacing w:after="60"/>
            </w:pPr>
            <w:r>
              <w:t xml:space="preserve">YouTube Data API</w:t>
            </w:r>
          </w:p>
        </w:tc>
        <w:tc>
          <w:tcPr>
            <w:tcW w:type="dxa" w:w="3000"/>
            <w:tcBorders>
              <w:top w:val="single" w:color="374151" w:sz="4"/>
              <w:left w:val="single" w:color="374151" w:sz="4"/>
              <w:bottom w:val="single" w:color="374151" w:sz="4"/>
              <w:right w:val="single" w:color="374151" w:sz="4"/>
            </w:tcBorders>
          </w:tcPr>
          <w:p>
            <w:pPr>
              <w:spacing w:after="60"/>
            </w:pPr>
            <w:r>
              <w:t xml:space="preserve">10,000 quota units/day (~50 video searches)</w:t>
            </w:r>
          </w:p>
        </w:tc>
        <w:tc>
          <w:tcPr>
            <w:tcW w:type="dxa" w:w="3860"/>
            <w:tcBorders>
              <w:top w:val="single" w:color="374151" w:sz="4"/>
              <w:left w:val="single" w:color="374151" w:sz="4"/>
              <w:bottom w:val="single" w:color="374151" w:sz="4"/>
              <w:right w:val="single" w:color="374151" w:sz="4"/>
            </w:tcBorders>
          </w:tcPr>
          <w:p>
            <w:pPr>
              <w:spacing w:after="60"/>
            </w:pPr>
            <w:r>
              <w:t xml:space="preserve">Good coverage of major content; misses long-tail and regional videos</w:t>
            </w:r>
          </w:p>
        </w:tc>
      </w:tr>
      <w:tr>
        <w:tc>
          <w:tcPr>
            <w:tcW w:type="dxa" w:w="2500"/>
            <w:tcBorders>
              <w:top w:val="single" w:color="374151" w:sz="4"/>
              <w:left w:val="single" w:color="374151" w:sz="4"/>
              <w:bottom w:val="single" w:color="374151" w:sz="4"/>
              <w:right w:val="single" w:color="374151" w:sz="4"/>
            </w:tcBorders>
          </w:tcPr>
          <w:p>
            <w:pPr>
              <w:spacing w:after="60"/>
            </w:pPr>
            <w:r>
              <w:t xml:space="preserve">NewsData.io</w:t>
            </w:r>
          </w:p>
        </w:tc>
        <w:tc>
          <w:tcPr>
            <w:tcW w:type="dxa" w:w="3000"/>
            <w:tcBorders>
              <w:top w:val="single" w:color="374151" w:sz="4"/>
              <w:left w:val="single" w:color="374151" w:sz="4"/>
              <w:bottom w:val="single" w:color="374151" w:sz="4"/>
              <w:right w:val="single" w:color="374151" w:sz="4"/>
            </w:tcBorders>
          </w:tcPr>
          <w:p>
            <w:pPr>
              <w:spacing w:after="60"/>
            </w:pPr>
            <w:r>
              <w:t xml:space="preserve">200 articles/day</w:t>
            </w:r>
          </w:p>
        </w:tc>
        <w:tc>
          <w:tcPr>
            <w:tcW w:type="dxa" w:w="3860"/>
            <w:tcBorders>
              <w:top w:val="single" w:color="374151" w:sz="4"/>
              <w:left w:val="single" w:color="374151" w:sz="4"/>
              <w:bottom w:val="single" w:color="374151" w:sz="4"/>
              <w:right w:val="single" w:color="374151" w:sz="4"/>
            </w:tcBorders>
          </w:tcPr>
          <w:p>
            <w:pPr>
              <w:spacing w:after="60"/>
            </w:pPr>
            <w:r>
              <w:t xml:space="preserve">Adequate for major brand events; too thin for emerging or regional stories</w:t>
            </w:r>
          </w:p>
        </w:tc>
      </w:tr>
      <w:tr>
        <w:tc>
          <w:tcPr>
            <w:tcW w:type="dxa" w:w="2500"/>
            <w:tcBorders>
              <w:top w:val="single" w:color="374151" w:sz="4"/>
              <w:left w:val="single" w:color="374151" w:sz="4"/>
              <w:bottom w:val="single" w:color="374151" w:sz="4"/>
              <w:right w:val="single" w:color="374151" w:sz="4"/>
            </w:tcBorders>
          </w:tcPr>
          <w:p>
            <w:pPr>
              <w:spacing w:after="60"/>
            </w:pPr>
            <w:r>
              <w:t xml:space="preserve">Serper (Google Search)</w:t>
            </w:r>
          </w:p>
        </w:tc>
        <w:tc>
          <w:tcPr>
            <w:tcW w:type="dxa" w:w="3000"/>
            <w:tcBorders>
              <w:top w:val="single" w:color="374151" w:sz="4"/>
              <w:left w:val="single" w:color="374151" w:sz="4"/>
              <w:bottom w:val="single" w:color="374151" w:sz="4"/>
              <w:right w:val="single" w:color="374151" w:sz="4"/>
            </w:tcBorders>
          </w:tcPr>
          <w:p>
            <w:pPr>
              <w:spacing w:after="60"/>
            </w:pPr>
            <w:r>
              <w:t xml:space="preserve">2,500 queries lifetime on free plan</w:t>
            </w:r>
          </w:p>
        </w:tc>
        <w:tc>
          <w:tcPr>
            <w:tcW w:type="dxa" w:w="3860"/>
            <w:tcBorders>
              <w:top w:val="single" w:color="374151" w:sz="4"/>
              <w:left w:val="single" w:color="374151" w:sz="4"/>
              <w:bottom w:val="single" w:color="374151" w:sz="4"/>
              <w:right w:val="single" w:color="374151" w:sz="4"/>
            </w:tcBorders>
          </w:tcPr>
          <w:p>
            <w:pPr>
              <w:spacing w:after="60"/>
            </w:pPr>
            <w:r>
              <w:t xml:space="preserve">Exhausted quickly on broad keyword lists; must be rationed carefully</w:t>
            </w:r>
          </w:p>
        </w:tc>
      </w:tr>
      <w:tr>
        <w:tc>
          <w:tcPr>
            <w:tcW w:type="dxa" w:w="2500"/>
            <w:tcBorders>
              <w:top w:val="single" w:color="374151" w:sz="4"/>
              <w:left w:val="single" w:color="374151" w:sz="4"/>
              <w:bottom w:val="single" w:color="374151" w:sz="4"/>
              <w:right w:val="single" w:color="374151" w:sz="4"/>
            </w:tcBorders>
          </w:tcPr>
          <w:p>
            <w:pPr>
              <w:spacing w:after="60"/>
            </w:pPr>
            <w:r>
              <w:t xml:space="preserve">OpenAlex (Academic)</w:t>
            </w:r>
          </w:p>
        </w:tc>
        <w:tc>
          <w:tcPr>
            <w:tcW w:type="dxa" w:w="3000"/>
            <w:tcBorders>
              <w:top w:val="single" w:color="374151" w:sz="4"/>
              <w:left w:val="single" w:color="374151" w:sz="4"/>
              <w:bottom w:val="single" w:color="374151" w:sz="4"/>
              <w:right w:val="single" w:color="374151" w:sz="4"/>
            </w:tcBorders>
          </w:tcPr>
          <w:p>
            <w:pPr>
              <w:spacing w:after="60"/>
            </w:pPr>
            <w:r>
              <w:t xml:space="preserve">100,000+ calls/day</w:t>
            </w:r>
          </w:p>
        </w:tc>
        <w:tc>
          <w:tcPr>
            <w:tcW w:type="dxa" w:w="3860"/>
            <w:tcBorders>
              <w:top w:val="single" w:color="374151" w:sz="4"/>
              <w:left w:val="single" w:color="374151" w:sz="4"/>
              <w:bottom w:val="single" w:color="374151" w:sz="4"/>
              <w:right w:val="single" w:color="374151" w:sz="4"/>
            </w:tcBorders>
          </w:tcPr>
          <w:p>
            <w:pPr>
              <w:spacing w:after="60"/>
            </w:pPr>
            <w:r>
              <w:t xml:space="preserve">Not a bottleneck at any realistic research volume</w:t>
            </w:r>
          </w:p>
        </w:tc>
      </w:tr>
    </w:tbl>
    <w:p>
      <w:pPr>
        <w:spacing w:after="200"/>
      </w:pPr>
    </w:p>
    <w:p>
      <w:pPr>
        <w:pStyle w:val="Heading3"/>
        <w:spacing w:after="150" w:before="300"/>
      </w:pPr>
      <w:r>
        <w:t xml:space="preserve">How More Data Directly Improves Scoring</w:t>
      </w:r>
    </w:p>
    <w:p>
      <w:pPr>
        <w:spacing w:after="160"/>
      </w:pPr>
      <w:r>
        <w:t xml:space="preserve">The pipeline's scoring system rewards volume and diversity:</w:t>
      </w:r>
    </w:p>
    <w:p>
      <w:pPr>
        <w:pStyle w:val="ListParagraph"/>
        <w:numPr>
          <w:ilvl w:val="0"/>
          <w:numId w:val="1"/>
        </w:numPr>
        <w:spacing w:after="100"/>
      </w:pPr>
      <w:r>
        <w:t xml:space="preserve">Confidence Score — Sample Size factor (25% weight): scores 0.6 for 30–100 items per theme, rises to 1.0 for 100+ items. More data moves themes from "Directional" to "High Confidence."</w:t>
      </w:r>
    </w:p>
    <w:p>
      <w:pPr>
        <w:pStyle w:val="ListParagraph"/>
        <w:numPr>
          <w:ilvl w:val="0"/>
          <w:numId w:val="1"/>
        </w:numPr>
        <w:spacing w:after="100"/>
      </w:pPr>
      <w:r>
        <w:t xml:space="preserve">Confidence Score — Source Diversity factor (25% weight): 1 platform scores 0.3, 2 platforms scores 0.7, 3+ platforms scores 1.0. Adding Amazon reviews or Quora as a third source pushes this factor to its ceiling.</w:t>
      </w:r>
    </w:p>
    <w:p>
      <w:pPr>
        <w:pStyle w:val="ListParagraph"/>
        <w:numPr>
          <w:ilvl w:val="0"/>
          <w:numId w:val="1"/>
        </w:numPr>
        <w:spacing w:after="100"/>
      </w:pPr>
      <w:r>
        <w:t xml:space="preserve">Signal Strength — Prevalence factor (35% weight): calculated as a percentage of the total corpus. A larger corpus gives more reliable prevalence percentages.</w:t>
      </w:r>
    </w:p>
    <w:p>
      <w:pPr>
        <w:pStyle w:val="ListParagraph"/>
        <w:numPr>
          <w:ilvl w:val="0"/>
          <w:numId w:val="1"/>
        </w:numPr>
        <w:spacing w:after="100"/>
      </w:pPr>
      <w:r>
        <w:t xml:space="preserve">Net effect: more data produces more "Key Finding" insights (top-right of the matrix) and fewer "Watch Closely" or "Noise" classifications.</w:t>
      </w:r>
    </w:p>
    <w:p>
      <w:pPr>
        <w:spacing w:after="200"/>
      </w:pPr>
    </w:p>
    <w:p>
      <w:pPr>
        <w:pStyle w:val="Heading3"/>
        <w:spacing w:after="150" w:before="300"/>
      </w:pPr>
      <w:r>
        <w:t xml:space="preserve">Paid Upgrade Options Within the Same Framework</w:t>
      </w:r>
    </w:p>
    <w:p>
      <w:pPr>
        <w:spacing w:after="160"/>
      </w:pPr>
      <w:r>
        <w:t xml:space="preserve">No code changes needed. All paid sources output the same schema and flow through Stages 3–7 unchanged.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tblGrid>
      <w:tr>
        <w:trPr>
          <w:tblHeader/>
        </w:trPr>
        <w:tc>
          <w:tcPr>
            <w:tcW w:type="dxa" w:w="13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Source</w:t>
            </w:r>
          </w:p>
        </w:tc>
        <w:tc>
          <w:tcPr>
            <w:tcW w:type="dxa" w:w="17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Free Limit</w:t>
            </w:r>
          </w:p>
        </w:tc>
        <w:tc>
          <w:tcPr>
            <w:tcW w:type="dxa" w:w="19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Paid Upgrade</w:t>
            </w:r>
          </w:p>
        </w:tc>
        <w:tc>
          <w:tcPr>
            <w:tcW w:type="dxa" w:w="13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Approx. Cost</w:t>
            </w:r>
          </w:p>
        </w:tc>
        <w:tc>
          <w:tcPr>
            <w:tcW w:type="dxa" w:w="316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Quality Gain</w:t>
            </w:r>
          </w:p>
        </w:tc>
      </w:tr>
      <w:tr>
        <w:tc>
          <w:tcPr>
            <w:tcW w:type="dxa" w:w="1300"/>
            <w:tcBorders>
              <w:top w:val="single" w:color="374151" w:sz="4"/>
              <w:left w:val="single" w:color="374151" w:sz="4"/>
              <w:bottom w:val="single" w:color="374151" w:sz="4"/>
              <w:right w:val="single" w:color="374151" w:sz="4"/>
            </w:tcBorders>
          </w:tcPr>
          <w:p>
            <w:pPr>
              <w:spacing w:after="60"/>
            </w:pPr>
            <w:r>
              <w:t xml:space="preserve">Reddit</w:t>
            </w:r>
          </w:p>
        </w:tc>
        <w:tc>
          <w:tcPr>
            <w:tcW w:type="dxa" w:w="1700"/>
            <w:tcBorders>
              <w:top w:val="single" w:color="374151" w:sz="4"/>
              <w:left w:val="single" w:color="374151" w:sz="4"/>
              <w:bottom w:val="single" w:color="374151" w:sz="4"/>
              <w:right w:val="single" w:color="374151" w:sz="4"/>
            </w:tcBorders>
          </w:tcPr>
          <w:p>
            <w:pPr>
              <w:spacing w:after="60"/>
            </w:pPr>
            <w:r>
              <w:t xml:space="preserve">~500 posts/run via public API</w:t>
            </w:r>
          </w:p>
        </w:tc>
        <w:tc>
          <w:tcPr>
            <w:tcW w:type="dxa" w:w="1900"/>
            <w:tcBorders>
              <w:top w:val="single" w:color="374151" w:sz="4"/>
              <w:left w:val="single" w:color="374151" w:sz="4"/>
              <w:bottom w:val="single" w:color="374151" w:sz="4"/>
              <w:right w:val="single" w:color="374151" w:sz="4"/>
            </w:tcBorders>
          </w:tcPr>
          <w:p>
            <w:pPr>
              <w:spacing w:after="60"/>
            </w:pPr>
            <w:r>
              <w:t xml:space="preserve">Apify Reddit Scraper</w:t>
            </w:r>
          </w:p>
        </w:tc>
        <w:tc>
          <w:tcPr>
            <w:tcW w:type="dxa" w:w="1300"/>
            <w:tcBorders>
              <w:top w:val="single" w:color="374151" w:sz="4"/>
              <w:left w:val="single" w:color="374151" w:sz="4"/>
              <w:bottom w:val="single" w:color="374151" w:sz="4"/>
              <w:right w:val="single" w:color="374151" w:sz="4"/>
            </w:tcBorders>
          </w:tcPr>
          <w:p>
            <w:pPr>
              <w:spacing w:after="60"/>
            </w:pPr>
            <w:r>
              <w:t xml:space="preserve">~$5/run</w:t>
            </w:r>
          </w:p>
        </w:tc>
        <w:tc>
          <w:tcPr>
            <w:tcW w:type="dxa" w:w="3160"/>
            <w:tcBorders>
              <w:top w:val="single" w:color="374151" w:sz="4"/>
              <w:left w:val="single" w:color="374151" w:sz="4"/>
              <w:bottom w:val="single" w:color="374151" w:sz="4"/>
              <w:right w:val="single" w:color="374151" w:sz="4"/>
            </w:tcBorders>
          </w:tcPr>
          <w:p>
            <w:pPr>
              <w:spacing w:after="60"/>
            </w:pPr>
            <w:r>
              <w:t xml:space="preserve">5–10x volume, no rate limits, historical data available</w:t>
            </w:r>
          </w:p>
        </w:tc>
      </w:tr>
      <w:tr>
        <w:tc>
          <w:tcPr>
            <w:tcW w:type="dxa" w:w="1300"/>
            <w:tcBorders>
              <w:top w:val="single" w:color="374151" w:sz="4"/>
              <w:left w:val="single" w:color="374151" w:sz="4"/>
              <w:bottom w:val="single" w:color="374151" w:sz="4"/>
              <w:right w:val="single" w:color="374151" w:sz="4"/>
            </w:tcBorders>
          </w:tcPr>
          <w:p>
            <w:pPr>
              <w:spacing w:after="60"/>
            </w:pPr>
            <w:r>
              <w:t xml:space="preserve">YouTube</w:t>
            </w:r>
          </w:p>
        </w:tc>
        <w:tc>
          <w:tcPr>
            <w:tcW w:type="dxa" w:w="1700"/>
            <w:tcBorders>
              <w:top w:val="single" w:color="374151" w:sz="4"/>
              <w:left w:val="single" w:color="374151" w:sz="4"/>
              <w:bottom w:val="single" w:color="374151" w:sz="4"/>
              <w:right w:val="single" w:color="374151" w:sz="4"/>
            </w:tcBorders>
          </w:tcPr>
          <w:p>
            <w:pPr>
              <w:spacing w:after="60"/>
            </w:pPr>
            <w:r>
              <w:t xml:space="preserve">10K quota units/day</w:t>
            </w:r>
          </w:p>
        </w:tc>
        <w:tc>
          <w:tcPr>
            <w:tcW w:type="dxa" w:w="1900"/>
            <w:tcBorders>
              <w:top w:val="single" w:color="374151" w:sz="4"/>
              <w:left w:val="single" w:color="374151" w:sz="4"/>
              <w:bottom w:val="single" w:color="374151" w:sz="4"/>
              <w:right w:val="single" w:color="374151" w:sz="4"/>
            </w:tcBorders>
          </w:tcPr>
          <w:p>
            <w:pPr>
              <w:spacing w:after="60"/>
            </w:pPr>
            <w:r>
              <w:t xml:space="preserve">YouTube API quota increase (apply to Google at no charge)</w:t>
            </w:r>
          </w:p>
        </w:tc>
        <w:tc>
          <w:tcPr>
            <w:tcW w:type="dxa" w:w="1300"/>
            <w:tcBorders>
              <w:top w:val="single" w:color="374151" w:sz="4"/>
              <w:left w:val="single" w:color="374151" w:sz="4"/>
              <w:bottom w:val="single" w:color="374151" w:sz="4"/>
              <w:right w:val="single" w:color="374151" w:sz="4"/>
            </w:tcBorders>
          </w:tcPr>
          <w:p>
            <w:pPr>
              <w:spacing w:after="60"/>
            </w:pPr>
            <w:r>
              <w:t xml:space="preserve">Free to request</w:t>
            </w:r>
          </w:p>
        </w:tc>
        <w:tc>
          <w:tcPr>
            <w:tcW w:type="dxa" w:w="3160"/>
            <w:tcBorders>
              <w:top w:val="single" w:color="374151" w:sz="4"/>
              <w:left w:val="single" w:color="374151" w:sz="4"/>
              <w:bottom w:val="single" w:color="374151" w:sz="4"/>
              <w:right w:val="single" w:color="374151" w:sz="4"/>
            </w:tcBorders>
          </w:tcPr>
          <w:p>
            <w:pPr>
              <w:spacing w:after="60"/>
            </w:pPr>
            <w:r>
              <w:t xml:space="preserve">Up to 1M units/day — covers 500+ videos</w:t>
            </w:r>
          </w:p>
        </w:tc>
      </w:tr>
      <w:tr>
        <w:tc>
          <w:tcPr>
            <w:tcW w:type="dxa" w:w="1300"/>
            <w:tcBorders>
              <w:top w:val="single" w:color="374151" w:sz="4"/>
              <w:left w:val="single" w:color="374151" w:sz="4"/>
              <w:bottom w:val="single" w:color="374151" w:sz="4"/>
              <w:right w:val="single" w:color="374151" w:sz="4"/>
            </w:tcBorders>
          </w:tcPr>
          <w:p>
            <w:pPr>
              <w:spacing w:after="60"/>
            </w:pPr>
            <w:r>
              <w:t xml:space="preserve">NewsData.io</w:t>
            </w:r>
          </w:p>
        </w:tc>
        <w:tc>
          <w:tcPr>
            <w:tcW w:type="dxa" w:w="1700"/>
            <w:tcBorders>
              <w:top w:val="single" w:color="374151" w:sz="4"/>
              <w:left w:val="single" w:color="374151" w:sz="4"/>
              <w:bottom w:val="single" w:color="374151" w:sz="4"/>
              <w:right w:val="single" w:color="374151" w:sz="4"/>
            </w:tcBorders>
          </w:tcPr>
          <w:p>
            <w:pPr>
              <w:spacing w:after="60"/>
            </w:pPr>
            <w:r>
              <w:t xml:space="preserve">200 articles/day</w:t>
            </w:r>
          </w:p>
        </w:tc>
        <w:tc>
          <w:tcPr>
            <w:tcW w:type="dxa" w:w="1900"/>
            <w:tcBorders>
              <w:top w:val="single" w:color="374151" w:sz="4"/>
              <w:left w:val="single" w:color="374151" w:sz="4"/>
              <w:bottom w:val="single" w:color="374151" w:sz="4"/>
              <w:right w:val="single" w:color="374151" w:sz="4"/>
            </w:tcBorders>
          </w:tcPr>
          <w:p>
            <w:pPr>
              <w:spacing w:after="60"/>
            </w:pPr>
            <w:r>
              <w:t xml:space="preserve">Basic plan</w:t>
            </w:r>
          </w:p>
        </w:tc>
        <w:tc>
          <w:tcPr>
            <w:tcW w:type="dxa" w:w="1300"/>
            <w:tcBorders>
              <w:top w:val="single" w:color="374151" w:sz="4"/>
              <w:left w:val="single" w:color="374151" w:sz="4"/>
              <w:bottom w:val="single" w:color="374151" w:sz="4"/>
              <w:right w:val="single" w:color="374151" w:sz="4"/>
            </w:tcBorders>
          </w:tcPr>
          <w:p>
            <w:pPr>
              <w:spacing w:after="60"/>
            </w:pPr>
            <w:r>
              <w:t xml:space="preserve">$149/month</w:t>
            </w:r>
          </w:p>
        </w:tc>
        <w:tc>
          <w:tcPr>
            <w:tcW w:type="dxa" w:w="3160"/>
            <w:tcBorders>
              <w:top w:val="single" w:color="374151" w:sz="4"/>
              <w:left w:val="single" w:color="374151" w:sz="4"/>
              <w:bottom w:val="single" w:color="374151" w:sz="4"/>
              <w:right w:val="single" w:color="374151" w:sz="4"/>
            </w:tcBorders>
          </w:tcPr>
          <w:p>
            <w:pPr>
              <w:spacing w:after="60"/>
            </w:pPr>
            <w:r>
              <w:t xml:space="preserve">10,000 articles/day — full media coverage</w:t>
            </w:r>
          </w:p>
        </w:tc>
      </w:tr>
      <w:tr>
        <w:tc>
          <w:tcPr>
            <w:tcW w:type="dxa" w:w="1300"/>
            <w:tcBorders>
              <w:top w:val="single" w:color="374151" w:sz="4"/>
              <w:left w:val="single" w:color="374151" w:sz="4"/>
              <w:bottom w:val="single" w:color="374151" w:sz="4"/>
              <w:right w:val="single" w:color="374151" w:sz="4"/>
            </w:tcBorders>
          </w:tcPr>
          <w:p>
            <w:pPr>
              <w:spacing w:after="60"/>
            </w:pPr>
            <w:r>
              <w:t xml:space="preserve">Serper (Google)</w:t>
            </w:r>
          </w:p>
        </w:tc>
        <w:tc>
          <w:tcPr>
            <w:tcW w:type="dxa" w:w="1700"/>
            <w:tcBorders>
              <w:top w:val="single" w:color="374151" w:sz="4"/>
              <w:left w:val="single" w:color="374151" w:sz="4"/>
              <w:bottom w:val="single" w:color="374151" w:sz="4"/>
              <w:right w:val="single" w:color="374151" w:sz="4"/>
            </w:tcBorders>
          </w:tcPr>
          <w:p>
            <w:pPr>
              <w:spacing w:after="60"/>
            </w:pPr>
            <w:r>
              <w:t xml:space="preserve">2,500 lifetime queries</w:t>
            </w:r>
          </w:p>
        </w:tc>
        <w:tc>
          <w:tcPr>
            <w:tcW w:type="dxa" w:w="1900"/>
            <w:tcBorders>
              <w:top w:val="single" w:color="374151" w:sz="4"/>
              <w:left w:val="single" w:color="374151" w:sz="4"/>
              <w:bottom w:val="single" w:color="374151" w:sz="4"/>
              <w:right w:val="single" w:color="374151" w:sz="4"/>
            </w:tcBorders>
          </w:tcPr>
          <w:p>
            <w:pPr>
              <w:spacing w:after="60"/>
            </w:pPr>
            <w:r>
              <w:t xml:space="preserve">Pay-as-you-go</w:t>
            </w:r>
          </w:p>
        </w:tc>
        <w:tc>
          <w:tcPr>
            <w:tcW w:type="dxa" w:w="1300"/>
            <w:tcBorders>
              <w:top w:val="single" w:color="374151" w:sz="4"/>
              <w:left w:val="single" w:color="374151" w:sz="4"/>
              <w:bottom w:val="single" w:color="374151" w:sz="4"/>
              <w:right w:val="single" w:color="374151" w:sz="4"/>
            </w:tcBorders>
          </w:tcPr>
          <w:p>
            <w:pPr>
              <w:spacing w:after="60"/>
            </w:pPr>
            <w:r>
              <w:t xml:space="preserve">~$50/month for 50K queries</w:t>
            </w:r>
          </w:p>
        </w:tc>
        <w:tc>
          <w:tcPr>
            <w:tcW w:type="dxa" w:w="3160"/>
            <w:tcBorders>
              <w:top w:val="single" w:color="374151" w:sz="4"/>
              <w:left w:val="single" w:color="374151" w:sz="4"/>
              <w:bottom w:val="single" w:color="374151" w:sz="4"/>
              <w:right w:val="single" w:color="374151" w:sz="4"/>
            </w:tcBorders>
          </w:tcPr>
          <w:p>
            <w:pPr>
              <w:spacing w:after="60"/>
            </w:pPr>
            <w:r>
              <w:t xml:space="preserve">Full keyword expansion without exhausting quota</w:t>
            </w:r>
          </w:p>
        </w:tc>
      </w:tr>
      <w:tr>
        <w:tc>
          <w:tcPr>
            <w:tcW w:type="dxa" w:w="1300"/>
            <w:tcBorders>
              <w:top w:val="single" w:color="374151" w:sz="4"/>
              <w:left w:val="single" w:color="374151" w:sz="4"/>
              <w:bottom w:val="single" w:color="374151" w:sz="4"/>
              <w:right w:val="single" w:color="374151" w:sz="4"/>
            </w:tcBorders>
          </w:tcPr>
          <w:p>
            <w:pPr>
              <w:spacing w:after="60"/>
            </w:pPr>
            <w:r>
              <w:t xml:space="preserve">Amazon/Flipkart Reviews</w:t>
            </w:r>
          </w:p>
        </w:tc>
        <w:tc>
          <w:tcPr>
            <w:tcW w:type="dxa" w:w="1700"/>
            <w:tcBorders>
              <w:top w:val="single" w:color="374151" w:sz="4"/>
              <w:left w:val="single" w:color="374151" w:sz="4"/>
              <w:bottom w:val="single" w:color="374151" w:sz="4"/>
              <w:right w:val="single" w:color="374151" w:sz="4"/>
            </w:tcBorders>
          </w:tcPr>
          <w:p>
            <w:pPr>
              <w:spacing w:after="60"/>
            </w:pPr>
            <w:r>
              <w:t xml:space="preserve">None (not in free tier)</w:t>
            </w:r>
          </w:p>
        </w:tc>
        <w:tc>
          <w:tcPr>
            <w:tcW w:type="dxa" w:w="1900"/>
            <w:tcBorders>
              <w:top w:val="single" w:color="374151" w:sz="4"/>
              <w:left w:val="single" w:color="374151" w:sz="4"/>
              <w:bottom w:val="single" w:color="374151" w:sz="4"/>
              <w:right w:val="single" w:color="374151" w:sz="4"/>
            </w:tcBorders>
          </w:tcPr>
          <w:p>
            <w:pPr>
              <w:spacing w:after="60"/>
            </w:pPr>
            <w:r>
              <w:t xml:space="preserve">Apify Amazon/Flipkart actors</w:t>
            </w:r>
          </w:p>
        </w:tc>
        <w:tc>
          <w:tcPr>
            <w:tcW w:type="dxa" w:w="1300"/>
            <w:tcBorders>
              <w:top w:val="single" w:color="374151" w:sz="4"/>
              <w:left w:val="single" w:color="374151" w:sz="4"/>
              <w:bottom w:val="single" w:color="374151" w:sz="4"/>
              <w:right w:val="single" w:color="374151" w:sz="4"/>
            </w:tcBorders>
          </w:tcPr>
          <w:p>
            <w:pPr>
              <w:spacing w:after="60"/>
            </w:pPr>
            <w:r>
              <w:t xml:space="preserve">~$2–5/run</w:t>
            </w:r>
          </w:p>
        </w:tc>
        <w:tc>
          <w:tcPr>
            <w:tcW w:type="dxa" w:w="3160"/>
            <w:tcBorders>
              <w:top w:val="single" w:color="374151" w:sz="4"/>
              <w:left w:val="single" w:color="374151" w:sz="4"/>
              <w:bottom w:val="single" w:color="374151" w:sz="4"/>
              <w:right w:val="single" w:color="374151" w:sz="4"/>
            </w:tcBorders>
          </w:tcPr>
          <w:p>
            <w:pPr>
              <w:spacing w:after="60"/>
            </w:pPr>
            <w:r>
              <w:t xml:space="preserve">Verified purchase opinions — highest signal quality of any source</w:t>
            </w:r>
          </w:p>
        </w:tc>
      </w:tr>
      <w:tr>
        <w:tc>
          <w:tcPr>
            <w:tcW w:type="dxa" w:w="1300"/>
            <w:tcBorders>
              <w:top w:val="single" w:color="374151" w:sz="4"/>
              <w:left w:val="single" w:color="374151" w:sz="4"/>
              <w:bottom w:val="single" w:color="374151" w:sz="4"/>
              <w:right w:val="single" w:color="374151" w:sz="4"/>
            </w:tcBorders>
          </w:tcPr>
          <w:p>
            <w:pPr>
              <w:spacing w:after="60"/>
            </w:pPr>
            <w:r>
              <w:t xml:space="preserve">Quora</w:t>
            </w:r>
          </w:p>
        </w:tc>
        <w:tc>
          <w:tcPr>
            <w:tcW w:type="dxa" w:w="1700"/>
            <w:tcBorders>
              <w:top w:val="single" w:color="374151" w:sz="4"/>
              <w:left w:val="single" w:color="374151" w:sz="4"/>
              <w:bottom w:val="single" w:color="374151" w:sz="4"/>
              <w:right w:val="single" w:color="374151" w:sz="4"/>
            </w:tcBorders>
          </w:tcPr>
          <w:p>
            <w:pPr>
              <w:spacing w:after="60"/>
            </w:pPr>
            <w:r>
              <w:t xml:space="preserve">None</w:t>
            </w:r>
          </w:p>
        </w:tc>
        <w:tc>
          <w:tcPr>
            <w:tcW w:type="dxa" w:w="1900"/>
            <w:tcBorders>
              <w:top w:val="single" w:color="374151" w:sz="4"/>
              <w:left w:val="single" w:color="374151" w:sz="4"/>
              <w:bottom w:val="single" w:color="374151" w:sz="4"/>
              <w:right w:val="single" w:color="374151" w:sz="4"/>
            </w:tcBorders>
          </w:tcPr>
          <w:p>
            <w:pPr>
              <w:spacing w:after="60"/>
            </w:pPr>
            <w:r>
              <w:t xml:space="preserve">Apify Quora scraper</w:t>
            </w:r>
          </w:p>
        </w:tc>
        <w:tc>
          <w:tcPr>
            <w:tcW w:type="dxa" w:w="1300"/>
            <w:tcBorders>
              <w:top w:val="single" w:color="374151" w:sz="4"/>
              <w:left w:val="single" w:color="374151" w:sz="4"/>
              <w:bottom w:val="single" w:color="374151" w:sz="4"/>
              <w:right w:val="single" w:color="374151" w:sz="4"/>
            </w:tcBorders>
          </w:tcPr>
          <w:p>
            <w:pPr>
              <w:spacing w:after="60"/>
            </w:pPr>
            <w:r>
              <w:t xml:space="preserve">~$2–3/run</w:t>
            </w:r>
          </w:p>
        </w:tc>
        <w:tc>
          <w:tcPr>
            <w:tcW w:type="dxa" w:w="3160"/>
            <w:tcBorders>
              <w:top w:val="single" w:color="374151" w:sz="4"/>
              <w:left w:val="single" w:color="374151" w:sz="4"/>
              <w:bottom w:val="single" w:color="374151" w:sz="4"/>
              <w:right w:val="single" w:color="374151" w:sz="4"/>
            </w:tcBorders>
          </w:tcPr>
          <w:p>
            <w:pPr>
              <w:spacing w:after="60"/>
            </w:pPr>
            <w:r>
              <w:t xml:space="preserve">Long-form Indian Q&amp;A — high relevance for FMCG and beverage brands</w:t>
            </w:r>
          </w:p>
        </w:tc>
      </w:tr>
      <w:tr>
        <w:tc>
          <w:tcPr>
            <w:tcW w:type="dxa" w:w="1300"/>
            <w:tcBorders>
              <w:top w:val="single" w:color="374151" w:sz="4"/>
              <w:left w:val="single" w:color="374151" w:sz="4"/>
              <w:bottom w:val="single" w:color="374151" w:sz="4"/>
              <w:right w:val="single" w:color="374151" w:sz="4"/>
            </w:tcBorders>
          </w:tcPr>
          <w:p>
            <w:pPr>
              <w:spacing w:after="60"/>
            </w:pPr>
            <w:r>
              <w:t xml:space="preserve">Facebook Pages</w:t>
            </w:r>
          </w:p>
        </w:tc>
        <w:tc>
          <w:tcPr>
            <w:tcW w:type="dxa" w:w="1700"/>
            <w:tcBorders>
              <w:top w:val="single" w:color="374151" w:sz="4"/>
              <w:left w:val="single" w:color="374151" w:sz="4"/>
              <w:bottom w:val="single" w:color="374151" w:sz="4"/>
              <w:right w:val="single" w:color="374151" w:sz="4"/>
            </w:tcBorders>
          </w:tcPr>
          <w:p>
            <w:pPr>
              <w:spacing w:after="60"/>
            </w:pPr>
            <w:r>
              <w:t xml:space="preserve">None (CrowdTangle shut down August 2024; Graph API has no keyword search and requires app review)</w:t>
            </w:r>
          </w:p>
        </w:tc>
        <w:tc>
          <w:tcPr>
            <w:tcW w:type="dxa" w:w="1900"/>
            <w:tcBorders>
              <w:top w:val="single" w:color="374151" w:sz="4"/>
              <w:left w:val="single" w:color="374151" w:sz="4"/>
              <w:bottom w:val="single" w:color="374151" w:sz="4"/>
              <w:right w:val="single" w:color="374151" w:sz="4"/>
            </w:tcBorders>
          </w:tcPr>
          <w:p>
            <w:pPr>
              <w:spacing w:after="60"/>
            </w:pPr>
            <w:r>
              <w:t xml:space="preserve">Option A: Apify Facebook Pages Scraper — targets brand Pages by URL</w:t>
            </w:r>
          </w:p>
        </w:tc>
        <w:tc>
          <w:tcPr>
            <w:tcW w:type="dxa" w:w="1300"/>
            <w:tcBorders>
              <w:top w:val="single" w:color="374151" w:sz="4"/>
              <w:left w:val="single" w:color="374151" w:sz="4"/>
              <w:bottom w:val="single" w:color="374151" w:sz="4"/>
              <w:right w:val="single" w:color="374151" w:sz="4"/>
            </w:tcBorders>
          </w:tcPr>
          <w:p>
            <w:pPr>
              <w:spacing w:after="60"/>
            </w:pPr>
            <w:r>
              <w:t xml:space="preserve">~$15–30/run on $99–199/month plan</w:t>
            </w:r>
          </w:p>
        </w:tc>
        <w:tc>
          <w:tcPr>
            <w:tcW w:type="dxa" w:w="3160"/>
            <w:tcBorders>
              <w:top w:val="single" w:color="374151" w:sz="4"/>
              <w:left w:val="single" w:color="374151" w:sz="4"/>
              <w:bottom w:val="single" w:color="374151" w:sz="4"/>
              <w:right w:val="single" w:color="374151" w:sz="4"/>
            </w:tcBorders>
          </w:tcPr>
          <w:p>
            <w:pPr>
              <w:spacing w:after="60"/>
            </w:pPr>
            <w:r>
              <w:t xml:space="preserve">Public Page posts and comments. No keyword search across Facebook. Comment authors masked per Meta policy.</w:t>
            </w:r>
          </w:p>
        </w:tc>
      </w:tr>
      <w:tr>
        <w:tc>
          <w:tcPr>
            <w:tcW w:type="dxa" w:w="1300"/>
            <w:tcBorders>
              <w:top w:val="single" w:color="374151" w:sz="4"/>
              <w:left w:val="single" w:color="374151" w:sz="4"/>
              <w:bottom w:val="single" w:color="374151" w:sz="4"/>
              <w:right w:val="single" w:color="374151" w:sz="4"/>
            </w:tcBorders>
          </w:tcPr>
          <w:p>
            <w:pPr>
              <w:spacing w:after="60"/>
            </w:pPr>
            <w:r>
              <w:t xml:space="preserve">Facebook Pages</w:t>
            </w:r>
          </w:p>
        </w:tc>
        <w:tc>
          <w:tcPr>
            <w:tcW w:type="dxa" w:w="1700"/>
            <w:tcBorders>
              <w:top w:val="single" w:color="374151" w:sz="4"/>
              <w:left w:val="single" w:color="374151" w:sz="4"/>
              <w:bottom w:val="single" w:color="374151" w:sz="4"/>
              <w:right w:val="single" w:color="374151" w:sz="4"/>
            </w:tcBorders>
          </w:tcPr>
          <w:p>
            <w:pPr>
              <w:spacing w:after="60"/>
            </w:pPr>
            <w:r>
              <w:t xml:space="preserve">None</w:t>
            </w:r>
          </w:p>
        </w:tc>
        <w:tc>
          <w:tcPr>
            <w:tcW w:type="dxa" w:w="1900"/>
            <w:tcBorders>
              <w:top w:val="single" w:color="374151" w:sz="4"/>
              <w:left w:val="single" w:color="374151" w:sz="4"/>
              <w:bottom w:val="single" w:color="374151" w:sz="4"/>
              <w:right w:val="single" w:color="374151" w:sz="4"/>
            </w:tcBorders>
          </w:tcPr>
          <w:p>
            <w:pPr>
              <w:spacing w:after="60"/>
            </w:pPr>
            <w:r>
              <w:t xml:space="preserve">Option B: Bright Data — enterprise-grade, more stable than Apify</w:t>
            </w:r>
          </w:p>
        </w:tc>
        <w:tc>
          <w:tcPr>
            <w:tcW w:type="dxa" w:w="1300"/>
            <w:tcBorders>
              <w:top w:val="single" w:color="374151" w:sz="4"/>
              <w:left w:val="single" w:color="374151" w:sz="4"/>
              <w:bottom w:val="single" w:color="374151" w:sz="4"/>
              <w:right w:val="single" w:color="374151" w:sz="4"/>
            </w:tcBorders>
          </w:tcPr>
          <w:p>
            <w:pPr>
              <w:spacing w:after="60"/>
            </w:pPr>
            <w:r>
              <w:t xml:space="preserve">~$50–100/run; $499/month base</w:t>
            </w:r>
          </w:p>
        </w:tc>
        <w:tc>
          <w:tcPr>
            <w:tcW w:type="dxa" w:w="3160"/>
            <w:tcBorders>
              <w:top w:val="single" w:color="374151" w:sz="4"/>
              <w:left w:val="single" w:color="374151" w:sz="4"/>
              <w:bottom w:val="single" w:color="374151" w:sz="4"/>
              <w:right w:val="single" w:color="374151" w:sz="4"/>
            </w:tcBorders>
          </w:tcPr>
          <w:p>
            <w:pPr>
              <w:spacing w:after="60"/>
            </w:pPr>
            <w:r>
              <w:t xml:space="preserve">Same coverage as Apify but more resilient to Meta front-end changes</w:t>
            </w:r>
          </w:p>
        </w:tc>
      </w:tr>
      <w:tr>
        <w:tc>
          <w:tcPr>
            <w:tcW w:type="dxa" w:w="1300"/>
            <w:tcBorders>
              <w:top w:val="single" w:color="374151" w:sz="4"/>
              <w:left w:val="single" w:color="374151" w:sz="4"/>
              <w:bottom w:val="single" w:color="374151" w:sz="4"/>
              <w:right w:val="single" w:color="374151" w:sz="4"/>
            </w:tcBorders>
          </w:tcPr>
          <w:p>
            <w:pPr>
              <w:spacing w:after="60"/>
            </w:pPr>
            <w:r>
              <w:t xml:space="preserve">Facebook Pages</w:t>
            </w:r>
          </w:p>
        </w:tc>
        <w:tc>
          <w:tcPr>
            <w:tcW w:type="dxa" w:w="1700"/>
            <w:tcBorders>
              <w:top w:val="single" w:color="374151" w:sz="4"/>
              <w:left w:val="single" w:color="374151" w:sz="4"/>
              <w:bottom w:val="single" w:color="374151" w:sz="4"/>
              <w:right w:val="single" w:color="374151" w:sz="4"/>
            </w:tcBorders>
          </w:tcPr>
          <w:p>
            <w:pPr>
              <w:spacing w:after="60"/>
            </w:pPr>
            <w:r>
              <w:t xml:space="preserve">None</w:t>
            </w:r>
          </w:p>
        </w:tc>
        <w:tc>
          <w:tcPr>
            <w:tcW w:type="dxa" w:w="1900"/>
            <w:tcBorders>
              <w:top w:val="single" w:color="374151" w:sz="4"/>
              <w:left w:val="single" w:color="374151" w:sz="4"/>
              <w:bottom w:val="single" w:color="374151" w:sz="4"/>
              <w:right w:val="single" w:color="374151" w:sz="4"/>
            </w:tcBorders>
          </w:tcPr>
          <w:p>
            <w:pPr>
              <w:spacing w:after="60"/>
            </w:pPr>
            <w:r>
              <w:t xml:space="preserve">Option C: Data365 — Facebook/Instagram data feed</w:t>
            </w:r>
          </w:p>
        </w:tc>
        <w:tc>
          <w:tcPr>
            <w:tcW w:type="dxa" w:w="1300"/>
            <w:tcBorders>
              <w:top w:val="single" w:color="374151" w:sz="4"/>
              <w:left w:val="single" w:color="374151" w:sz="4"/>
              <w:bottom w:val="single" w:color="374151" w:sz="4"/>
              <w:right w:val="single" w:color="374151" w:sz="4"/>
            </w:tcBorders>
          </w:tcPr>
          <w:p>
            <w:pPr>
              <w:spacing w:after="60"/>
            </w:pPr>
            <w:r>
              <w:t xml:space="preserve">300–850 euros/month</w:t>
            </w:r>
          </w:p>
        </w:tc>
        <w:tc>
          <w:tcPr>
            <w:tcW w:type="dxa" w:w="3160"/>
            <w:tcBorders>
              <w:top w:val="single" w:color="374151" w:sz="4"/>
              <w:left w:val="single" w:color="374151" w:sz="4"/>
              <w:bottom w:val="single" w:color="374151" w:sz="4"/>
              <w:right w:val="single" w:color="374151" w:sz="4"/>
            </w:tcBorders>
          </w:tcPr>
          <w:p>
            <w:pPr>
              <w:spacing w:after="60"/>
            </w:pPr>
            <w:r>
              <w:t xml:space="preserve">500K credits/month (~100K posts with comments); powers several enterprise social listening tools</w:t>
            </w:r>
          </w:p>
        </w:tc>
      </w:tr>
      <w:tr>
        <w:tc>
          <w:tcPr>
            <w:tcW w:type="dxa" w:w="1300"/>
            <w:tcBorders>
              <w:top w:val="single" w:color="374151" w:sz="4"/>
              <w:left w:val="single" w:color="374151" w:sz="4"/>
              <w:bottom w:val="single" w:color="374151" w:sz="4"/>
              <w:right w:val="single" w:color="374151" w:sz="4"/>
            </w:tcBorders>
          </w:tcPr>
          <w:p>
            <w:pPr>
              <w:spacing w:after="60"/>
            </w:pPr>
            <w:r>
              <w:t xml:space="preserve">Instagram</w:t>
            </w:r>
          </w:p>
        </w:tc>
        <w:tc>
          <w:tcPr>
            <w:tcW w:type="dxa" w:w="1700"/>
            <w:tcBorders>
              <w:top w:val="single" w:color="374151" w:sz="4"/>
              <w:left w:val="single" w:color="374151" w:sz="4"/>
              <w:bottom w:val="single" w:color="374151" w:sz="4"/>
              <w:right w:val="single" w:color="374151" w:sz="4"/>
            </w:tcBorders>
          </w:tcPr>
          <w:p>
            <w:pPr>
              <w:spacing w:after="60"/>
            </w:pPr>
            <w:r>
              <w:t xml:space="preserve">None (Basic Display API shut down December 2024; hashtag API limited to 30 hashtags/week)</w:t>
            </w:r>
          </w:p>
        </w:tc>
        <w:tc>
          <w:tcPr>
            <w:tcW w:type="dxa" w:w="1900"/>
            <w:tcBorders>
              <w:top w:val="single" w:color="374151" w:sz="4"/>
              <w:left w:val="single" w:color="374151" w:sz="4"/>
              <w:bottom w:val="single" w:color="374151" w:sz="4"/>
              <w:right w:val="single" w:color="374151" w:sz="4"/>
            </w:tcBorders>
          </w:tcPr>
          <w:p>
            <w:pPr>
              <w:spacing w:after="60"/>
            </w:pPr>
            <w:r>
              <w:t xml:space="preserve">Apify Instagram Comment Scraper (bundled with Facebook plan)</w:t>
            </w:r>
          </w:p>
        </w:tc>
        <w:tc>
          <w:tcPr>
            <w:tcW w:type="dxa" w:w="1300"/>
            <w:tcBorders>
              <w:top w:val="single" w:color="374151" w:sz="4"/>
              <w:left w:val="single" w:color="374151" w:sz="4"/>
              <w:bottom w:val="single" w:color="374151" w:sz="4"/>
              <w:right w:val="single" w:color="374151" w:sz="4"/>
            </w:tcBorders>
          </w:tcPr>
          <w:p>
            <w:pPr>
              <w:spacing w:after="60"/>
            </w:pPr>
            <w:r>
              <w:t xml:space="preserve">Included in Facebook plan above</w:t>
            </w:r>
          </w:p>
        </w:tc>
        <w:tc>
          <w:tcPr>
            <w:tcW w:type="dxa" w:w="3160"/>
            <w:tcBorders>
              <w:top w:val="single" w:color="374151" w:sz="4"/>
              <w:left w:val="single" w:color="374151" w:sz="4"/>
              <w:bottom w:val="single" w:color="374151" w:sz="4"/>
              <w:right w:val="single" w:color="374151" w:sz="4"/>
            </w:tcBorders>
          </w:tcPr>
          <w:p>
            <w:pPr>
              <w:spacing w:after="60"/>
            </w:pPr>
            <w:r>
              <w:t xml:space="preserve">Public brand account posts and comments. Non-owned account comments not available per Meta policy.</w:t>
            </w:r>
          </w:p>
        </w:tc>
      </w:tr>
      <w:tr>
        <w:tc>
          <w:tcPr>
            <w:tcW w:type="dxa" w:w="1300"/>
            <w:tcBorders>
              <w:top w:val="single" w:color="374151" w:sz="4"/>
              <w:left w:val="single" w:color="374151" w:sz="4"/>
              <w:bottom w:val="single" w:color="374151" w:sz="4"/>
              <w:right w:val="single" w:color="374151" w:sz="4"/>
            </w:tcBorders>
          </w:tcPr>
          <w:p>
            <w:pPr>
              <w:spacing w:after="60"/>
            </w:pPr>
            <w:r>
              <w:t xml:space="preserve">Twitter/X</w:t>
            </w:r>
          </w:p>
        </w:tc>
        <w:tc>
          <w:tcPr>
            <w:tcW w:type="dxa" w:w="1700"/>
            <w:tcBorders>
              <w:top w:val="single" w:color="374151" w:sz="4"/>
              <w:left w:val="single" w:color="374151" w:sz="4"/>
              <w:bottom w:val="single" w:color="374151" w:sz="4"/>
              <w:right w:val="single" w:color="374151" w:sz="4"/>
            </w:tcBorders>
          </w:tcPr>
          <w:p>
            <w:pPr>
              <w:spacing w:after="60"/>
            </w:pPr>
            <w:r>
              <w:t xml:space="preserve">None (API paywalled)</w:t>
            </w:r>
          </w:p>
        </w:tc>
        <w:tc>
          <w:tcPr>
            <w:tcW w:type="dxa" w:w="1900"/>
            <w:tcBorders>
              <w:top w:val="single" w:color="374151" w:sz="4"/>
              <w:left w:val="single" w:color="374151" w:sz="4"/>
              <w:bottom w:val="single" w:color="374151" w:sz="4"/>
              <w:right w:val="single" w:color="374151" w:sz="4"/>
            </w:tcBorders>
          </w:tcPr>
          <w:p>
            <w:pPr>
              <w:spacing w:after="60"/>
            </w:pPr>
            <w:r>
              <w:t xml:space="preserve">X API Pro</w:t>
            </w:r>
          </w:p>
        </w:tc>
        <w:tc>
          <w:tcPr>
            <w:tcW w:type="dxa" w:w="1300"/>
            <w:tcBorders>
              <w:top w:val="single" w:color="374151" w:sz="4"/>
              <w:left w:val="single" w:color="374151" w:sz="4"/>
              <w:bottom w:val="single" w:color="374151" w:sz="4"/>
              <w:right w:val="single" w:color="374151" w:sz="4"/>
            </w:tcBorders>
          </w:tcPr>
          <w:p>
            <w:pPr>
              <w:spacing w:after="60"/>
            </w:pPr>
            <w:r>
              <w:t xml:space="preserve">$5,000/month</w:t>
            </w:r>
          </w:p>
        </w:tc>
        <w:tc>
          <w:tcPr>
            <w:tcW w:type="dxa" w:w="3160"/>
            <w:tcBorders>
              <w:top w:val="single" w:color="374151" w:sz="4"/>
              <w:left w:val="single" w:color="374151" w:sz="4"/>
              <w:bottom w:val="single" w:color="374151" w:sz="4"/>
              <w:right w:val="single" w:color="374151" w:sz="4"/>
            </w:tcBorders>
          </w:tcPr>
          <w:p>
            <w:pPr>
              <w:spacing w:after="60"/>
            </w:pPr>
            <w:r>
              <w:t xml:space="preserve">X conversations — poor ROI for Indian FMCG; X India skews urban and political, not a beverage audience</w:t>
            </w:r>
          </w:p>
        </w:tc>
      </w:tr>
    </w:tbl>
    <w:p>
      <w:pPr>
        <w:spacing w:after="200"/>
      </w:pPr>
    </w:p>
    <w:p>
      <w:pPr>
        <w:pStyle w:val="Heading3"/>
        <w:spacing w:after="150" w:before="300"/>
      </w:pPr>
      <w:r>
        <w:t xml:space="preserve">New Sources That Plug Into the Same Framework</w:t>
      </w:r>
    </w:p>
    <w:p>
      <w:pPr>
        <w:spacing w:after="160"/>
      </w:pPr>
      <w:r>
        <w:t xml:space="preserve">The following sources can be added without touching any existing pipeline stage:</w:t>
      </w:r>
    </w:p>
    <w:p>
      <w:pPr>
        <w:pStyle w:val="ListParagraph"/>
        <w:numPr>
          <w:ilvl w:val="0"/>
          <w:numId w:val="1"/>
        </w:numPr>
        <w:spacing w:after="100"/>
      </w:pPr>
      <w:r>
        <w:t xml:space="preserve">Amazon and Flipkart reviews: Verified buyers discussing your exact product — the highest-quality consumer signal available. Add collectors/amazon.py or collectors/flipkart.py. Output goes into Stage 2 normalization unchanged.</w:t>
      </w:r>
    </w:p>
    <w:p>
      <w:pPr>
        <w:pStyle w:val="ListParagraph"/>
        <w:numPr>
          <w:ilvl w:val="0"/>
          <w:numId w:val="1"/>
        </w:numPr>
        <w:spacing w:after="100"/>
      </w:pPr>
      <w:r>
        <w:t xml:space="preserve">Quora answers: Long-form Indian Q&amp;A with detailed reasoning about brand choices. High relevance for FMCG and beverage brands. Add collectors/quora.py.</w:t>
      </w:r>
    </w:p>
    <w:p>
      <w:pPr>
        <w:pStyle w:val="ListParagraph"/>
        <w:numPr>
          <w:ilvl w:val="0"/>
          <w:numId w:val="1"/>
        </w:numPr>
        <w:spacing w:after="100"/>
      </w:pPr>
      <w:r>
        <w:t xml:space="preserve">Consumer complaint forums: FSSAI, National Consumer Helpline, Jagran Josh. Official complaint signal — captures safety and quality issues that social media underreports. Add collectors/complaints.py.</w:t>
      </w:r>
    </w:p>
    <w:p>
      <w:pPr>
        <w:pStyle w:val="ListParagraph"/>
        <w:numPr>
          <w:ilvl w:val="0"/>
          <w:numId w:val="1"/>
        </w:numPr>
        <w:spacing w:after="100"/>
      </w:pPr>
      <w:r>
        <w:t xml:space="preserve">Zomato and Swiggy reviews: For food and beverage brands, restaurant pairing mentions and product context. Add collectors/delivery.py.</w:t>
      </w:r>
    </w:p>
    <w:p>
      <w:pPr>
        <w:spacing w:after="200"/>
      </w:pPr>
    </w:p>
    <w:p>
      <w:pPr>
        <w:pStyle w:val="Heading3"/>
        <w:spacing w:after="150" w:before="300"/>
      </w:pPr>
      <w:r>
        <w:t xml:space="preserve">Budget Guidance by Report Tier</w:t>
      </w:r>
    </w:p>
    <w:p>
      <w:pPr>
        <w:spacing w:after="160"/>
      </w:pPr>
      <w:r>
        <w:t xml:space="preserve">Free-data tier (~$1–3/run, ~Rs. 85–250):</w:t>
      </w:r>
    </w:p>
    <w:p>
      <w:pPr>
        <w:pStyle w:val="ListParagraph"/>
        <w:numPr>
          <w:ilvl w:val="0"/>
          <w:numId w:val="1"/>
        </w:numPr>
        <w:spacing w:after="100"/>
      </w:pPr>
      <w:r>
        <w:t xml:space="preserve">Data sources: Reddit public API, YouTube (free quota), NewsData.io (200 articles/day), OpenAlex, Google Trends. No Meta data. All data collection is free.</w:t>
      </w:r>
    </w:p>
    <w:p>
      <w:pPr>
        <w:pStyle w:val="ListParagraph"/>
        <w:numPr>
          <w:ilvl w:val="0"/>
          <w:numId w:val="1"/>
        </w:numPr>
        <w:spacing w:after="100"/>
      </w:pPr>
      <w:r>
        <w:t xml:space="preserve">Anthropic API: ~$1–3/run — the only cost.</w:t>
      </w:r>
    </w:p>
    <w:p>
      <w:pPr>
        <w:pStyle w:val="ListParagraph"/>
        <w:numPr>
          <w:ilvl w:val="0"/>
          <w:numId w:val="1"/>
        </w:numPr>
        <w:spacing w:after="100"/>
      </w:pPr>
      <w:r>
        <w:t xml:space="preserve">Corpus: 500–1,000 items.</w:t>
      </w:r>
    </w:p>
    <w:p>
      <w:pPr>
        <w:pStyle w:val="ListParagraph"/>
        <w:numPr>
          <w:ilvl w:val="0"/>
          <w:numId w:val="1"/>
        </w:numPr>
        <w:spacing w:after="100"/>
      </w:pPr>
      <w:r>
        <w:t xml:space="preserve">Suitable for: initial brand scan, directional findings.</w:t>
      </w:r>
    </w:p>
    <w:p>
      <w:pPr>
        <w:spacing w:after="200"/>
      </w:pPr>
    </w:p>
    <w:p>
      <w:pPr>
        <w:spacing w:after="160"/>
      </w:pPr>
      <w:r>
        <w:t xml:space="preserve">Standard tier (~$10–20/run, ~Rs. 850–1,650):</w:t>
      </w:r>
    </w:p>
    <w:p>
      <w:pPr>
        <w:pStyle w:val="ListParagraph"/>
        <w:numPr>
          <w:ilvl w:val="0"/>
          <w:numId w:val="1"/>
        </w:numPr>
        <w:spacing w:after="100"/>
      </w:pPr>
      <w:r>
        <w:t xml:space="preserve">Data sources: All free-tier sources plus Apify Reddit (~$5/run), Apify Amazon/Flipkart (~$5/run), Serper paid (~$1/run amortised at $50/month). No Meta data at this tier.</w:t>
      </w:r>
    </w:p>
    <w:p>
      <w:pPr>
        <w:pStyle w:val="ListParagraph"/>
        <w:numPr>
          <w:ilvl w:val="0"/>
          <w:numId w:val="1"/>
        </w:numPr>
        <w:spacing w:after="100"/>
      </w:pPr>
      <w:r>
        <w:t xml:space="preserve">Anthropic API: ~$3–8/run (larger corpus).</w:t>
      </w:r>
    </w:p>
    <w:p>
      <w:pPr>
        <w:pStyle w:val="ListParagraph"/>
        <w:numPr>
          <w:ilvl w:val="0"/>
          <w:numId w:val="1"/>
        </w:numPr>
        <w:spacing w:after="100"/>
      </w:pPr>
      <w:r>
        <w:t xml:space="preserve">Corpus: 2,000–5,000 items.</w:t>
      </w:r>
    </w:p>
    <w:p>
      <w:pPr>
        <w:pStyle w:val="ListParagraph"/>
        <w:numPr>
          <w:ilvl w:val="0"/>
          <w:numId w:val="1"/>
        </w:numPr>
        <w:spacing w:after="100"/>
      </w:pPr>
      <w:r>
        <w:t xml:space="preserve">Suitable for: quarterly brand tracking, client deliverables.</w:t>
      </w:r>
    </w:p>
    <w:p>
      <w:pPr>
        <w:spacing w:after="200"/>
      </w:pPr>
    </w:p>
    <w:p>
      <w:pPr>
        <w:spacing w:after="160"/>
      </w:pPr>
      <w:r>
        <w:t xml:space="preserve">Premium tier (~$55–100/run, ~Rs. 4,600–8,300):</w:t>
      </w:r>
    </w:p>
    <w:p>
      <w:pPr>
        <w:pStyle w:val="ListParagraph"/>
        <w:numPr>
          <w:ilvl w:val="0"/>
          <w:numId w:val="1"/>
        </w:numPr>
        <w:spacing w:after="100"/>
      </w:pPr>
      <w:r>
        <w:t xml:space="preserve">Data sources: All standard sources plus NewsData.io Basic ($149/month), Quora Apify (~$3/run), Facebook Pages and Instagram via Apify (~$15–30/run) or Bright Data (~$50–100/run) or Data365 (~10–30 euros/run).</w:t>
      </w:r>
    </w:p>
    <w:p>
      <w:pPr>
        <w:pStyle w:val="ListParagraph"/>
        <w:numPr>
          <w:ilvl w:val="0"/>
          <w:numId w:val="1"/>
        </w:numPr>
        <w:spacing w:after="100"/>
      </w:pPr>
      <w:r>
        <w:t xml:space="preserve">Anthropic API: ~$8–15/run (8,000–15,000 items).</w:t>
      </w:r>
    </w:p>
    <w:p>
      <w:pPr>
        <w:pStyle w:val="ListParagraph"/>
        <w:numPr>
          <w:ilvl w:val="0"/>
          <w:numId w:val="1"/>
        </w:numPr>
        <w:spacing w:after="100"/>
      </w:pPr>
      <w:r>
        <w:t xml:space="preserve">Corpus: 8,000–15,000 items.</w:t>
      </w:r>
    </w:p>
    <w:p>
      <w:pPr>
        <w:pStyle w:val="ListParagraph"/>
        <w:numPr>
          <w:ilvl w:val="0"/>
          <w:numId w:val="1"/>
        </w:numPr>
        <w:spacing w:after="100"/>
      </w:pPr>
      <w:r>
        <w:t xml:space="preserve">Suitable for: high-stakes decisions including campaign briefs, product launches, and investor materials.</w:t>
      </w:r>
    </w:p>
    <w:p>
      <w:pPr>
        <w:pStyle w:val="ListParagraph"/>
        <w:numPr>
          <w:ilvl w:val="0"/>
          <w:numId w:val="1"/>
        </w:numPr>
        <w:spacing w:after="100"/>
      </w:pPr>
      <w:r>
        <w:t xml:space="preserve">Note: Meta scraping can be the single largest line item at this tier.</w:t>
      </w:r>
    </w:p>
    <w:p>
      <w:pPr>
        <w:spacing w:after="200"/>
      </w:pPr>
    </w:p>
    <w:p>
      <w:pPr>
        <w:pStyle w:val="Heading3"/>
        <w:spacing w:after="150" w:before="300"/>
      </w:pPr>
      <w:r>
        <w:t xml:space="preserve">How to Configure</w:t>
      </w:r>
    </w:p>
    <w:p>
      <w:pPr>
        <w:spacing w:after="160"/>
      </w:pPr>
      <w:r>
        <w:t xml:space="preserve">All paid API keys go in the .env file alongside the existing keys. Collection limits are set in config.py — increase max_posts, max_videos, and max_articles as needed. No changes are required to normalization, filtering, analysis, scoring, or reporting. Apify collectors require an APIFY_API_KEY — one line added to .env.</w:t>
      </w:r>
    </w:p>
    <w:p>
      <w:pPr>
        <w:spacing w:after="200"/>
      </w:pPr>
    </w:p>
    <w:p>
      <w:pPr>
        <w:pStyle w:val="Heading1"/>
        <w:spacing w:after="200" w:before="400"/>
      </w:pPr>
      <w:r>
        <w:t xml:space="preserve">Extending to Meta, Twitter/X and Social Listening Platforms</w:t>
      </w:r>
    </w:p>
    <w:p>
      <w:pPr>
        <w:pStyle w:val="Heading3"/>
        <w:spacing w:after="150" w:before="300"/>
      </w:pPr>
      <w:r>
        <w:t xml:space="preserve">The Meta Reality</w:t>
      </w:r>
    </w:p>
    <w:p>
      <w:pPr>
        <w:spacing w:after="160"/>
      </w:pPr>
      <w:r>
        <w:t xml:space="preserve">Meta has systematically restricted API access since 2018, and the situation worsened significantly in 2024:</w:t>
      </w:r>
    </w:p>
    <w:p>
      <w:pPr>
        <w:pStyle w:val="ListParagraph"/>
        <w:numPr>
          <w:ilvl w:val="0"/>
          <w:numId w:val="1"/>
        </w:numPr>
        <w:spacing w:after="100"/>
      </w:pPr>
      <w:r>
        <w:t xml:space="preserve">CrowdTangle, the tool most social researchers relied on for Facebook data, was shut down on August 14, 2024. Its replacement (Meta Content Library) is available to academic institutions and nonprofits only. For-profit firms cannot access it.</w:t>
      </w:r>
    </w:p>
    <w:p>
      <w:pPr>
        <w:pStyle w:val="ListParagraph"/>
        <w:numPr>
          <w:ilvl w:val="0"/>
          <w:numId w:val="1"/>
        </w:numPr>
        <w:spacing w:after="100"/>
      </w:pPr>
      <w:r>
        <w:t xml:space="preserve">Facebook Graph API: Can retrieve public Page posts and aggregate engagement for pages you do not own, but only with Meta App Review approval (a process that takes weeks to months and can be rejected). Keyword search across Facebook was deprecated years ago. Groups are not accessible. Comment authors are masked as "Facebook user" by Meta policy.</w:t>
      </w:r>
    </w:p>
    <w:p>
      <w:pPr>
        <w:pStyle w:val="ListParagraph"/>
        <w:numPr>
          <w:ilvl w:val="0"/>
          <w:numId w:val="1"/>
        </w:numPr>
        <w:spacing w:after="100"/>
      </w:pPr>
      <w:r>
        <w:t xml:space="preserve">Instagram Graph API: The Basic Display API was shut down on December 4, 2024. The current API provides hashtag data for up to 30 unique hashtags per week per connected Business Account — too limited for research. Comments on non-owned accounts are not available.</w:t>
      </w:r>
    </w:p>
    <w:p>
      <w:pPr>
        <w:pStyle w:val="ListParagraph"/>
        <w:numPr>
          <w:ilvl w:val="0"/>
          <w:numId w:val="1"/>
        </w:numPr>
        <w:spacing w:after="100"/>
      </w:pPr>
      <w:r>
        <w:t xml:space="preserve">Legal note: In January 2024, a US federal court ruled in Meta v. Bright Data that scraping publicly visible Facebook and Instagram data does not violate the Computer Fraud and Abuse Act (CFAA). Meta's Terms of Service still prohibit scraping, but the CFAA cannot be used as a federal legal tool to stop it. This is why scraping services like Apify and Bright Data operate openly.</w:t>
      </w:r>
    </w:p>
    <w:p>
      <w:pPr>
        <w:spacing w:after="200"/>
      </w:pPr>
    </w:p>
    <w:p>
      <w:pPr>
        <w:pStyle w:val="Heading3"/>
        <w:spacing w:after="150" w:before="300"/>
      </w:pPr>
      <w:r>
        <w:t xml:space="preserve">What Social Listening Platforms Actually Cover</w:t>
      </w:r>
    </w:p>
    <w:p>
      <w:pPr>
        <w:spacing w:after="160"/>
      </w:pPr>
      <w:r>
        <w:t xml:space="preserve">Enterprise social listening platforms do not have special API access to Facebook or Instagram that is unavailable to others. This is confirmed by their own documentation: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tblGrid>
      <w:tr>
        <w:trPr>
          <w:tblHeader/>
        </w:trPr>
        <w:tc>
          <w:tcPr>
            <w:tcW w:type="dxa" w:w="14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Platform</w:t>
            </w:r>
          </w:p>
        </w:tc>
        <w:tc>
          <w:tcPr>
            <w:tcW w:type="dxa" w:w="17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Annual Cost</w:t>
            </w:r>
          </w:p>
        </w:tc>
        <w:tc>
          <w:tcPr>
            <w:tcW w:type="dxa" w:w="19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Facebook Coverage</w:t>
            </w:r>
          </w:p>
        </w:tc>
        <w:tc>
          <w:tcPr>
            <w:tcW w:type="dxa" w:w="19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Instagram Coverage</w:t>
            </w:r>
          </w:p>
        </w:tc>
        <w:tc>
          <w:tcPr>
            <w:tcW w:type="dxa" w:w="246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What Their Own Docs Say</w:t>
            </w:r>
          </w:p>
        </w:tc>
      </w:tr>
      <w:tr>
        <w:tc>
          <w:tcPr>
            <w:tcW w:type="dxa" w:w="1400"/>
            <w:tcBorders>
              <w:top w:val="single" w:color="374151" w:sz="4"/>
              <w:left w:val="single" w:color="374151" w:sz="4"/>
              <w:bottom w:val="single" w:color="374151" w:sz="4"/>
              <w:right w:val="single" w:color="374151" w:sz="4"/>
            </w:tcBorders>
          </w:tcPr>
          <w:p>
            <w:pPr>
              <w:spacing w:after="60"/>
            </w:pPr>
            <w:r>
              <w:t xml:space="preserve">Sprinklr</w:t>
            </w:r>
          </w:p>
        </w:tc>
        <w:tc>
          <w:tcPr>
            <w:tcW w:type="dxa" w:w="1700"/>
            <w:tcBorders>
              <w:top w:val="single" w:color="374151" w:sz="4"/>
              <w:left w:val="single" w:color="374151" w:sz="4"/>
              <w:bottom w:val="single" w:color="374151" w:sz="4"/>
              <w:right w:val="single" w:color="374151" w:sz="4"/>
            </w:tcBorders>
          </w:tcPr>
          <w:p>
            <w:pPr>
              <w:spacing w:after="60"/>
            </w:pPr>
            <w:r>
              <w:t xml:space="preserve">$15,000–$387,000+/year</w:t>
            </w:r>
          </w:p>
        </w:tc>
        <w:tc>
          <w:tcPr>
            <w:tcW w:type="dxa" w:w="1900"/>
            <w:tcBorders>
              <w:top w:val="single" w:color="374151" w:sz="4"/>
              <w:left w:val="single" w:color="374151" w:sz="4"/>
              <w:bottom w:val="single" w:color="374151" w:sz="4"/>
              <w:right w:val="single" w:color="374151" w:sz="4"/>
            </w:tcBorders>
          </w:tcPr>
          <w:p>
            <w:pPr>
              <w:spacing w:after="60"/>
            </w:pPr>
            <w:r>
              <w:t xml:space="preserve">150K indexed Pages; no keyword search across Facebook</w:t>
            </w:r>
          </w:p>
        </w:tc>
        <w:tc>
          <w:tcPr>
            <w:tcW w:type="dxa" w:w="1900"/>
            <w:tcBorders>
              <w:top w:val="single" w:color="374151" w:sz="4"/>
              <w:left w:val="single" w:color="374151" w:sz="4"/>
              <w:bottom w:val="single" w:color="374151" w:sz="4"/>
              <w:right w:val="single" w:color="374151" w:sz="4"/>
            </w:tcBorders>
          </w:tcPr>
          <w:p>
            <w:pPr>
              <w:spacing w:after="60"/>
            </w:pPr>
            <w:r>
              <w:t xml:space="preserve">Limited</w:t>
            </w:r>
          </w:p>
        </w:tc>
        <w:tc>
          <w:tcPr>
            <w:tcW w:type="dxa" w:w="2460"/>
            <w:tcBorders>
              <w:top w:val="single" w:color="374151" w:sz="4"/>
              <w:left w:val="single" w:color="374151" w:sz="4"/>
              <w:bottom w:val="single" w:color="374151" w:sz="4"/>
              <w:right w:val="single" w:color="374151" w:sz="4"/>
            </w:tcBorders>
          </w:tcPr>
          <w:p>
            <w:pPr>
              <w:spacing w:after="60"/>
            </w:pPr>
            <w:r>
              <w:t xml:space="preserve">"Facebook deprecated the broad keyword-based search API. Any listening topic based on keyword search will not fetch from Facebook." Comment authors masked.</w:t>
            </w:r>
          </w:p>
        </w:tc>
      </w:tr>
      <w:tr>
        <w:tc>
          <w:tcPr>
            <w:tcW w:type="dxa" w:w="1400"/>
            <w:tcBorders>
              <w:top w:val="single" w:color="374151" w:sz="4"/>
              <w:left w:val="single" w:color="374151" w:sz="4"/>
              <w:bottom w:val="single" w:color="374151" w:sz="4"/>
              <w:right w:val="single" w:color="374151" w:sz="4"/>
            </w:tcBorders>
          </w:tcPr>
          <w:p>
            <w:pPr>
              <w:spacing w:after="60"/>
            </w:pPr>
            <w:r>
              <w:t xml:space="preserve">Brandwatch</w:t>
            </w:r>
          </w:p>
        </w:tc>
        <w:tc>
          <w:tcPr>
            <w:tcW w:type="dxa" w:w="1700"/>
            <w:tcBorders>
              <w:top w:val="single" w:color="374151" w:sz="4"/>
              <w:left w:val="single" w:color="374151" w:sz="4"/>
              <w:bottom w:val="single" w:color="374151" w:sz="4"/>
              <w:right w:val="single" w:color="374151" w:sz="4"/>
            </w:tcBorders>
          </w:tcPr>
          <w:p>
            <w:pPr>
              <w:spacing w:after="60"/>
            </w:pPr>
            <w:r>
              <w:t xml:space="preserve">$20,000–$150,000+/year</w:t>
            </w:r>
          </w:p>
        </w:tc>
        <w:tc>
          <w:tcPr>
            <w:tcW w:type="dxa" w:w="1900"/>
            <w:tcBorders>
              <w:top w:val="single" w:color="374151" w:sz="4"/>
              <w:left w:val="single" w:color="374151" w:sz="4"/>
              <w:bottom w:val="single" w:color="374151" w:sz="4"/>
              <w:right w:val="single" w:color="374151" w:sz="4"/>
            </w:tcBorders>
          </w:tcPr>
          <w:p>
            <w:pPr>
              <w:spacing w:after="60"/>
            </w:pPr>
            <w:r>
              <w:t xml:space="preserve">Public Page posts (limited)</w:t>
            </w:r>
          </w:p>
        </w:tc>
        <w:tc>
          <w:tcPr>
            <w:tcW w:type="dxa" w:w="1900"/>
            <w:tcBorders>
              <w:top w:val="single" w:color="374151" w:sz="4"/>
              <w:left w:val="single" w:color="374151" w:sz="4"/>
              <w:bottom w:val="single" w:color="374151" w:sz="4"/>
              <w:right w:val="single" w:color="374151" w:sz="4"/>
            </w:tcBorders>
          </w:tcPr>
          <w:p>
            <w:pPr>
              <w:spacing w:after="60"/>
            </w:pPr>
            <w:r>
              <w:t xml:space="preserve">720K indexed accounts (posts only, no comments on non-owned accounts)</w:t>
            </w:r>
          </w:p>
        </w:tc>
        <w:tc>
          <w:tcPr>
            <w:tcW w:type="dxa" w:w="2460"/>
            <w:tcBorders>
              <w:top w:val="single" w:color="374151" w:sz="4"/>
              <w:left w:val="single" w:color="374151" w:sz="4"/>
              <w:bottom w:val="single" w:color="374151" w:sz="4"/>
              <w:right w:val="single" w:color="374151" w:sz="4"/>
            </w:tcBorders>
          </w:tcPr>
          <w:p>
            <w:pPr>
              <w:spacing w:after="60"/>
            </w:pPr>
            <w:r>
              <w:t xml:space="preserve">Cannot retrieve comments on Instagram accounts you do not own</w:t>
            </w:r>
          </w:p>
        </w:tc>
      </w:tr>
      <w:tr>
        <w:tc>
          <w:tcPr>
            <w:tcW w:type="dxa" w:w="1400"/>
            <w:tcBorders>
              <w:top w:val="single" w:color="374151" w:sz="4"/>
              <w:left w:val="single" w:color="374151" w:sz="4"/>
              <w:bottom w:val="single" w:color="374151" w:sz="4"/>
              <w:right w:val="single" w:color="374151" w:sz="4"/>
            </w:tcBorders>
          </w:tcPr>
          <w:p>
            <w:pPr>
              <w:spacing w:after="60"/>
            </w:pPr>
            <w:r>
              <w:t xml:space="preserve">Meltwater</w:t>
            </w:r>
          </w:p>
        </w:tc>
        <w:tc>
          <w:tcPr>
            <w:tcW w:type="dxa" w:w="1700"/>
            <w:tcBorders>
              <w:top w:val="single" w:color="374151" w:sz="4"/>
              <w:left w:val="single" w:color="374151" w:sz="4"/>
              <w:bottom w:val="single" w:color="374151" w:sz="4"/>
              <w:right w:val="single" w:color="374151" w:sz="4"/>
            </w:tcBorders>
          </w:tcPr>
          <w:p>
            <w:pPr>
              <w:spacing w:after="60"/>
            </w:pPr>
            <w:r>
              <w:t xml:space="preserve">$6,000–$100,000+/year</w:t>
            </w:r>
          </w:p>
        </w:tc>
        <w:tc>
          <w:tcPr>
            <w:tcW w:type="dxa" w:w="1900"/>
            <w:tcBorders>
              <w:top w:val="single" w:color="374151" w:sz="4"/>
              <w:left w:val="single" w:color="374151" w:sz="4"/>
              <w:bottom w:val="single" w:color="374151" w:sz="4"/>
              <w:right w:val="single" w:color="374151" w:sz="4"/>
            </w:tcBorders>
          </w:tcPr>
          <w:p>
            <w:pPr>
              <w:spacing w:after="60"/>
            </w:pPr>
            <w:r>
              <w:t xml:space="preserve">Only your own connected accounts; no competitor data without their credentials</w:t>
            </w:r>
          </w:p>
        </w:tc>
        <w:tc>
          <w:tcPr>
            <w:tcW w:type="dxa" w:w="1900"/>
            <w:tcBorders>
              <w:top w:val="single" w:color="374151" w:sz="4"/>
              <w:left w:val="single" w:color="374151" w:sz="4"/>
              <w:bottom w:val="single" w:color="374151" w:sz="4"/>
              <w:right w:val="single" w:color="374151" w:sz="4"/>
            </w:tcBorders>
          </w:tcPr>
          <w:p>
            <w:pPr>
              <w:spacing w:after="60"/>
            </w:pPr>
            <w:r>
              <w:t xml:space="preserve">Only your own connected accounts</w:t>
            </w:r>
          </w:p>
        </w:tc>
        <w:tc>
          <w:tcPr>
            <w:tcW w:type="dxa" w:w="2460"/>
            <w:tcBorders>
              <w:top w:val="single" w:color="374151" w:sz="4"/>
              <w:left w:val="single" w:color="374151" w:sz="4"/>
              <w:bottom w:val="single" w:color="374151" w:sz="4"/>
              <w:right w:val="single" w:color="374151" w:sz="4"/>
            </w:tcBorders>
          </w:tcPr>
          <w:p>
            <w:pPr>
              <w:spacing w:after="60"/>
            </w:pPr>
            <w:r>
              <w:t xml:space="preserve">Requires connecting brand-owned Meta accounts</w:t>
            </w:r>
          </w:p>
        </w:tc>
      </w:tr>
      <w:tr>
        <w:tc>
          <w:tcPr>
            <w:tcW w:type="dxa" w:w="1400"/>
            <w:tcBorders>
              <w:top w:val="single" w:color="374151" w:sz="4"/>
              <w:left w:val="single" w:color="374151" w:sz="4"/>
              <w:bottom w:val="single" w:color="374151" w:sz="4"/>
              <w:right w:val="single" w:color="374151" w:sz="4"/>
            </w:tcBorders>
          </w:tcPr>
          <w:p>
            <w:pPr>
              <w:spacing w:after="60"/>
            </w:pPr>
            <w:r>
              <w:t xml:space="preserve">Talkwalker (now Hootsuite)</w:t>
            </w:r>
          </w:p>
        </w:tc>
        <w:tc>
          <w:tcPr>
            <w:tcW w:type="dxa" w:w="1700"/>
            <w:tcBorders>
              <w:top w:val="single" w:color="374151" w:sz="4"/>
              <w:left w:val="single" w:color="374151" w:sz="4"/>
              <w:bottom w:val="single" w:color="374151" w:sz="4"/>
              <w:right w:val="single" w:color="374151" w:sz="4"/>
            </w:tcBorders>
          </w:tcPr>
          <w:p>
            <w:pPr>
              <w:spacing w:after="60"/>
            </w:pPr>
            <w:r>
              <w:t xml:space="preserve">$18,000–$100,000+/year</w:t>
            </w:r>
          </w:p>
        </w:tc>
        <w:tc>
          <w:tcPr>
            <w:tcW w:type="dxa" w:w="1900"/>
            <w:tcBorders>
              <w:top w:val="single" w:color="374151" w:sz="4"/>
              <w:left w:val="single" w:color="374151" w:sz="4"/>
              <w:bottom w:val="single" w:color="374151" w:sz="4"/>
              <w:right w:val="single" w:color="374151" w:sz="4"/>
            </w:tcBorders>
          </w:tcPr>
          <w:p>
            <w:pPr>
              <w:spacing w:after="60"/>
            </w:pPr>
            <w:r>
              <w:t xml:space="preserve">Limited</w:t>
            </w:r>
          </w:p>
        </w:tc>
        <w:tc>
          <w:tcPr>
            <w:tcW w:type="dxa" w:w="1900"/>
            <w:tcBorders>
              <w:top w:val="single" w:color="374151" w:sz="4"/>
              <w:left w:val="single" w:color="374151" w:sz="4"/>
              <w:bottom w:val="single" w:color="374151" w:sz="4"/>
              <w:right w:val="single" w:color="374151" w:sz="4"/>
            </w:tcBorders>
          </w:tcPr>
          <w:p>
            <w:pPr>
              <w:spacing w:after="60"/>
            </w:pPr>
            <w:r>
              <w:t xml:space="preserve">Limited</w:t>
            </w:r>
          </w:p>
        </w:tc>
        <w:tc>
          <w:tcPr>
            <w:tcW w:type="dxa" w:w="2460"/>
            <w:tcBorders>
              <w:top w:val="single" w:color="374151" w:sz="4"/>
              <w:left w:val="single" w:color="374151" w:sz="4"/>
              <w:bottom w:val="single" w:color="374151" w:sz="4"/>
              <w:right w:val="single" w:color="374151" w:sz="4"/>
            </w:tcBorders>
          </w:tcPr>
          <w:p>
            <w:pPr>
              <w:spacing w:after="60"/>
            </w:pPr>
            <w:r>
              <w:t xml:space="preserve">Self-describes Meta listening as "very limited" in their own product documentation</w:t>
            </w:r>
          </w:p>
        </w:tc>
      </w:tr>
      <w:tr>
        <w:tc>
          <w:tcPr>
            <w:tcW w:type="dxa" w:w="1400"/>
            <w:tcBorders>
              <w:top w:val="single" w:color="374151" w:sz="4"/>
              <w:left w:val="single" w:color="374151" w:sz="4"/>
              <w:bottom w:val="single" w:color="374151" w:sz="4"/>
              <w:right w:val="single" w:color="374151" w:sz="4"/>
            </w:tcBorders>
          </w:tcPr>
          <w:p>
            <w:pPr>
              <w:spacing w:after="60"/>
            </w:pPr>
            <w:r>
              <w:t xml:space="preserve">Mention.com</w:t>
            </w:r>
          </w:p>
        </w:tc>
        <w:tc>
          <w:tcPr>
            <w:tcW w:type="dxa" w:w="1700"/>
            <w:tcBorders>
              <w:top w:val="single" w:color="374151" w:sz="4"/>
              <w:left w:val="single" w:color="374151" w:sz="4"/>
              <w:bottom w:val="single" w:color="374151" w:sz="4"/>
              <w:right w:val="single" w:color="374151" w:sz="4"/>
            </w:tcBorders>
          </w:tcPr>
          <w:p>
            <w:pPr>
              <w:spacing w:after="60"/>
            </w:pPr>
            <w:r>
              <w:t xml:space="preserve">$599/month enterprise API</w:t>
            </w:r>
          </w:p>
        </w:tc>
        <w:tc>
          <w:tcPr>
            <w:tcW w:type="dxa" w:w="1900"/>
            <w:tcBorders>
              <w:top w:val="single" w:color="374151" w:sz="4"/>
              <w:left w:val="single" w:color="374151" w:sz="4"/>
              <w:bottom w:val="single" w:color="374151" w:sz="4"/>
              <w:right w:val="single" w:color="374151" w:sz="4"/>
            </w:tcBorders>
          </w:tcPr>
          <w:p>
            <w:pPr>
              <w:spacing w:after="60"/>
            </w:pPr>
            <w:r>
              <w:t xml:space="preserve">Subject to same Meta limits</w:t>
            </w:r>
          </w:p>
        </w:tc>
        <w:tc>
          <w:tcPr>
            <w:tcW w:type="dxa" w:w="1900"/>
            <w:tcBorders>
              <w:top w:val="single" w:color="374151" w:sz="4"/>
              <w:left w:val="single" w:color="374151" w:sz="4"/>
              <w:bottom w:val="single" w:color="374151" w:sz="4"/>
              <w:right w:val="single" w:color="374151" w:sz="4"/>
            </w:tcBorders>
          </w:tcPr>
          <w:p>
            <w:pPr>
              <w:spacing w:after="60"/>
            </w:pPr>
            <w:r>
              <w:t xml:space="preserve">Subject to same Meta limits</w:t>
            </w:r>
          </w:p>
        </w:tc>
        <w:tc>
          <w:tcPr>
            <w:tcW w:type="dxa" w:w="2460"/>
            <w:tcBorders>
              <w:top w:val="single" w:color="374151" w:sz="4"/>
              <w:left w:val="single" w:color="374151" w:sz="4"/>
              <w:bottom w:val="single" w:color="374151" w:sz="4"/>
              <w:right w:val="single" w:color="374151" w:sz="4"/>
            </w:tcBorders>
          </w:tcPr>
          <w:p>
            <w:pPr>
              <w:spacing w:after="60"/>
            </w:pPr>
            <w:r>
              <w:t xml:space="preserve">No special access beyond standard Graph API</w:t>
            </w:r>
          </w:p>
        </w:tc>
      </w:tr>
    </w:tbl>
    <w:p>
      <w:pPr>
        <w:spacing w:after="200"/>
      </w:pPr>
    </w:p>
    <w:p>
      <w:pPr>
        <w:spacing w:after="160"/>
      </w:pPr>
      <w:r>
        <w:t xml:space="preserve">Conclusion: subscribing to a social listening platform does not give you keyword search across Facebook, access to Groups, or comment author data. You get the same coverage gaps, plus a UI dashboard and sentiment analysis — functions this pipeline already performs.</w:t>
      </w:r>
    </w:p>
    <w:p>
      <w:pPr>
        <w:spacing w:after="200"/>
      </w:pPr>
    </w:p>
    <w:p>
      <w:pPr>
        <w:pStyle w:val="Heading3"/>
        <w:spacing w:after="150" w:before="300"/>
      </w:pPr>
      <w:r>
        <w:t xml:space="preserve">Practical Options for Facebook and Instagram Data</w:t>
      </w:r>
    </w:p>
    <w:p>
      <w:pPr>
        <w:spacing w:after="160"/>
      </w:pPr>
      <w:r>
        <w:t xml:space="preserve">Option A — Apify scrapers (~$29–$199/month):</w:t>
      </w:r>
    </w:p>
    <w:p>
      <w:pPr>
        <w:pStyle w:val="ListParagraph"/>
        <w:numPr>
          <w:ilvl w:val="0"/>
          <w:numId w:val="1"/>
        </w:numPr>
        <w:spacing w:after="100"/>
      </w:pPr>
      <w:r>
        <w:t xml:space="preserve">Facebook Pages Scraper and Instagram Comment Scraper target brand pages by URL, not by keyword. Legally protected under the CFAA ruling above. Can break periodically when Meta changes its front-end. Best for exploration and periodic research runs.</w:t>
      </w:r>
    </w:p>
    <w:p>
      <w:pPr>
        <w:spacing w:after="200"/>
      </w:pPr>
    </w:p>
    <w:p>
      <w:pPr>
        <w:spacing w:after="160"/>
      </w:pPr>
      <w:r>
        <w:t xml:space="preserve">Option B — Bright Data (~$499/month base, $1.50 per 1,000 records pay-as-you-go):</w:t>
      </w:r>
    </w:p>
    <w:p>
      <w:pPr>
        <w:pStyle w:val="ListParagraph"/>
        <w:numPr>
          <w:ilvl w:val="0"/>
          <w:numId w:val="1"/>
        </w:numPr>
        <w:spacing w:after="100"/>
      </w:pPr>
      <w:r>
        <w:t xml:space="preserve">More stable enterprise-grade infrastructure. Less likely to break when Meta updates its site. Better suited for production runs and client-facing work.</w:t>
      </w:r>
    </w:p>
    <w:p>
      <w:pPr>
        <w:spacing w:after="200"/>
      </w:pPr>
    </w:p>
    <w:p>
      <w:pPr>
        <w:spacing w:after="160"/>
      </w:pPr>
      <w:r>
        <w:t xml:space="preserve">Option C — Data365 (300–850 euros/month):</w:t>
      </w:r>
    </w:p>
    <w:p>
      <w:pPr>
        <w:pStyle w:val="ListParagraph"/>
        <w:numPr>
          <w:ilvl w:val="0"/>
          <w:numId w:val="1"/>
        </w:numPr>
        <w:spacing w:after="100"/>
      </w:pPr>
      <w:r>
        <w:t xml:space="preserve">Positions itself explicitly as a Facebook and Instagram data feed. 500K credits per month equals approximately 100,000 posts with comments. Powers several enterprise social listening tools in the background.</w:t>
      </w:r>
    </w:p>
    <w:p>
      <w:pPr>
        <w:spacing w:after="200"/>
      </w:pPr>
    </w:p>
    <w:p>
      <w:pPr>
        <w:spacing w:after="160"/>
      </w:pPr>
      <w:r>
        <w:t xml:space="preserve">All three options are limited to publicly visible content on brand Pages. None provide keyword search across all of Facebook.</w:t>
      </w:r>
    </w:p>
    <w:p>
      <w:pPr>
        <w:spacing w:after="200"/>
      </w:pPr>
    </w:p>
    <w:p>
      <w:pPr>
        <w:pStyle w:val="Heading3"/>
        <w:spacing w:after="150" w:before="300"/>
      </w:pPr>
      <w:r>
        <w:t xml:space="preserve">Twitter/X: Cost and Coverage</w:t>
      </w:r>
    </w:p>
    <w:p>
      <w:pPr>
        <w:spacing w:after="160"/>
      </w:pPr>
      <w:r>
        <w:t xml:space="preserve">Twitter/X data is not included in the default pipeline because the X API is paywalled and the ROI for Indian FMCG brands is poor:</w:t>
      </w:r>
    </w:p>
    <w:p>
      <w:pPr>
        <w:pStyle w:val="ListParagraph"/>
        <w:numPr>
          <w:ilvl w:val="0"/>
          <w:numId w:val="1"/>
        </w:numPr>
        <w:spacing w:after="100"/>
      </w:pPr>
      <w:r>
        <w:t xml:space="preserve">Basic API: $100/month for 10,000 tweets/month — too low for meaningful research.</w:t>
      </w:r>
    </w:p>
    <w:p>
      <w:pPr>
        <w:pStyle w:val="ListParagraph"/>
        <w:numPr>
          <w:ilvl w:val="0"/>
          <w:numId w:val="1"/>
        </w:numPr>
        <w:spacing w:after="100"/>
      </w:pPr>
      <w:r>
        <w:t xml:space="preserve">Pro API: $5,000/month — provides meaningful volume, but X India skews urban, English-speaking, and politically vocal. For a beverage brand like Thums Up, the consumer conversation happens more on YouTube comments and Reddit than on X.</w:t>
      </w:r>
    </w:p>
    <w:p>
      <w:pPr>
        <w:pStyle w:val="ListParagraph"/>
        <w:numPr>
          <w:ilvl w:val="0"/>
          <w:numId w:val="1"/>
        </w:numPr>
        <w:spacing w:after="100"/>
      </w:pPr>
      <w:r>
        <w:t xml:space="preserve">The exception: if a brand is running an active X campaign, trending on X, or the research question specifically concerns X conversations, the Pro API becomes worth the cost for that run.</w:t>
      </w:r>
    </w:p>
    <w:p>
      <w:pPr>
        <w:spacing w:after="200"/>
      </w:pPr>
    </w:p>
    <w:p>
      <w:pPr>
        <w:pStyle w:val="Heading3"/>
        <w:spacing w:after="150" w:before="300"/>
      </w:pPr>
      <w:r>
        <w:t xml:space="preserve">When Social Listening Platforms Make Sense</w:t>
      </w:r>
    </w:p>
    <w:p>
      <w:pPr>
        <w:spacing w:after="160"/>
      </w:pPr>
      <w:r>
        <w:t xml:space="preserve">A social listening subscription is worth considering when:</w:t>
      </w:r>
    </w:p>
    <w:p>
      <w:pPr>
        <w:pStyle w:val="ListParagraph"/>
        <w:numPr>
          <w:ilvl w:val="0"/>
          <w:numId w:val="1"/>
        </w:numPr>
        <w:spacing w:after="100"/>
      </w:pPr>
      <w:r>
        <w:t xml:space="preserve">A client requires a branded platform for reporting and dashboards (not the research data itself)</w:t>
      </w:r>
    </w:p>
    <w:p>
      <w:pPr>
        <w:pStyle w:val="ListParagraph"/>
        <w:numPr>
          <w:ilvl w:val="0"/>
          <w:numId w:val="1"/>
        </w:numPr>
        <w:spacing w:after="100"/>
      </w:pPr>
      <w:r>
        <w:t xml:space="preserve">The team needs real-time alerts and monitoring rather than periodic research runs</w:t>
      </w:r>
    </w:p>
    <w:p>
      <w:pPr>
        <w:pStyle w:val="ListParagraph"/>
        <w:numPr>
          <w:ilvl w:val="0"/>
          <w:numId w:val="1"/>
        </w:numPr>
        <w:spacing w:after="100"/>
      </w:pPr>
      <w:r>
        <w:t xml:space="preserve">The research covers Twitter/X conversations extensively (some platforms include X access in their subscription)</w:t>
      </w:r>
    </w:p>
    <w:p>
      <w:pPr>
        <w:pStyle w:val="ListParagraph"/>
        <w:numPr>
          <w:ilvl w:val="0"/>
          <w:numId w:val="1"/>
        </w:numPr>
        <w:spacing w:after="100"/>
      </w:pPr>
      <w:r>
        <w:t xml:space="preserve">Legal or procurement requirements mandate an enterprise vendor with a signed data agreement</w:t>
      </w:r>
    </w:p>
    <w:p>
      <w:pPr>
        <w:spacing w:after="200"/>
      </w:pPr>
    </w:p>
    <w:p>
      <w:pPr>
        <w:spacing w:after="160"/>
      </w:pPr>
      <w:r>
        <w:t xml:space="preserve">For one-off or periodic research runs on Indian FMCG brands, the pipeline described in this document produces equivalent or better analysis at a fraction of the cost.</w:t>
      </w:r>
    </w:p>
    <w:p>
      <w:pPr>
        <w:spacing w:after="200"/>
      </w:pPr>
    </w:p>
    <w:p>
      <w:pPr>
        <w:pStyle w:val="Heading1"/>
        <w:spacing w:after="200" w:before="400"/>
      </w:pPr>
      <w:r>
        <w:t xml:space="preserve">Geographic, Demographic and Temporal Data: What We Have and What We Don't</w:t>
      </w:r>
    </w:p>
    <w:p>
      <w:pPr>
        <w:pStyle w:val="Heading3"/>
        <w:spacing w:after="150" w:before="300"/>
      </w:pPr>
      <w:r>
        <w:t xml:space="preserve">Geographic Data by Source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0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Source</w:t>
            </w:r>
          </w:p>
        </w:tc>
        <w:tc>
          <w:tcPr>
            <w:tcW w:type="dxa" w:w="50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What's Available</w:t>
            </w:r>
          </w:p>
        </w:tc>
        <w:tc>
          <w:tcPr>
            <w:tcW w:type="dxa" w:w="236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Accuracy</w:t>
            </w:r>
          </w:p>
        </w:tc>
      </w:tr>
      <w:tr>
        <w:tc>
          <w:tcPr>
            <w:tcW w:type="dxa" w:w="2000"/>
            <w:tcBorders>
              <w:top w:val="single" w:color="374151" w:sz="4"/>
              <w:left w:val="single" w:color="374151" w:sz="4"/>
              <w:bottom w:val="single" w:color="374151" w:sz="4"/>
              <w:right w:val="single" w:color="374151" w:sz="4"/>
            </w:tcBorders>
          </w:tcPr>
          <w:p>
            <w:pPr>
              <w:spacing w:after="60"/>
            </w:pPr>
            <w:r>
              <w:t xml:space="preserve">Reddit</w:t>
            </w:r>
          </w:p>
        </w:tc>
        <w:tc>
          <w:tcPr>
            <w:tcW w:type="dxa" w:w="5000"/>
            <w:tcBorders>
              <w:top w:val="single" w:color="374151" w:sz="4"/>
              <w:left w:val="single" w:color="374151" w:sz="4"/>
              <w:bottom w:val="single" w:color="374151" w:sz="4"/>
              <w:right w:val="single" w:color="374151" w:sz="4"/>
            </w:tcBorders>
          </w:tcPr>
          <w:p>
            <w:pPr>
              <w:spacing w:after="60"/>
            </w:pPr>
            <w:r>
              <w:t xml:space="preserve">Almost none. Subreddit names (r/india, r/delhi) loosely infer geography. No user location in the public API.</w:t>
            </w:r>
          </w:p>
        </w:tc>
        <w:tc>
          <w:tcPr>
            <w:tcW w:type="dxa" w:w="2360"/>
            <w:tcBorders>
              <w:top w:val="single" w:color="374151" w:sz="4"/>
              <w:left w:val="single" w:color="374151" w:sz="4"/>
              <w:bottom w:val="single" w:color="374151" w:sz="4"/>
              <w:right w:val="single" w:color="374151" w:sz="4"/>
            </w:tcBorders>
          </w:tcPr>
          <w:p>
            <w:pPr>
              <w:spacing w:after="60"/>
            </w:pPr>
            <w:r>
              <w:t xml:space="preserve">Low — inferred only, not reliable</w:t>
            </w:r>
          </w:p>
        </w:tc>
      </w:tr>
      <w:tr>
        <w:tc>
          <w:tcPr>
            <w:tcW w:type="dxa" w:w="2000"/>
            <w:tcBorders>
              <w:top w:val="single" w:color="374151" w:sz="4"/>
              <w:left w:val="single" w:color="374151" w:sz="4"/>
              <w:bottom w:val="single" w:color="374151" w:sz="4"/>
              <w:right w:val="single" w:color="374151" w:sz="4"/>
            </w:tcBorders>
          </w:tcPr>
          <w:p>
            <w:pPr>
              <w:spacing w:after="60"/>
            </w:pPr>
            <w:r>
              <w:t xml:space="preserve">YouTube</w:t>
            </w:r>
          </w:p>
        </w:tc>
        <w:tc>
          <w:tcPr>
            <w:tcW w:type="dxa" w:w="5000"/>
            <w:tcBorders>
              <w:top w:val="single" w:color="374151" w:sz="4"/>
              <w:left w:val="single" w:color="374151" w:sz="4"/>
              <w:bottom w:val="single" w:color="374151" w:sz="4"/>
              <w:right w:val="single" w:color="374151" w:sz="4"/>
            </w:tcBorders>
          </w:tcPr>
          <w:p>
            <w:pPr>
              <w:spacing w:after="60"/>
            </w:pPr>
            <w:r>
              <w:t xml:space="preserve">No user location on comments. Video upload country is available on the video object, not on individual comments.</w:t>
            </w:r>
          </w:p>
        </w:tc>
        <w:tc>
          <w:tcPr>
            <w:tcW w:type="dxa" w:w="2360"/>
            <w:tcBorders>
              <w:top w:val="single" w:color="374151" w:sz="4"/>
              <w:left w:val="single" w:color="374151" w:sz="4"/>
              <w:bottom w:val="single" w:color="374151" w:sz="4"/>
              <w:right w:val="single" w:color="374151" w:sz="4"/>
            </w:tcBorders>
          </w:tcPr>
          <w:p>
            <w:pPr>
              <w:spacing w:after="60"/>
            </w:pPr>
            <w:r>
              <w:t xml:space="preserve">Very low for comments; moderate for video origin</w:t>
            </w:r>
          </w:p>
        </w:tc>
      </w:tr>
      <w:tr>
        <w:tc>
          <w:tcPr>
            <w:tcW w:type="dxa" w:w="2000"/>
            <w:tcBorders>
              <w:top w:val="single" w:color="374151" w:sz="4"/>
              <w:left w:val="single" w:color="374151" w:sz="4"/>
              <w:bottom w:val="single" w:color="374151" w:sz="4"/>
              <w:right w:val="single" w:color="374151" w:sz="4"/>
            </w:tcBorders>
          </w:tcPr>
          <w:p>
            <w:pPr>
              <w:spacing w:after="60"/>
            </w:pPr>
            <w:r>
              <w:t xml:space="preserve">NewsData.io</w:t>
            </w:r>
          </w:p>
        </w:tc>
        <w:tc>
          <w:tcPr>
            <w:tcW w:type="dxa" w:w="5000"/>
            <w:tcBorders>
              <w:top w:val="single" w:color="374151" w:sz="4"/>
              <w:left w:val="single" w:color="374151" w:sz="4"/>
              <w:bottom w:val="single" w:color="374151" w:sz="4"/>
              <w:right w:val="single" w:color="374151" w:sz="4"/>
            </w:tcBorders>
          </w:tcPr>
          <w:p>
            <w:pPr>
              <w:spacing w:after="60"/>
            </w:pPr>
            <w:r>
              <w:t xml:space="preserve">Article country field — the country where the news outlet is based, not where readers are.</w:t>
            </w:r>
          </w:p>
        </w:tc>
        <w:tc>
          <w:tcPr>
            <w:tcW w:type="dxa" w:w="2360"/>
            <w:tcBorders>
              <w:top w:val="single" w:color="374151" w:sz="4"/>
              <w:left w:val="single" w:color="374151" w:sz="4"/>
              <w:bottom w:val="single" w:color="374151" w:sz="4"/>
              <w:right w:val="single" w:color="374151" w:sz="4"/>
            </w:tcBorders>
          </w:tcPr>
          <w:p>
            <w:pPr>
              <w:spacing w:after="60"/>
            </w:pPr>
            <w:r>
              <w:t xml:space="preserve">Moderate for source origin; not useful for audience geography</w:t>
            </w:r>
          </w:p>
        </w:tc>
      </w:tr>
      <w:tr>
        <w:tc>
          <w:tcPr>
            <w:tcW w:type="dxa" w:w="2000"/>
            <w:tcBorders>
              <w:top w:val="single" w:color="374151" w:sz="4"/>
              <w:left w:val="single" w:color="374151" w:sz="4"/>
              <w:bottom w:val="single" w:color="374151" w:sz="4"/>
              <w:right w:val="single" w:color="374151" w:sz="4"/>
            </w:tcBorders>
          </w:tcPr>
          <w:p>
            <w:pPr>
              <w:spacing w:after="60"/>
            </w:pPr>
            <w:r>
              <w:t xml:space="preserve">Academic (OpenAlex)</w:t>
            </w:r>
          </w:p>
        </w:tc>
        <w:tc>
          <w:tcPr>
            <w:tcW w:type="dxa" w:w="5000"/>
            <w:tcBorders>
              <w:top w:val="single" w:color="374151" w:sz="4"/>
              <w:left w:val="single" w:color="374151" w:sz="4"/>
              <w:bottom w:val="single" w:color="374151" w:sz="4"/>
              <w:right w:val="single" w:color="374151" w:sz="4"/>
            </w:tcBorders>
          </w:tcPr>
          <w:p>
            <w:pPr>
              <w:spacing w:after="60"/>
            </w:pPr>
            <w:r>
              <w:t xml:space="preserve">Institution country available in author affiliation metadata.</w:t>
            </w:r>
          </w:p>
        </w:tc>
        <w:tc>
          <w:tcPr>
            <w:tcW w:type="dxa" w:w="2360"/>
            <w:tcBorders>
              <w:top w:val="single" w:color="374151" w:sz="4"/>
              <w:left w:val="single" w:color="374151" w:sz="4"/>
              <w:bottom w:val="single" w:color="374151" w:sz="4"/>
              <w:right w:val="single" w:color="374151" w:sz="4"/>
            </w:tcBorders>
          </w:tcPr>
          <w:p>
            <w:pPr>
              <w:spacing w:after="60"/>
            </w:pPr>
            <w:r>
              <w:t xml:space="preserve">High — directly stated by the author</w:t>
            </w:r>
          </w:p>
        </w:tc>
      </w:tr>
      <w:tr>
        <w:tc>
          <w:tcPr>
            <w:tcW w:type="dxa" w:w="2000"/>
            <w:tcBorders>
              <w:top w:val="single" w:color="374151" w:sz="4"/>
              <w:left w:val="single" w:color="374151" w:sz="4"/>
              <w:bottom w:val="single" w:color="374151" w:sz="4"/>
              <w:right w:val="single" w:color="374151" w:sz="4"/>
            </w:tcBorders>
          </w:tcPr>
          <w:p>
            <w:pPr>
              <w:spacing w:after="60"/>
            </w:pPr>
            <w:r>
              <w:t xml:space="preserve">Google Trends</w:t>
            </w:r>
          </w:p>
        </w:tc>
        <w:tc>
          <w:tcPr>
            <w:tcW w:type="dxa" w:w="5000"/>
            <w:tcBorders>
              <w:top w:val="single" w:color="374151" w:sz="4"/>
              <w:left w:val="single" w:color="374151" w:sz="4"/>
              <w:bottom w:val="single" w:color="374151" w:sz="4"/>
              <w:right w:val="single" w:color="374151" w:sz="4"/>
            </w:tcBorders>
          </w:tcPr>
          <w:p>
            <w:pPr>
              <w:spacing w:after="60"/>
            </w:pPr>
            <w:r>
              <w:t xml:space="preserve">Geography is the primary feature. Returns search interest by country, state, and city over time.</w:t>
            </w:r>
          </w:p>
        </w:tc>
        <w:tc>
          <w:tcPr>
            <w:tcW w:type="dxa" w:w="2360"/>
            <w:tcBorders>
              <w:top w:val="single" w:color="374151" w:sz="4"/>
              <w:left w:val="single" w:color="374151" w:sz="4"/>
              <w:bottom w:val="single" w:color="374151" w:sz="4"/>
              <w:right w:val="single" w:color="374151" w:sz="4"/>
            </w:tcBorders>
          </w:tcPr>
          <w:p>
            <w:pPr>
              <w:spacing w:after="60"/>
            </w:pPr>
            <w:r>
              <w:t xml:space="preserve">High — first-party Google data, not inferred</w:t>
            </w:r>
          </w:p>
        </w:tc>
      </w:tr>
      <w:tr>
        <w:tc>
          <w:tcPr>
            <w:tcW w:type="dxa" w:w="2000"/>
            <w:tcBorders>
              <w:top w:val="single" w:color="374151" w:sz="4"/>
              <w:left w:val="single" w:color="374151" w:sz="4"/>
              <w:bottom w:val="single" w:color="374151" w:sz="4"/>
              <w:right w:val="single" w:color="374151" w:sz="4"/>
            </w:tcBorders>
          </w:tcPr>
          <w:p>
            <w:pPr>
              <w:spacing w:after="60"/>
            </w:pPr>
            <w:r>
              <w:t xml:space="preserve">Facebook/Instagram (via scraper)</w:t>
            </w:r>
          </w:p>
        </w:tc>
        <w:tc>
          <w:tcPr>
            <w:tcW w:type="dxa" w:w="5000"/>
            <w:tcBorders>
              <w:top w:val="single" w:color="374151" w:sz="4"/>
              <w:left w:val="single" w:color="374151" w:sz="4"/>
              <w:bottom w:val="single" w:color="374151" w:sz="4"/>
              <w:right w:val="single" w:color="374151" w:sz="4"/>
            </w:tcBorders>
          </w:tcPr>
          <w:p>
            <w:pPr>
              <w:spacing w:after="60"/>
            </w:pPr>
            <w:r>
              <w:t xml:space="preserve">Page location (city/country) available on brand Pages. User location on comments: not available.</w:t>
            </w:r>
          </w:p>
        </w:tc>
        <w:tc>
          <w:tcPr>
            <w:tcW w:type="dxa" w:w="2360"/>
            <w:tcBorders>
              <w:top w:val="single" w:color="374151" w:sz="4"/>
              <w:left w:val="single" w:color="374151" w:sz="4"/>
              <w:bottom w:val="single" w:color="374151" w:sz="4"/>
              <w:right w:val="single" w:color="374151" w:sz="4"/>
            </w:tcBorders>
          </w:tcPr>
          <w:p>
            <w:pPr>
              <w:spacing w:after="60"/>
            </w:pPr>
            <w:r>
              <w:t xml:space="preserve">High for brand Pages; none for commenters</w:t>
            </w:r>
          </w:p>
        </w:tc>
      </w:tr>
      <w:tr>
        <w:tc>
          <w:tcPr>
            <w:tcW w:type="dxa" w:w="2000"/>
            <w:tcBorders>
              <w:top w:val="single" w:color="374151" w:sz="4"/>
              <w:left w:val="single" w:color="374151" w:sz="4"/>
              <w:bottom w:val="single" w:color="374151" w:sz="4"/>
              <w:right w:val="single" w:color="374151" w:sz="4"/>
            </w:tcBorders>
          </w:tcPr>
          <w:p>
            <w:pPr>
              <w:spacing w:after="60"/>
            </w:pPr>
            <w:r>
              <w:t xml:space="preserve">Serper (Google Search)</w:t>
            </w:r>
          </w:p>
        </w:tc>
        <w:tc>
          <w:tcPr>
            <w:tcW w:type="dxa" w:w="5000"/>
            <w:tcBorders>
              <w:top w:val="single" w:color="374151" w:sz="4"/>
              <w:left w:val="single" w:color="374151" w:sz="4"/>
              <w:bottom w:val="single" w:color="374151" w:sz="4"/>
              <w:right w:val="single" w:color="374151" w:sz="4"/>
            </w:tcBorders>
          </w:tcPr>
          <w:p>
            <w:pPr>
              <w:spacing w:after="60"/>
            </w:pPr>
            <w:r>
              <w:t xml:space="preserve">Can be scoped to a specific country using the gl= parameter. Results come from that country's search index.</w:t>
            </w:r>
          </w:p>
        </w:tc>
        <w:tc>
          <w:tcPr>
            <w:tcW w:type="dxa" w:w="2360"/>
            <w:tcBorders>
              <w:top w:val="single" w:color="374151" w:sz="4"/>
              <w:left w:val="single" w:color="374151" w:sz="4"/>
              <w:bottom w:val="single" w:color="374151" w:sz="4"/>
              <w:right w:val="single" w:color="374151" w:sz="4"/>
            </w:tcBorders>
          </w:tcPr>
          <w:p>
            <w:pPr>
              <w:spacing w:after="60"/>
            </w:pPr>
            <w:r>
              <w:t xml:space="preserve">Moderate — country-level only</w:t>
            </w:r>
          </w:p>
        </w:tc>
      </w:tr>
    </w:tbl>
    <w:p>
      <w:pPr>
        <w:spacing w:after="200"/>
      </w:pPr>
    </w:p>
    <w:p>
      <w:pPr>
        <w:spacing w:after="160"/>
      </w:pPr>
      <w:r>
        <w:t xml:space="preserve">Practical implication: Google Trends is the only source that provides reliable sub-national geographic data (state and city level within India). Reddit and YouTube comments should be treated as India-biased but geographically unverifiable.</w:t>
      </w:r>
    </w:p>
    <w:p>
      <w:pPr>
        <w:spacing w:after="200"/>
      </w:pPr>
    </w:p>
    <w:p>
      <w:pPr>
        <w:pStyle w:val="Heading3"/>
        <w:spacing w:after="150" w:before="300"/>
      </w:pPr>
      <w:r>
        <w:t xml:space="preserve">Age Data</w:t>
      </w:r>
    </w:p>
    <w:p>
      <w:pPr>
        <w:spacing w:after="160"/>
      </w:pPr>
      <w:r>
        <w:t xml:space="preserve">No platform in this pipeline provides verified user age. What can be inferred — with very low accuracy:</w:t>
      </w:r>
    </w:p>
    <w:p>
      <w:pPr>
        <w:pStyle w:val="ListParagraph"/>
        <w:numPr>
          <w:ilvl w:val="0"/>
          <w:numId w:val="1"/>
        </w:numPr>
        <w:spacing w:after="100"/>
      </w:pPr>
      <w:r>
        <w:t xml:space="preserve">Content language and cultural references: Bollywood era, product nostalgia, or technology references can loosely suggest a generation.</w:t>
      </w:r>
    </w:p>
    <w:p>
      <w:pPr>
        <w:pStyle w:val="ListParagraph"/>
        <w:numPr>
          <w:ilvl w:val="0"/>
          <w:numId w:val="1"/>
        </w:numPr>
        <w:spacing w:after="100"/>
      </w:pPr>
      <w:r>
        <w:t xml:space="preserve">Subreddit type: r/IndiaAfterHours or r/teenagers loosely implies an age range, but membership is self-selected and unverified.</w:t>
      </w:r>
    </w:p>
    <w:p>
      <w:pPr>
        <w:pStyle w:val="ListParagraph"/>
        <w:numPr>
          <w:ilvl w:val="0"/>
          <w:numId w:val="1"/>
        </w:numPr>
        <w:spacing w:after="100"/>
      </w:pPr>
      <w:r>
        <w:t xml:space="preserve">YouTube channel type: gaming channels, study vlogs, and personal finance content attract different age demographics on average.</w:t>
      </w:r>
    </w:p>
    <w:p>
      <w:pPr>
        <w:spacing w:after="200"/>
      </w:pPr>
    </w:p>
    <w:p>
      <w:pPr>
        <w:spacing w:after="160"/>
      </w:pPr>
      <w:r>
        <w:t xml:space="preserve">Accuracy: very low. Age inference from content is speculative and must not be presented as fact in a report.</w:t>
      </w:r>
    </w:p>
    <w:p>
      <w:pPr>
        <w:spacing w:after="200"/>
      </w:pPr>
    </w:p>
    <w:p>
      <w:pPr>
        <w:pStyle w:val="Heading3"/>
        <w:spacing w:after="150" w:before="300"/>
      </w:pPr>
      <w:r>
        <w:t xml:space="preserve">Gender Data</w:t>
      </w:r>
    </w:p>
    <w:p>
      <w:pPr>
        <w:spacing w:after="160"/>
      </w:pPr>
      <w:r>
        <w:t xml:space="preserve">No platform provides verified gender. Inference methods are unreliable and ethically contested:</w:t>
      </w:r>
    </w:p>
    <w:p>
      <w:pPr>
        <w:pStyle w:val="ListParagraph"/>
        <w:numPr>
          <w:ilvl w:val="0"/>
          <w:numId w:val="1"/>
        </w:numPr>
        <w:spacing w:after="100"/>
      </w:pPr>
      <w:r>
        <w:t xml:space="preserve">Username analysis: limited accuracy, culturally biased, and not appropriate for reporting.</w:t>
      </w:r>
    </w:p>
    <w:p>
      <w:pPr>
        <w:pStyle w:val="ListParagraph"/>
        <w:numPr>
          <w:ilvl w:val="0"/>
          <w:numId w:val="1"/>
        </w:numPr>
        <w:spacing w:after="100"/>
      </w:pPr>
      <w:r>
        <w:t xml:space="preserve">Content topics and language patterns: a very rough proxy at best.</w:t>
      </w:r>
    </w:p>
    <w:p>
      <w:pPr>
        <w:pStyle w:val="ListParagraph"/>
        <w:numPr>
          <w:ilvl w:val="0"/>
          <w:numId w:val="1"/>
        </w:numPr>
        <w:spacing w:after="100"/>
      </w:pPr>
      <w:r>
        <w:t xml:space="preserve">External demographic surveys: for example, r/india is estimated to skew approximately 75% male according to external audience research. These are population-level estimates, not per-user data.</w:t>
      </w:r>
    </w:p>
    <w:p>
      <w:pPr>
        <w:spacing w:after="200"/>
      </w:pPr>
    </w:p>
    <w:p>
      <w:pPr>
        <w:spacing w:after="160"/>
      </w:pPr>
      <w:r>
        <w:t xml:space="preserve">Gender is not reported in this pipeline. Findings should not be attributed to gender segments without primary research (surveys, focus groups).</w:t>
      </w:r>
    </w:p>
    <w:p>
      <w:pPr>
        <w:spacing w:after="200"/>
      </w:pPr>
    </w:p>
    <w:p>
      <w:pPr>
        <w:pStyle w:val="Heading3"/>
        <w:spacing w:after="150" w:before="300"/>
      </w:pPr>
      <w:r>
        <w:t xml:space="preserve">Temporal Data by Source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rPr>
          <w:tblHeader/>
        </w:trPr>
        <w:tc>
          <w:tcPr>
            <w:tcW w:type="dxa" w:w="20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Source</w:t>
            </w:r>
          </w:p>
        </w:tc>
        <w:tc>
          <w:tcPr>
            <w:tcW w:type="dxa" w:w="45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Timestamp Available</w:t>
            </w:r>
          </w:p>
        </w:tc>
        <w:tc>
          <w:tcPr>
            <w:tcW w:type="dxa" w:w="286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Accuracy</w:t>
            </w:r>
          </w:p>
        </w:tc>
      </w:tr>
      <w:tr>
        <w:tc>
          <w:tcPr>
            <w:tcW w:type="dxa" w:w="2000"/>
            <w:tcBorders>
              <w:top w:val="single" w:color="374151" w:sz="4"/>
              <w:left w:val="single" w:color="374151" w:sz="4"/>
              <w:bottom w:val="single" w:color="374151" w:sz="4"/>
              <w:right w:val="single" w:color="374151" w:sz="4"/>
            </w:tcBorders>
          </w:tcPr>
          <w:p>
            <w:pPr>
              <w:spacing w:after="60"/>
            </w:pPr>
            <w:r>
              <w:t xml:space="preserve">Reddit</w:t>
            </w:r>
          </w:p>
        </w:tc>
        <w:tc>
          <w:tcPr>
            <w:tcW w:type="dxa" w:w="4500"/>
            <w:tcBorders>
              <w:top w:val="single" w:color="374151" w:sz="4"/>
              <w:left w:val="single" w:color="374151" w:sz="4"/>
              <w:bottom w:val="single" w:color="374151" w:sz="4"/>
              <w:right w:val="single" w:color="374151" w:sz="4"/>
            </w:tcBorders>
          </w:tcPr>
          <w:p>
            <w:pPr>
              <w:spacing w:after="60"/>
            </w:pPr>
            <w:r>
              <w:t xml:space="preserve">created_utc on posts and comments — Unix timestamp accurate to the second</w:t>
            </w:r>
          </w:p>
        </w:tc>
        <w:tc>
          <w:tcPr>
            <w:tcW w:type="dxa" w:w="2860"/>
            <w:tcBorders>
              <w:top w:val="single" w:color="374151" w:sz="4"/>
              <w:left w:val="single" w:color="374151" w:sz="4"/>
              <w:bottom w:val="single" w:color="374151" w:sz="4"/>
              <w:right w:val="single" w:color="374151" w:sz="4"/>
            </w:tcBorders>
          </w:tcPr>
          <w:p>
            <w:pPr>
              <w:spacing w:after="60"/>
            </w:pPr>
            <w:r>
              <w:t xml:space="preserve">High</w:t>
            </w:r>
          </w:p>
        </w:tc>
      </w:tr>
      <w:tr>
        <w:tc>
          <w:tcPr>
            <w:tcW w:type="dxa" w:w="2000"/>
            <w:tcBorders>
              <w:top w:val="single" w:color="374151" w:sz="4"/>
              <w:left w:val="single" w:color="374151" w:sz="4"/>
              <w:bottom w:val="single" w:color="374151" w:sz="4"/>
              <w:right w:val="single" w:color="374151" w:sz="4"/>
            </w:tcBorders>
          </w:tcPr>
          <w:p>
            <w:pPr>
              <w:spacing w:after="60"/>
            </w:pPr>
            <w:r>
              <w:t xml:space="preserve">YouTube</w:t>
            </w:r>
          </w:p>
        </w:tc>
        <w:tc>
          <w:tcPr>
            <w:tcW w:type="dxa" w:w="4500"/>
            <w:tcBorders>
              <w:top w:val="single" w:color="374151" w:sz="4"/>
              <w:left w:val="single" w:color="374151" w:sz="4"/>
              <w:bottom w:val="single" w:color="374151" w:sz="4"/>
              <w:right w:val="single" w:color="374151" w:sz="4"/>
            </w:tcBorders>
          </w:tcPr>
          <w:p>
            <w:pPr>
              <w:spacing w:after="60"/>
            </w:pPr>
            <w:r>
              <w:t xml:space="preserve">published_at on videos; published_at on comments</w:t>
            </w:r>
          </w:p>
        </w:tc>
        <w:tc>
          <w:tcPr>
            <w:tcW w:type="dxa" w:w="2860"/>
            <w:tcBorders>
              <w:top w:val="single" w:color="374151" w:sz="4"/>
              <w:left w:val="single" w:color="374151" w:sz="4"/>
              <w:bottom w:val="single" w:color="374151" w:sz="4"/>
              <w:right w:val="single" w:color="374151" w:sz="4"/>
            </w:tcBorders>
          </w:tcPr>
          <w:p>
            <w:pPr>
              <w:spacing w:after="60"/>
            </w:pPr>
            <w:r>
              <w:t xml:space="preserve">High</w:t>
            </w:r>
          </w:p>
        </w:tc>
      </w:tr>
      <w:tr>
        <w:tc>
          <w:tcPr>
            <w:tcW w:type="dxa" w:w="2000"/>
            <w:tcBorders>
              <w:top w:val="single" w:color="374151" w:sz="4"/>
              <w:left w:val="single" w:color="374151" w:sz="4"/>
              <w:bottom w:val="single" w:color="374151" w:sz="4"/>
              <w:right w:val="single" w:color="374151" w:sz="4"/>
            </w:tcBorders>
          </w:tcPr>
          <w:p>
            <w:pPr>
              <w:spacing w:after="60"/>
            </w:pPr>
            <w:r>
              <w:t xml:space="preserve">NewsData.io</w:t>
            </w:r>
          </w:p>
        </w:tc>
        <w:tc>
          <w:tcPr>
            <w:tcW w:type="dxa" w:w="4500"/>
            <w:tcBorders>
              <w:top w:val="single" w:color="374151" w:sz="4"/>
              <w:left w:val="single" w:color="374151" w:sz="4"/>
              <w:bottom w:val="single" w:color="374151" w:sz="4"/>
              <w:right w:val="single" w:color="374151" w:sz="4"/>
            </w:tcBorders>
          </w:tcPr>
          <w:p>
            <w:pPr>
              <w:spacing w:after="60"/>
            </w:pPr>
            <w:r>
              <w:t xml:space="preserve">pubDate field in article metadata</w:t>
            </w:r>
          </w:p>
        </w:tc>
        <w:tc>
          <w:tcPr>
            <w:tcW w:type="dxa" w:w="2860"/>
            <w:tcBorders>
              <w:top w:val="single" w:color="374151" w:sz="4"/>
              <w:left w:val="single" w:color="374151" w:sz="4"/>
              <w:bottom w:val="single" w:color="374151" w:sz="4"/>
              <w:right w:val="single" w:color="374151" w:sz="4"/>
            </w:tcBorders>
          </w:tcPr>
          <w:p>
            <w:pPr>
              <w:spacing w:after="60"/>
            </w:pPr>
            <w:r>
              <w:t xml:space="preserve">High — usually accurate to the day</w:t>
            </w:r>
          </w:p>
        </w:tc>
      </w:tr>
      <w:tr>
        <w:tc>
          <w:tcPr>
            <w:tcW w:type="dxa" w:w="2000"/>
            <w:tcBorders>
              <w:top w:val="single" w:color="374151" w:sz="4"/>
              <w:left w:val="single" w:color="374151" w:sz="4"/>
              <w:bottom w:val="single" w:color="374151" w:sz="4"/>
              <w:right w:val="single" w:color="374151" w:sz="4"/>
            </w:tcBorders>
          </w:tcPr>
          <w:p>
            <w:pPr>
              <w:spacing w:after="60"/>
            </w:pPr>
            <w:r>
              <w:t xml:space="preserve">Academic (OpenAlex)</w:t>
            </w:r>
          </w:p>
        </w:tc>
        <w:tc>
          <w:tcPr>
            <w:tcW w:type="dxa" w:w="4500"/>
            <w:tcBorders>
              <w:top w:val="single" w:color="374151" w:sz="4"/>
              <w:left w:val="single" w:color="374151" w:sz="4"/>
              <w:bottom w:val="single" w:color="374151" w:sz="4"/>
              <w:right w:val="single" w:color="374151" w:sz="4"/>
            </w:tcBorders>
          </w:tcPr>
          <w:p>
            <w:pPr>
              <w:spacing w:after="60"/>
            </w:pPr>
            <w:r>
              <w:t xml:space="preserve">Publication year, sometimes month, from metadata</w:t>
            </w:r>
          </w:p>
        </w:tc>
        <w:tc>
          <w:tcPr>
            <w:tcW w:type="dxa" w:w="2860"/>
            <w:tcBorders>
              <w:top w:val="single" w:color="374151" w:sz="4"/>
              <w:left w:val="single" w:color="374151" w:sz="4"/>
              <w:bottom w:val="single" w:color="374151" w:sz="4"/>
              <w:right w:val="single" w:color="374151" w:sz="4"/>
            </w:tcBorders>
          </w:tcPr>
          <w:p>
            <w:pPr>
              <w:spacing w:after="60"/>
            </w:pPr>
            <w:r>
              <w:t xml:space="preserve">High for year; month-level varies by publisher</w:t>
            </w:r>
          </w:p>
        </w:tc>
      </w:tr>
      <w:tr>
        <w:tc>
          <w:tcPr>
            <w:tcW w:type="dxa" w:w="2000"/>
            <w:tcBorders>
              <w:top w:val="single" w:color="374151" w:sz="4"/>
              <w:left w:val="single" w:color="374151" w:sz="4"/>
              <w:bottom w:val="single" w:color="374151" w:sz="4"/>
              <w:right w:val="single" w:color="374151" w:sz="4"/>
            </w:tcBorders>
          </w:tcPr>
          <w:p>
            <w:pPr>
              <w:spacing w:after="60"/>
            </w:pPr>
            <w:r>
              <w:t xml:space="preserve">Google Trends</w:t>
            </w:r>
          </w:p>
        </w:tc>
        <w:tc>
          <w:tcPr>
            <w:tcW w:type="dxa" w:w="4500"/>
            <w:tcBorders>
              <w:top w:val="single" w:color="374151" w:sz="4"/>
              <w:left w:val="single" w:color="374151" w:sz="4"/>
              <w:bottom w:val="single" w:color="374151" w:sz="4"/>
              <w:right w:val="single" w:color="374151" w:sz="4"/>
            </w:tcBorders>
          </w:tcPr>
          <w:p>
            <w:pPr>
              <w:spacing w:after="60"/>
            </w:pPr>
            <w:r>
              <w:t xml:space="preserve">Weekly or daily search interest over time, up to 5 years back</w:t>
            </w:r>
          </w:p>
        </w:tc>
        <w:tc>
          <w:tcPr>
            <w:tcW w:type="dxa" w:w="2860"/>
            <w:tcBorders>
              <w:top w:val="single" w:color="374151" w:sz="4"/>
              <w:left w:val="single" w:color="374151" w:sz="4"/>
              <w:bottom w:val="single" w:color="374151" w:sz="4"/>
              <w:right w:val="single" w:color="374151" w:sz="4"/>
            </w:tcBorders>
          </w:tcPr>
          <w:p>
            <w:pPr>
              <w:spacing w:after="60"/>
            </w:pPr>
            <w:r>
              <w:t xml:space="preserve">High — first-party Google data</w:t>
            </w:r>
          </w:p>
        </w:tc>
      </w:tr>
    </w:tbl>
    <w:p>
      <w:pPr>
        <w:spacing w:after="200"/>
      </w:pPr>
    </w:p>
    <w:p>
      <w:pPr>
        <w:pStyle w:val="Heading3"/>
        <w:spacing w:after="150" w:before="300"/>
      </w:pPr>
      <w:r>
        <w:t xml:space="preserve">How the Pipeline Uses Temporal Data</w:t>
      </w:r>
    </w:p>
    <w:p>
      <w:pPr>
        <w:pStyle w:val="ListParagraph"/>
        <w:numPr>
          <w:ilvl w:val="0"/>
          <w:numId w:val="1"/>
        </w:numPr>
        <w:spacing w:after="100"/>
      </w:pPr>
      <w:r>
        <w:t xml:space="preserve">Temporal Consistency factor in the Confidence Score: checks whether an insight appears consistently across multiple weeks and months, or is a spike confined to one period. Consistent signals score higher.</w:t>
      </w:r>
    </w:p>
    <w:p>
      <w:pPr>
        <w:pStyle w:val="ListParagraph"/>
        <w:numPr>
          <w:ilvl w:val="0"/>
          <w:numId w:val="1"/>
        </w:numPr>
        <w:spacing w:after="100"/>
      </w:pPr>
      <w:r>
        <w:t xml:space="preserve">Data Recency factor: items from the last 30 days score 1.0; older items score progressively lower (0.7 for 30–90 days, 0.5 for 90–180 days, 0.3 for older).</w:t>
      </w:r>
    </w:p>
    <w:p>
      <w:pPr>
        <w:pStyle w:val="ListParagraph"/>
        <w:numPr>
          <w:ilvl w:val="0"/>
          <w:numId w:val="1"/>
        </w:numPr>
        <w:spacing w:after="100"/>
      </w:pPr>
      <w:r>
        <w:t xml:space="preserve">Google Trends provides the most reliable temporal signal because it reflects actual search volume over time, not just the presence of content.</w:t>
      </w:r>
    </w:p>
    <w:p>
      <w:pPr>
        <w:spacing w:after="200"/>
      </w:pPr>
    </w:p>
    <w:p>
      <w:pPr>
        <w:pStyle w:val="Heading3"/>
        <w:spacing w:after="150" w:before="300"/>
      </w:pPr>
      <w:r>
        <w:t xml:space="preserve">What This Means for the Report</w:t>
      </w:r>
    </w:p>
    <w:p>
      <w:pPr>
        <w:spacing w:after="160"/>
      </w:pPr>
      <w:r>
        <w:t xml:space="preserve">Findings in this report reflect what online communities are saying, and when. They do not reliably reflect who is saying it in terms of age, gender, income, or precise geography. Reports should not attribute findings to specific demographic segments without a separate primary research study. What this pipeline does well is identify the topics, themes, and sentiments worth investigating further — the "what" and "when" rather than the "who."</w:t>
      </w:r>
    </w:p>
    <w:p>
      <w:pPr>
        <w:spacing w:after="200"/>
      </w:pPr>
    </w:p>
    <w:p>
      <w:pPr>
        <w:pStyle w:val="Heading1"/>
        <w:spacing w:after="200" w:before="400"/>
      </w:pPr>
      <w:r>
        <w:t xml:space="preserve">Cost and Time: What Each Run Actually Takes</w:t>
      </w:r>
    </w:p>
    <w:p>
      <w:pPr>
        <w:pStyle w:val="Heading3"/>
        <w:spacing w:after="150" w:before="300"/>
      </w:pPr>
      <w:r>
        <w:t xml:space="preserve">A. The Actual Thums Up Run (Lowest Cost Method)</w:t>
      </w:r>
    </w:p>
    <w:p>
      <w:pPr>
        <w:spacing w:after="160"/>
      </w:pPr>
      <w:r>
        <w:t xml:space="preserve">This run used exclusively free-tier data sources. The only monetary cost was the Anthropic API for all LLM-powered stages.</w:t>
      </w:r>
    </w:p>
    <w:p>
      <w:pPr>
        <w:spacing w:after="200"/>
      </w:pPr>
    </w:p>
    <w:p>
      <w:pPr>
        <w:spacing w:after="160"/>
      </w:pPr>
      <w:r>
        <w:t xml:space="preserve">Data collection costs: $0 — Reddit public API, YouTube API (free quota), NewsData.io (200 credits/day), OpenAlex, and Google Trends are all free.</w:t>
      </w:r>
    </w:p>
    <w:p>
      <w:pPr>
        <w:spacing w:after="200"/>
      </w:pPr>
    </w:p>
    <w:p>
      <w:pPr>
        <w:spacing w:after="160"/>
      </w:pPr>
      <w:r>
        <w:t xml:space="preserve">Anthropic API costs for 966 items:</w:t>
      </w:r>
    </w:p>
    <w:p>
      <w:pPr>
        <w:pStyle w:val="ListParagraph"/>
        <w:numPr>
          <w:ilvl w:val="0"/>
          <w:numId w:val="1"/>
        </w:numPr>
        <w:spacing w:after="100"/>
      </w:pPr>
      <w:r>
        <w:t xml:space="preserve">Filtering (966 items at approximately 300 tokens each, using Claude Haiku pricing ~$0.0008 per 1,000 input tokens): ~$0.23</w:t>
      </w:r>
    </w:p>
    <w:p>
      <w:pPr>
        <w:pStyle w:val="ListParagraph"/>
        <w:numPr>
          <w:ilvl w:val="0"/>
          <w:numId w:val="1"/>
        </w:numPr>
        <w:spacing w:after="100"/>
      </w:pPr>
      <w:r>
        <w:t xml:space="preserve">Theme extraction, sentiment classification, and synthesis (approximately 200,000 total tokens, using Claude Sonnet pricing ~$0.003 per 1,000 input tokens): ~$0.60</w:t>
      </w:r>
    </w:p>
    <w:p>
      <w:pPr>
        <w:pStyle w:val="ListParagraph"/>
        <w:numPr>
          <w:ilvl w:val="0"/>
          <w:numId w:val="1"/>
        </w:numPr>
        <w:spacing w:after="100"/>
      </w:pPr>
      <w:r>
        <w:t xml:space="preserve">Scoring and insight refinement: ~$0.30</w:t>
      </w:r>
    </w:p>
    <w:p>
      <w:pPr>
        <w:pStyle w:val="ListParagraph"/>
        <w:numPr>
          <w:ilvl w:val="0"/>
          <w:numId w:val="1"/>
        </w:numPr>
        <w:spacing w:after="100"/>
      </w:pPr>
      <w:r>
        <w:t xml:space="preserve">Total: approximately $1–3 per report run (the Anthropic API is the only cost on the free-data tier)</w:t>
      </w:r>
    </w:p>
    <w:p>
      <w:pPr>
        <w:spacing w:after="200"/>
      </w:pPr>
    </w:p>
    <w:p>
      <w:pPr>
        <w:spacing w:after="160"/>
      </w:pPr>
      <w:r>
        <w:t xml:space="preserve">Time breakdown:</w:t>
      </w:r>
    </w:p>
    <w:p>
      <w:pPr>
        <w:pStyle w:val="ListParagraph"/>
        <w:numPr>
          <w:ilvl w:val="0"/>
          <w:numId w:val="1"/>
        </w:numPr>
        <w:spacing w:after="100"/>
      </w:pPr>
      <w:r>
        <w:t xml:space="preserve">Stage 1 (collection): 45–90 minutes. Reddit rate-limiting is the bottleneck at 1 request per 2 seconds across 60+ keyword and subreddit combinations.</w:t>
      </w:r>
    </w:p>
    <w:p>
      <w:pPr>
        <w:pStyle w:val="ListParagraph"/>
        <w:numPr>
          <w:ilvl w:val="0"/>
          <w:numId w:val="1"/>
        </w:numPr>
        <w:spacing w:after="100"/>
      </w:pPr>
      <w:r>
        <w:t xml:space="preserve">Stage 3 (filtering): 20–40 minutes for approximately 1,000 items, using batched LLM calls with rate limiting.</w:t>
      </w:r>
    </w:p>
    <w:p>
      <w:pPr>
        <w:pStyle w:val="ListParagraph"/>
        <w:numPr>
          <w:ilvl w:val="0"/>
          <w:numId w:val="1"/>
        </w:numPr>
        <w:spacing w:after="100"/>
      </w:pPr>
      <w:r>
        <w:t xml:space="preserve">Stage 4 (analysis): 30–60 minutes for two-pass theme extraction across the full corpus.</w:t>
      </w:r>
    </w:p>
    <w:p>
      <w:pPr>
        <w:pStyle w:val="ListParagraph"/>
        <w:numPr>
          <w:ilvl w:val="0"/>
          <w:numId w:val="1"/>
        </w:numPr>
        <w:spacing w:after="100"/>
      </w:pPr>
      <w:r>
        <w:t xml:space="preserve">Stages 5–6 (synthesis and scoring): 15–30 minutes.</w:t>
      </w:r>
    </w:p>
    <w:p>
      <w:pPr>
        <w:pStyle w:val="ListParagraph"/>
        <w:numPr>
          <w:ilvl w:val="0"/>
          <w:numId w:val="1"/>
        </w:numPr>
        <w:spacing w:after="100"/>
      </w:pPr>
      <w:r>
        <w:t xml:space="preserve">Stage 7 (report generation): 2–5 minutes for PPTX and PDF.</w:t>
      </w:r>
    </w:p>
    <w:p>
      <w:pPr>
        <w:pStyle w:val="ListParagraph"/>
        <w:numPr>
          <w:ilvl w:val="0"/>
          <w:numId w:val="1"/>
        </w:numPr>
        <w:spacing w:after="100"/>
      </w:pPr>
      <w:r>
        <w:t xml:space="preserve">Total: approximately 2–4 hours end to end, mostly waiting on API rate limits.</w:t>
      </w:r>
    </w:p>
    <w:p>
      <w:pPr>
        <w:spacing w:after="200"/>
      </w:pPr>
    </w:p>
    <w:p>
      <w:pPr>
        <w:pStyle w:val="Heading3"/>
        <w:spacing w:after="150" w:before="300"/>
      </w:pPr>
      <w:r>
        <w:t xml:space="preserve">B. Maximum Quality Run (All Paid Scrapers and APIs)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tblGrid>
      <w:tr>
        <w:trPr>
          <w:tblHeader/>
        </w:trPr>
        <w:tc>
          <w:tcPr>
            <w:tcW w:type="dxa" w:w="28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Component</w:t>
            </w:r>
          </w:p>
        </w:tc>
        <w:tc>
          <w:tcPr>
            <w:tcW w:type="dxa" w:w="16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Cost per run</w:t>
            </w:r>
          </w:p>
        </w:tc>
        <w:tc>
          <w:tcPr>
            <w:tcW w:type="dxa" w:w="210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Monthly subscription</w:t>
            </w:r>
          </w:p>
        </w:tc>
        <w:tc>
          <w:tcPr>
            <w:tcW w:type="dxa" w:w="2860"/>
            <w:tcBorders>
              <w:top w:val="single" w:color="374151" w:sz="4"/>
              <w:left w:val="single" w:color="374151" w:sz="4"/>
              <w:bottom w:val="single" w:color="374151" w:sz="4"/>
              <w:right w:val="single" w:color="374151" w:sz="4"/>
            </w:tcBorders>
            <w:shd w:fill="E2E8F0" w:color="auto" w:val="clear"/>
          </w:tcPr>
          <w:p>
            <w:pPr>
              <w:spacing w:after="60"/>
            </w:pPr>
            <w:r>
              <w:rPr>
                <w:b/>
                <w:bCs/>
              </w:rPr>
              <w:t xml:space="preserve">Notes</w:t>
            </w:r>
          </w:p>
        </w:tc>
      </w:tr>
      <w:tr>
        <w:tc>
          <w:tcPr>
            <w:tcW w:type="dxa" w:w="2800"/>
            <w:tcBorders>
              <w:top w:val="single" w:color="374151" w:sz="4"/>
              <w:left w:val="single" w:color="374151" w:sz="4"/>
              <w:bottom w:val="single" w:color="374151" w:sz="4"/>
              <w:right w:val="single" w:color="374151" w:sz="4"/>
            </w:tcBorders>
          </w:tcPr>
          <w:p>
            <w:pPr>
              <w:spacing w:after="60"/>
            </w:pPr>
            <w:r>
              <w:t xml:space="preserve">Apify Reddit</w:t>
            </w:r>
          </w:p>
        </w:tc>
        <w:tc>
          <w:tcPr>
            <w:tcW w:type="dxa" w:w="1600"/>
            <w:tcBorders>
              <w:top w:val="single" w:color="374151" w:sz="4"/>
              <w:left w:val="single" w:color="374151" w:sz="4"/>
              <w:bottom w:val="single" w:color="374151" w:sz="4"/>
              <w:right w:val="single" w:color="374151" w:sz="4"/>
            </w:tcBorders>
          </w:tcPr>
          <w:p>
            <w:pPr>
              <w:spacing w:after="60"/>
            </w:pPr>
            <w:r>
              <w:t xml:space="preserve">~$5</w:t>
            </w:r>
          </w:p>
        </w:tc>
        <w:tc>
          <w:tcPr>
            <w:tcW w:type="dxa" w:w="2100"/>
            <w:tcBorders>
              <w:top w:val="single" w:color="374151" w:sz="4"/>
              <w:left w:val="single" w:color="374151" w:sz="4"/>
              <w:bottom w:val="single" w:color="374151" w:sz="4"/>
              <w:right w:val="single" w:color="374151" w:sz="4"/>
            </w:tcBorders>
          </w:tcPr>
          <w:p>
            <w:pPr>
              <w:spacing w:after="60"/>
            </w:pPr>
            <w:r>
              <w:t xml:space="preserve">$49/month Starter</w:t>
            </w:r>
          </w:p>
        </w:tc>
        <w:tc>
          <w:tcPr>
            <w:tcW w:type="dxa" w:w="2860"/>
            <w:tcBorders>
              <w:top w:val="single" w:color="374151" w:sz="4"/>
              <w:left w:val="single" w:color="374151" w:sz="4"/>
              <w:bottom w:val="single" w:color="374151" w:sz="4"/>
              <w:right w:val="single" w:color="374151" w:sz="4"/>
            </w:tcBorders>
          </w:tcPr>
          <w:p>
            <w:pPr>
              <w:spacing w:after="60"/>
            </w:pPr>
            <w:r>
              <w:t xml:space="preserve">5–10x volume vs. public API; no rate limits; historical data</w:t>
            </w:r>
          </w:p>
        </w:tc>
      </w:tr>
      <w:tr>
        <w:tc>
          <w:tcPr>
            <w:tcW w:type="dxa" w:w="2800"/>
            <w:tcBorders>
              <w:top w:val="single" w:color="374151" w:sz="4"/>
              <w:left w:val="single" w:color="374151" w:sz="4"/>
              <w:bottom w:val="single" w:color="374151" w:sz="4"/>
              <w:right w:val="single" w:color="374151" w:sz="4"/>
            </w:tcBorders>
          </w:tcPr>
          <w:p>
            <w:pPr>
              <w:spacing w:after="60"/>
            </w:pPr>
            <w:r>
              <w:t xml:space="preserve">Apify Amazon + Flipkart</w:t>
            </w:r>
          </w:p>
        </w:tc>
        <w:tc>
          <w:tcPr>
            <w:tcW w:type="dxa" w:w="1600"/>
            <w:tcBorders>
              <w:top w:val="single" w:color="374151" w:sz="4"/>
              <w:left w:val="single" w:color="374151" w:sz="4"/>
              <w:bottom w:val="single" w:color="374151" w:sz="4"/>
              <w:right w:val="single" w:color="374151" w:sz="4"/>
            </w:tcBorders>
          </w:tcPr>
          <w:p>
            <w:pPr>
              <w:spacing w:after="60"/>
            </w:pPr>
            <w:r>
              <w:t xml:space="preserve">~$5</w:t>
            </w:r>
          </w:p>
        </w:tc>
        <w:tc>
          <w:tcPr>
            <w:tcW w:type="dxa" w:w="2100"/>
            <w:tcBorders>
              <w:top w:val="single" w:color="374151" w:sz="4"/>
              <w:left w:val="single" w:color="374151" w:sz="4"/>
              <w:bottom w:val="single" w:color="374151" w:sz="4"/>
              <w:right w:val="single" w:color="374151" w:sz="4"/>
            </w:tcBorders>
          </w:tcPr>
          <w:p>
            <w:pPr>
              <w:spacing w:after="60"/>
            </w:pPr>
            <w:r>
              <w:t xml:space="preserve">Included in Apify plan</w:t>
            </w:r>
          </w:p>
        </w:tc>
        <w:tc>
          <w:tcPr>
            <w:tcW w:type="dxa" w:w="2860"/>
            <w:tcBorders>
              <w:top w:val="single" w:color="374151" w:sz="4"/>
              <w:left w:val="single" w:color="374151" w:sz="4"/>
              <w:bottom w:val="single" w:color="374151" w:sz="4"/>
              <w:right w:val="single" w:color="374151" w:sz="4"/>
            </w:tcBorders>
          </w:tcPr>
          <w:p>
            <w:pPr>
              <w:spacing w:after="60"/>
            </w:pPr>
            <w:r>
              <w:t xml:space="preserve">Verified buyer reviews — highest signal quality of any source</w:t>
            </w:r>
          </w:p>
        </w:tc>
      </w:tr>
      <w:tr>
        <w:tc>
          <w:tcPr>
            <w:tcW w:type="dxa" w:w="2800"/>
            <w:tcBorders>
              <w:top w:val="single" w:color="374151" w:sz="4"/>
              <w:left w:val="single" w:color="374151" w:sz="4"/>
              <w:bottom w:val="single" w:color="374151" w:sz="4"/>
              <w:right w:val="single" w:color="374151" w:sz="4"/>
            </w:tcBorders>
          </w:tcPr>
          <w:p>
            <w:pPr>
              <w:spacing w:after="60"/>
            </w:pPr>
            <w:r>
              <w:t xml:space="preserve">Apify Facebook Pages + Instagram</w:t>
            </w:r>
          </w:p>
        </w:tc>
        <w:tc>
          <w:tcPr>
            <w:tcW w:type="dxa" w:w="1600"/>
            <w:tcBorders>
              <w:top w:val="single" w:color="374151" w:sz="4"/>
              <w:left w:val="single" w:color="374151" w:sz="4"/>
              <w:bottom w:val="single" w:color="374151" w:sz="4"/>
              <w:right w:val="single" w:color="374151" w:sz="4"/>
            </w:tcBorders>
          </w:tcPr>
          <w:p>
            <w:pPr>
              <w:spacing w:after="60"/>
            </w:pPr>
            <w:r>
              <w:t xml:space="preserve">~$15–30</w:t>
            </w:r>
          </w:p>
        </w:tc>
        <w:tc>
          <w:tcPr>
            <w:tcW w:type="dxa" w:w="2100"/>
            <w:tcBorders>
              <w:top w:val="single" w:color="374151" w:sz="4"/>
              <w:left w:val="single" w:color="374151" w:sz="4"/>
              <w:bottom w:val="single" w:color="374151" w:sz="4"/>
              <w:right w:val="single" w:color="374151" w:sz="4"/>
            </w:tcBorders>
          </w:tcPr>
          <w:p>
            <w:pPr>
              <w:spacing w:after="60"/>
            </w:pPr>
            <w:r>
              <w:t xml:space="preserve">$99–199/month</w:t>
            </w:r>
          </w:p>
        </w:tc>
        <w:tc>
          <w:tcPr>
            <w:tcW w:type="dxa" w:w="2860"/>
            <w:tcBorders>
              <w:top w:val="single" w:color="374151" w:sz="4"/>
              <w:left w:val="single" w:color="374151" w:sz="4"/>
              <w:bottom w:val="single" w:color="374151" w:sz="4"/>
              <w:right w:val="single" w:color="374151" w:sz="4"/>
            </w:tcBorders>
          </w:tcPr>
          <w:p>
            <w:pPr>
              <w:spacing w:after="60"/>
            </w:pPr>
            <w:r>
              <w:t xml:space="preserve">Public brand Pages only; no keyword search across Facebook</w:t>
            </w:r>
          </w:p>
        </w:tc>
      </w:tr>
      <w:tr>
        <w:tc>
          <w:tcPr>
            <w:tcW w:type="dxa" w:w="2800"/>
            <w:tcBorders>
              <w:top w:val="single" w:color="374151" w:sz="4"/>
              <w:left w:val="single" w:color="374151" w:sz="4"/>
              <w:bottom w:val="single" w:color="374151" w:sz="4"/>
              <w:right w:val="single" w:color="374151" w:sz="4"/>
            </w:tcBorders>
          </w:tcPr>
          <w:p>
            <w:pPr>
              <w:spacing w:after="60"/>
            </w:pPr>
            <w:r>
              <w:t xml:space="preserve">OR: Bright Data (alternative for Meta)</w:t>
            </w:r>
          </w:p>
        </w:tc>
        <w:tc>
          <w:tcPr>
            <w:tcW w:type="dxa" w:w="1600"/>
            <w:tcBorders>
              <w:top w:val="single" w:color="374151" w:sz="4"/>
              <w:left w:val="single" w:color="374151" w:sz="4"/>
              <w:bottom w:val="single" w:color="374151" w:sz="4"/>
              <w:right w:val="single" w:color="374151" w:sz="4"/>
            </w:tcBorders>
          </w:tcPr>
          <w:p>
            <w:pPr>
              <w:spacing w:after="60"/>
            </w:pPr>
            <w:r>
              <w:t xml:space="preserve">~$50–100</w:t>
            </w:r>
          </w:p>
        </w:tc>
        <w:tc>
          <w:tcPr>
            <w:tcW w:type="dxa" w:w="2100"/>
            <w:tcBorders>
              <w:top w:val="single" w:color="374151" w:sz="4"/>
              <w:left w:val="single" w:color="374151" w:sz="4"/>
              <w:bottom w:val="single" w:color="374151" w:sz="4"/>
              <w:right w:val="single" w:color="374151" w:sz="4"/>
            </w:tcBorders>
          </w:tcPr>
          <w:p>
            <w:pPr>
              <w:spacing w:after="60"/>
            </w:pPr>
            <w:r>
              <w:t xml:space="preserve">$499/month</w:t>
            </w:r>
          </w:p>
        </w:tc>
        <w:tc>
          <w:tcPr>
            <w:tcW w:type="dxa" w:w="2860"/>
            <w:tcBorders>
              <w:top w:val="single" w:color="374151" w:sz="4"/>
              <w:left w:val="single" w:color="374151" w:sz="4"/>
              <w:bottom w:val="single" w:color="374151" w:sz="4"/>
              <w:right w:val="single" w:color="374151" w:sz="4"/>
            </w:tcBorders>
          </w:tcPr>
          <w:p>
            <w:pPr>
              <w:spacing w:after="60"/>
            </w:pPr>
            <w:r>
              <w:t xml:space="preserve">More stable for production; $1.50 per 1,000 records</w:t>
            </w:r>
          </w:p>
        </w:tc>
      </w:tr>
      <w:tr>
        <w:tc>
          <w:tcPr>
            <w:tcW w:type="dxa" w:w="2800"/>
            <w:tcBorders>
              <w:top w:val="single" w:color="374151" w:sz="4"/>
              <w:left w:val="single" w:color="374151" w:sz="4"/>
              <w:bottom w:val="single" w:color="374151" w:sz="4"/>
              <w:right w:val="single" w:color="374151" w:sz="4"/>
            </w:tcBorders>
          </w:tcPr>
          <w:p>
            <w:pPr>
              <w:spacing w:after="60"/>
            </w:pPr>
            <w:r>
              <w:t xml:space="preserve">OR: Data365 (alternative for Meta)</w:t>
            </w:r>
          </w:p>
        </w:tc>
        <w:tc>
          <w:tcPr>
            <w:tcW w:type="dxa" w:w="1600"/>
            <w:tcBorders>
              <w:top w:val="single" w:color="374151" w:sz="4"/>
              <w:left w:val="single" w:color="374151" w:sz="4"/>
              <w:bottom w:val="single" w:color="374151" w:sz="4"/>
              <w:right w:val="single" w:color="374151" w:sz="4"/>
            </w:tcBorders>
          </w:tcPr>
          <w:p>
            <w:pPr>
              <w:spacing w:after="60"/>
            </w:pPr>
            <w:r>
              <w:t xml:space="preserve">~10–30 euros</w:t>
            </w:r>
          </w:p>
        </w:tc>
        <w:tc>
          <w:tcPr>
            <w:tcW w:type="dxa" w:w="2100"/>
            <w:tcBorders>
              <w:top w:val="single" w:color="374151" w:sz="4"/>
              <w:left w:val="single" w:color="374151" w:sz="4"/>
              <w:bottom w:val="single" w:color="374151" w:sz="4"/>
              <w:right w:val="single" w:color="374151" w:sz="4"/>
            </w:tcBorders>
          </w:tcPr>
          <w:p>
            <w:pPr>
              <w:spacing w:after="60"/>
            </w:pPr>
            <w:r>
              <w:t xml:space="preserve">300–850 euros/month</w:t>
            </w:r>
          </w:p>
        </w:tc>
        <w:tc>
          <w:tcPr>
            <w:tcW w:type="dxa" w:w="2860"/>
            <w:tcBorders>
              <w:top w:val="single" w:color="374151" w:sz="4"/>
              <w:left w:val="single" w:color="374151" w:sz="4"/>
              <w:bottom w:val="single" w:color="374151" w:sz="4"/>
              <w:right w:val="single" w:color="374151" w:sz="4"/>
            </w:tcBorders>
          </w:tcPr>
          <w:p>
            <w:pPr>
              <w:spacing w:after="60"/>
            </w:pPr>
            <w:r>
              <w:t xml:space="preserve">500K credits/month; powers several enterprise listening tools</w:t>
            </w:r>
          </w:p>
        </w:tc>
      </w:tr>
      <w:tr>
        <w:tc>
          <w:tcPr>
            <w:tcW w:type="dxa" w:w="2800"/>
            <w:tcBorders>
              <w:top w:val="single" w:color="374151" w:sz="4"/>
              <w:left w:val="single" w:color="374151" w:sz="4"/>
              <w:bottom w:val="single" w:color="374151" w:sz="4"/>
              <w:right w:val="single" w:color="374151" w:sz="4"/>
            </w:tcBorders>
          </w:tcPr>
          <w:p>
            <w:pPr>
              <w:spacing w:after="60"/>
            </w:pPr>
            <w:r>
              <w:t xml:space="preserve">NewsData.io Basic</w:t>
            </w:r>
          </w:p>
        </w:tc>
        <w:tc>
          <w:tcPr>
            <w:tcW w:type="dxa" w:w="1600"/>
            <w:tcBorders>
              <w:top w:val="single" w:color="374151" w:sz="4"/>
              <w:left w:val="single" w:color="374151" w:sz="4"/>
              <w:bottom w:val="single" w:color="374151" w:sz="4"/>
              <w:right w:val="single" w:color="374151" w:sz="4"/>
            </w:tcBorders>
          </w:tcPr>
          <w:p>
            <w:pPr>
              <w:spacing w:after="60"/>
            </w:pPr>
            <w:r>
              <w:t xml:space="preserve">~$5</w:t>
            </w:r>
          </w:p>
        </w:tc>
        <w:tc>
          <w:tcPr>
            <w:tcW w:type="dxa" w:w="2100"/>
            <w:tcBorders>
              <w:top w:val="single" w:color="374151" w:sz="4"/>
              <w:left w:val="single" w:color="374151" w:sz="4"/>
              <w:bottom w:val="single" w:color="374151" w:sz="4"/>
              <w:right w:val="single" w:color="374151" w:sz="4"/>
            </w:tcBorders>
          </w:tcPr>
          <w:p>
            <w:pPr>
              <w:spacing w:after="60"/>
            </w:pPr>
            <w:r>
              <w:t xml:space="preserve">$149/month</w:t>
            </w:r>
          </w:p>
        </w:tc>
        <w:tc>
          <w:tcPr>
            <w:tcW w:type="dxa" w:w="2860"/>
            <w:tcBorders>
              <w:top w:val="single" w:color="374151" w:sz="4"/>
              <w:left w:val="single" w:color="374151" w:sz="4"/>
              <w:bottom w:val="single" w:color="374151" w:sz="4"/>
              <w:right w:val="single" w:color="374151" w:sz="4"/>
            </w:tcBorders>
          </w:tcPr>
          <w:p>
            <w:pPr>
              <w:spacing w:after="60"/>
            </w:pPr>
            <w:r>
              <w:t xml:space="preserve">10,000 articles/day vs. 200 on free tier</w:t>
            </w:r>
          </w:p>
        </w:tc>
      </w:tr>
      <w:tr>
        <w:tc>
          <w:tcPr>
            <w:tcW w:type="dxa" w:w="2800"/>
            <w:tcBorders>
              <w:top w:val="single" w:color="374151" w:sz="4"/>
              <w:left w:val="single" w:color="374151" w:sz="4"/>
              <w:bottom w:val="single" w:color="374151" w:sz="4"/>
              <w:right w:val="single" w:color="374151" w:sz="4"/>
            </w:tcBorders>
          </w:tcPr>
          <w:p>
            <w:pPr>
              <w:spacing w:after="60"/>
            </w:pPr>
            <w:r>
              <w:t xml:space="preserve">Serper paid</w:t>
            </w:r>
          </w:p>
        </w:tc>
        <w:tc>
          <w:tcPr>
            <w:tcW w:type="dxa" w:w="1600"/>
            <w:tcBorders>
              <w:top w:val="single" w:color="374151" w:sz="4"/>
              <w:left w:val="single" w:color="374151" w:sz="4"/>
              <w:bottom w:val="single" w:color="374151" w:sz="4"/>
              <w:right w:val="single" w:color="374151" w:sz="4"/>
            </w:tcBorders>
          </w:tcPr>
          <w:p>
            <w:pPr>
              <w:spacing w:after="60"/>
            </w:pPr>
            <w:r>
              <w:t xml:space="preserve">~$1</w:t>
            </w:r>
          </w:p>
        </w:tc>
        <w:tc>
          <w:tcPr>
            <w:tcW w:type="dxa" w:w="2100"/>
            <w:tcBorders>
              <w:top w:val="single" w:color="374151" w:sz="4"/>
              <w:left w:val="single" w:color="374151" w:sz="4"/>
              <w:bottom w:val="single" w:color="374151" w:sz="4"/>
              <w:right w:val="single" w:color="374151" w:sz="4"/>
            </w:tcBorders>
          </w:tcPr>
          <w:p>
            <w:pPr>
              <w:spacing w:after="60"/>
            </w:pPr>
            <w:r>
              <w:t xml:space="preserve">$50/month</w:t>
            </w:r>
          </w:p>
        </w:tc>
        <w:tc>
          <w:tcPr>
            <w:tcW w:type="dxa" w:w="2860"/>
            <w:tcBorders>
              <w:top w:val="single" w:color="374151" w:sz="4"/>
              <w:left w:val="single" w:color="374151" w:sz="4"/>
              <w:bottom w:val="single" w:color="374151" w:sz="4"/>
              <w:right w:val="single" w:color="374151" w:sz="4"/>
            </w:tcBorders>
          </w:tcPr>
          <w:p>
            <w:pPr>
              <w:spacing w:after="60"/>
            </w:pPr>
            <w:r>
              <w:t xml:space="preserve">50,000 queries/month</w:t>
            </w:r>
          </w:p>
        </w:tc>
      </w:tr>
      <w:tr>
        <w:tc>
          <w:tcPr>
            <w:tcW w:type="dxa" w:w="2800"/>
            <w:tcBorders>
              <w:top w:val="single" w:color="374151" w:sz="4"/>
              <w:left w:val="single" w:color="374151" w:sz="4"/>
              <w:bottom w:val="single" w:color="374151" w:sz="4"/>
              <w:right w:val="single" w:color="374151" w:sz="4"/>
            </w:tcBorders>
          </w:tcPr>
          <w:p>
            <w:pPr>
              <w:spacing w:after="60"/>
            </w:pPr>
            <w:r>
              <w:t xml:space="preserve">Anthropic API (8,000–15,000 items)</w:t>
            </w:r>
          </w:p>
        </w:tc>
        <w:tc>
          <w:tcPr>
            <w:tcW w:type="dxa" w:w="1600"/>
            <w:tcBorders>
              <w:top w:val="single" w:color="374151" w:sz="4"/>
              <w:left w:val="single" w:color="374151" w:sz="4"/>
              <w:bottom w:val="single" w:color="374151" w:sz="4"/>
              <w:right w:val="single" w:color="374151" w:sz="4"/>
            </w:tcBorders>
          </w:tcPr>
          <w:p>
            <w:pPr>
              <w:spacing w:after="60"/>
            </w:pPr>
            <w:r>
              <w:t xml:space="preserve">~$8–15</w:t>
            </w:r>
          </w:p>
        </w:tc>
        <w:tc>
          <w:tcPr>
            <w:tcW w:type="dxa" w:w="2100"/>
            <w:tcBorders>
              <w:top w:val="single" w:color="374151" w:sz="4"/>
              <w:left w:val="single" w:color="374151" w:sz="4"/>
              <w:bottom w:val="single" w:color="374151" w:sz="4"/>
              <w:right w:val="single" w:color="374151" w:sz="4"/>
            </w:tcBorders>
          </w:tcPr>
          <w:p>
            <w:pPr>
              <w:spacing w:after="60"/>
            </w:pPr>
            <w:r>
              <w:t xml:space="preserve">—</w:t>
            </w:r>
          </w:p>
        </w:tc>
        <w:tc>
          <w:tcPr>
            <w:tcW w:type="dxa" w:w="2860"/>
            <w:tcBorders>
              <w:top w:val="single" w:color="374151" w:sz="4"/>
              <w:left w:val="single" w:color="374151" w:sz="4"/>
              <w:bottom w:val="single" w:color="374151" w:sz="4"/>
              <w:right w:val="single" w:color="374151" w:sz="4"/>
            </w:tcBorders>
          </w:tcPr>
          <w:p>
            <w:pPr>
              <w:spacing w:after="60"/>
            </w:pPr>
            <w:r>
              <w:t xml:space="preserve">Scales with corpus size; larger corpus = more LLM tokens</w:t>
            </w:r>
          </w:p>
        </w:tc>
      </w:tr>
      <w:tr>
        <w:tc>
          <w:tcPr>
            <w:tcW w:type="dxa" w:w="2800"/>
            <w:tcBorders>
              <w:top w:val="single" w:color="374151" w:sz="4"/>
              <w:left w:val="single" w:color="374151" w:sz="4"/>
              <w:bottom w:val="single" w:color="374151" w:sz="4"/>
              <w:right w:val="single" w:color="374151" w:sz="4"/>
            </w:tcBorders>
          </w:tcPr>
          <w:p>
            <w:pPr>
              <w:spacing w:after="60"/>
            </w:pPr>
            <w:r>
              <w:t xml:space="preserve">Total per run (with Apify for Meta)</w:t>
            </w:r>
          </w:p>
        </w:tc>
        <w:tc>
          <w:tcPr>
            <w:tcW w:type="dxa" w:w="1600"/>
            <w:tcBorders>
              <w:top w:val="single" w:color="374151" w:sz="4"/>
              <w:left w:val="single" w:color="374151" w:sz="4"/>
              <w:bottom w:val="single" w:color="374151" w:sz="4"/>
              <w:right w:val="single" w:color="374151" w:sz="4"/>
            </w:tcBorders>
          </w:tcPr>
          <w:p>
            <w:pPr>
              <w:spacing w:after="60"/>
            </w:pPr>
            <w:r>
              <w:t xml:space="preserve">~$40–60</w:t>
            </w:r>
          </w:p>
        </w:tc>
        <w:tc>
          <w:tcPr>
            <w:tcW w:type="dxa" w:w="2100"/>
            <w:tcBorders>
              <w:top w:val="single" w:color="374151" w:sz="4"/>
              <w:left w:val="single" w:color="374151" w:sz="4"/>
              <w:bottom w:val="single" w:color="374151" w:sz="4"/>
              <w:right w:val="single" w:color="374151" w:sz="4"/>
            </w:tcBorders>
          </w:tcPr>
          <w:p>
            <w:pPr>
              <w:spacing w:after="60"/>
            </w:pPr>
            <w:r>
              <w:t xml:space="preserve">~$350–500/month</w:t>
            </w:r>
          </w:p>
        </w:tc>
        <w:tc>
          <w:tcPr>
            <w:tcW w:type="dxa" w:w="2860"/>
            <w:tcBorders>
              <w:top w:val="single" w:color="374151" w:sz="4"/>
              <w:left w:val="single" w:color="374151" w:sz="4"/>
              <w:bottom w:val="single" w:color="374151" w:sz="4"/>
              <w:right w:val="single" w:color="374151" w:sz="4"/>
            </w:tcBorders>
          </w:tcPr>
          <w:p>
            <w:pPr>
              <w:spacing w:after="60"/>
            </w:pPr>
            <w:r>
              <w:t xml:space="preserve">Approximately 10 runs/month at full volume</w:t>
            </w:r>
          </w:p>
        </w:tc>
      </w:tr>
      <w:tr>
        <w:tc>
          <w:tcPr>
            <w:tcW w:type="dxa" w:w="2800"/>
            <w:tcBorders>
              <w:top w:val="single" w:color="374151" w:sz="4"/>
              <w:left w:val="single" w:color="374151" w:sz="4"/>
              <w:bottom w:val="single" w:color="374151" w:sz="4"/>
              <w:right w:val="single" w:color="374151" w:sz="4"/>
            </w:tcBorders>
          </w:tcPr>
          <w:p>
            <w:pPr>
              <w:spacing w:after="60"/>
            </w:pPr>
            <w:r>
              <w:t xml:space="preserve">Total per run (with Bright Data for Meta)</w:t>
            </w:r>
          </w:p>
        </w:tc>
        <w:tc>
          <w:tcPr>
            <w:tcW w:type="dxa" w:w="1600"/>
            <w:tcBorders>
              <w:top w:val="single" w:color="374151" w:sz="4"/>
              <w:left w:val="single" w:color="374151" w:sz="4"/>
              <w:bottom w:val="single" w:color="374151" w:sz="4"/>
              <w:right w:val="single" w:color="374151" w:sz="4"/>
            </w:tcBorders>
          </w:tcPr>
          <w:p>
            <w:pPr>
              <w:spacing w:after="60"/>
            </w:pPr>
            <w:r>
              <w:t xml:space="preserve">~$75–125</w:t>
            </w:r>
          </w:p>
        </w:tc>
        <w:tc>
          <w:tcPr>
            <w:tcW w:type="dxa" w:w="2100"/>
            <w:tcBorders>
              <w:top w:val="single" w:color="374151" w:sz="4"/>
              <w:left w:val="single" w:color="374151" w:sz="4"/>
              <w:bottom w:val="single" w:color="374151" w:sz="4"/>
              <w:right w:val="single" w:color="374151" w:sz="4"/>
            </w:tcBorders>
          </w:tcPr>
          <w:p>
            <w:pPr>
              <w:spacing w:after="60"/>
            </w:pPr>
            <w:r>
              <w:t xml:space="preserve">~$750–1,100/month</w:t>
            </w:r>
          </w:p>
        </w:tc>
        <w:tc>
          <w:tcPr>
            <w:tcW w:type="dxa" w:w="2860"/>
            <w:tcBorders>
              <w:top w:val="single" w:color="374151" w:sz="4"/>
              <w:left w:val="single" w:color="374151" w:sz="4"/>
              <w:bottom w:val="single" w:color="374151" w:sz="4"/>
              <w:right w:val="single" w:color="374151" w:sz="4"/>
            </w:tcBorders>
          </w:tcPr>
          <w:p>
            <w:pPr>
              <w:spacing w:after="60"/>
            </w:pPr>
            <w:r>
              <w:t xml:space="preserve">Higher stability; recommended for client-facing production runs</w:t>
            </w:r>
          </w:p>
        </w:tc>
      </w:tr>
    </w:tbl>
    <w:p>
      <w:pPr>
        <w:spacing w:after="200"/>
      </w:pPr>
    </w:p>
    <w:p>
      <w:pPr>
        <w:spacing w:after="160"/>
      </w:pPr>
      <w:r>
        <w:t xml:space="preserve">Time at maximum quality:</w:t>
      </w:r>
    </w:p>
    <w:p>
      <w:pPr>
        <w:pStyle w:val="ListParagraph"/>
        <w:numPr>
          <w:ilvl w:val="0"/>
          <w:numId w:val="1"/>
        </w:numPr>
        <w:spacing w:after="100"/>
      </w:pPr>
      <w:r>
        <w:t xml:space="preserve">Stage 1 (collection): 20–40 minutes. Paid APIs remove rate limits; Apify runs actors in parallel cloud infrastructure.</w:t>
      </w:r>
    </w:p>
    <w:p>
      <w:pPr>
        <w:pStyle w:val="ListParagraph"/>
        <w:numPr>
          <w:ilvl w:val="0"/>
          <w:numId w:val="1"/>
        </w:numPr>
        <w:spacing w:after="100"/>
      </w:pPr>
      <w:r>
        <w:t xml:space="preserve">Stage 3 (filtering): 60–90 minutes for approximately 8,000 items.</w:t>
      </w:r>
    </w:p>
    <w:p>
      <w:pPr>
        <w:pStyle w:val="ListParagraph"/>
        <w:numPr>
          <w:ilvl w:val="0"/>
          <w:numId w:val="1"/>
        </w:numPr>
        <w:spacing w:after="100"/>
      </w:pPr>
      <w:r>
        <w:t xml:space="preserve">Stage 4 (analysis): 60–120 minutes for two-pass theme mapping across a larger corpus.</w:t>
      </w:r>
    </w:p>
    <w:p>
      <w:pPr>
        <w:pStyle w:val="ListParagraph"/>
        <w:numPr>
          <w:ilvl w:val="0"/>
          <w:numId w:val="1"/>
        </w:numPr>
        <w:spacing w:after="100"/>
      </w:pPr>
      <w:r>
        <w:t xml:space="preserve">Stages 5–6 (synthesis and scoring): 20–30 minutes.</w:t>
      </w:r>
    </w:p>
    <w:p>
      <w:pPr>
        <w:pStyle w:val="ListParagraph"/>
        <w:numPr>
          <w:ilvl w:val="0"/>
          <w:numId w:val="1"/>
        </w:numPr>
        <w:spacing w:after="100"/>
      </w:pPr>
      <w:r>
        <w:t xml:space="preserve">Total: approximately 2–4 hours. The time savings from paid APIs appear in Stage 1 (collection). The analysis stages take longer because the corpus is larger.</w:t>
      </w:r>
    </w:p>
    <w:p>
      <w:pPr>
        <w:spacing w:after="200"/>
      </w:pPr>
    </w:p>
    <w:p>
      <w:pPr>
        <w:pStyle w:val="Heading3"/>
        <w:spacing w:after="150" w:before="300"/>
      </w:pPr>
      <w:r>
        <w:t xml:space="preserve">What the Budget Does and Does Not Buy</w:t>
      </w:r>
    </w:p>
    <w:p>
      <w:pPr>
        <w:spacing w:after="160"/>
      </w:pPr>
      <w:r>
        <w:t xml:space="preserve">More budget buys: higher data volume, more source diversity, verified purchase data from Amazon and Flipkart, and brand Page data from Facebook and Instagram.</w:t>
      </w:r>
    </w:p>
    <w:p>
      <w:pPr>
        <w:spacing w:after="200"/>
      </w:pPr>
    </w:p>
    <w:p>
      <w:pPr>
        <w:spacing w:after="160"/>
      </w:pPr>
      <w:r>
        <w:t xml:space="preserve">More budget does not buy: keyword search across Facebook (unavailable at any price since CrowdTangle closed), comment author demographics, access to private Groups, or faster LLM processing per item.</w:t>
      </w:r>
    </w:p>
    <w:p>
      <w:pPr>
        <w:spacing w:after="200"/>
      </w:pPr>
    </w:p>
    <w:p>
      <w:pPr>
        <w:spacing w:after="160"/>
      </w:pPr>
      <w:r>
        <w:t xml:space="preserve">The primary return on a larger budget is an improvement in Confidence and Signal Strength scores — which means more insights reach "Key Finding" status and fewer remain in "Watch Closely" or "Noise."</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2026-03-27T14:08:59.731Z</dcterms:created>
  <dcterms:modified xsi:type="dcterms:W3CDTF">2026-03-27T14:08:59.732Z</dcterms:modified>
</cp:coreProperties>
</file>

<file path=docProps/custom.xml><?xml version="1.0" encoding="utf-8"?>
<Properties xmlns="http://schemas.openxmlformats.org/officeDocument/2006/custom-properties" xmlns:vt="http://schemas.openxmlformats.org/officeDocument/2006/docPropsVTypes"/>
</file>