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Lato" w:hAnsi="Lato"/>
          <w:b/>
          <w:i w:val="0"/>
          <w:color w:val="0F2440"/>
          <w:sz w:val="72"/>
        </w:rPr>
        <w:t>Make in India</w:t>
      </w:r>
    </w:p>
    <w:p>
      <w:pPr>
        <w:spacing w:after="80"/>
        <w:jc w:val="left"/>
      </w:pPr>
      <w:r>
        <w:rPr>
          <w:rFonts w:ascii="Lato" w:hAnsi="Lato"/>
          <w:b w:val="0"/>
          <w:i w:val="0"/>
          <w:color w:val="374151"/>
          <w:sz w:val="28"/>
        </w:rPr>
        <w:t>Research Report: Consumer Sentiment &amp; Brand Perception</w:t>
      </w:r>
    </w:p>
    <w:p>
      <w:pPr>
        <w:spacing w:after="560"/>
        <w:jc w:val="left"/>
      </w:pPr>
      <w:r>
        <w:rPr>
          <w:rFonts w:ascii="Lato" w:hAnsi="Lato"/>
          <w:b w:val="0"/>
          <w:i w:val="0"/>
          <w:color w:val="6B7280"/>
          <w:sz w:val="22"/>
        </w:rPr>
        <w:t>Analysis Date: April 2026</w:t>
      </w:r>
    </w:p>
    <w:p>
      <w:pPr>
        <w:spacing w:before="80" w:after="80"/>
        <w:pBdr>
          <w:bottom w:val="single" w:sz="4" w:space="1" w:color="6B7280"/>
        </w:pBdr>
      </w:pPr>
    </w:p>
    <w:p/>
    <w:p>
      <w:pPr>
        <w:spacing w:before="80" w:after="80"/>
        <w:pBdr>
          <w:bottom w:val="single" w:sz="4" w:space="1" w:color="6B7280"/>
        </w:pBdr>
      </w:pPr>
    </w:p>
    <w:p>
      <w:pPr>
        <w:pStyle w:val="Heading2"/>
        <w:jc w:val="left"/>
      </w:pPr>
      <w:r>
        <w:rPr>
          <w:rFonts w:ascii="Lato" w:hAnsi="Lato"/>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Lato" w:hAnsi="Lato"/>
                <w:b w:val="0"/>
                <w:i w:val="0"/>
                <w:color w:val="374151"/>
                <w:sz w:val="22"/>
              </w:rPr>
              <w:t>Items Analysed</w:t>
            </w:r>
          </w:p>
        </w:tc>
        <w:tc>
          <w:tcPr>
            <w:tcW w:type="dxa" w:w="4703"/>
          </w:tcPr>
          <w:p>
            <w:pPr>
              <w:spacing w:before="80" w:after="80"/>
            </w:pPr>
            <w:r/>
            <w:r>
              <w:rPr>
                <w:rFonts w:ascii="Lato" w:hAnsi="Lato"/>
                <w:b/>
                <w:i w:val="0"/>
                <w:color w:val="1E3A5F"/>
                <w:sz w:val="26"/>
              </w:rPr>
              <w:t>3,516</w:t>
            </w:r>
          </w:p>
        </w:tc>
      </w:tr>
      <w:tr>
        <w:tc>
          <w:tcPr>
            <w:tcW w:type="dxa" w:w="4703"/>
          </w:tcPr>
          <w:p>
            <w:pPr>
              <w:spacing w:before="80" w:after="80"/>
            </w:pPr>
            <w:r/>
            <w:r>
              <w:rPr>
                <w:rFonts w:ascii="Lato" w:hAnsi="Lato"/>
                <w:b w:val="0"/>
                <w:i w:val="0"/>
                <w:color w:val="374151"/>
                <w:sz w:val="22"/>
              </w:rPr>
              <w:t>Content Date Range</w:t>
            </w:r>
          </w:p>
        </w:tc>
        <w:tc>
          <w:tcPr>
            <w:tcW w:type="dxa" w:w="4703"/>
          </w:tcPr>
          <w:p>
            <w:pPr>
              <w:spacing w:before="80" w:after="80"/>
            </w:pPr>
            <w:r/>
            <w:r>
              <w:rPr>
                <w:rFonts w:ascii="Lato" w:hAnsi="Lato"/>
                <w:b/>
                <w:i w:val="0"/>
                <w:color w:val="1E3A5F"/>
                <w:sz w:val="26"/>
              </w:rPr>
              <w:t>Dec 2024 - Jan 2026</w:t>
            </w:r>
          </w:p>
        </w:tc>
      </w:tr>
      <w:tr>
        <w:tc>
          <w:tcPr>
            <w:tcW w:type="dxa" w:w="4703"/>
          </w:tcPr>
          <w:p>
            <w:pPr>
              <w:spacing w:before="80" w:after="80"/>
            </w:pPr>
            <w:r/>
            <w:r>
              <w:rPr>
                <w:rFonts w:ascii="Lato" w:hAnsi="Lato"/>
                <w:b w:val="0"/>
                <w:i w:val="0"/>
                <w:color w:val="374151"/>
                <w:sz w:val="22"/>
              </w:rPr>
              <w:t>Insights Identified</w:t>
            </w:r>
          </w:p>
        </w:tc>
        <w:tc>
          <w:tcPr>
            <w:tcW w:type="dxa" w:w="4703"/>
          </w:tcPr>
          <w:p>
            <w:pPr>
              <w:spacing w:before="80" w:after="80"/>
            </w:pPr>
            <w:r/>
            <w:r>
              <w:rPr>
                <w:rFonts w:ascii="Lato" w:hAnsi="Lato"/>
                <w:b/>
                <w:i w:val="0"/>
                <w:color w:val="1E3A5F"/>
                <w:sz w:val="26"/>
              </w:rPr>
              <w:t>12</w:t>
            </w:r>
          </w:p>
        </w:tc>
      </w:tr>
      <w:tr>
        <w:tc>
          <w:tcPr>
            <w:tcW w:type="dxa" w:w="4703"/>
          </w:tcPr>
          <w:p>
            <w:pPr>
              <w:spacing w:before="80" w:after="80"/>
            </w:pPr>
            <w:r/>
            <w:r>
              <w:rPr>
                <w:rFonts w:ascii="Lato" w:hAnsi="Lato"/>
                <w:b w:val="0"/>
                <w:i w:val="0"/>
                <w:color w:val="374151"/>
                <w:sz w:val="22"/>
              </w:rPr>
              <w:t>Net Sentiment Score</w:t>
            </w:r>
          </w:p>
        </w:tc>
        <w:tc>
          <w:tcPr>
            <w:tcW w:type="dxa" w:w="4703"/>
          </w:tcPr>
          <w:p>
            <w:pPr>
              <w:spacing w:before="80" w:after="80"/>
            </w:pPr>
            <w:r/>
            <w:r>
              <w:rPr>
                <w:rFonts w:ascii="Lato" w:hAnsi="Lato"/>
                <w:b/>
                <w:i w:val="0"/>
                <w:color w:val="059669"/>
                <w:sz w:val="26"/>
              </w:rPr>
              <w:t>+23.9%</w:t>
            </w:r>
          </w:p>
        </w:tc>
      </w:tr>
      <w:tr>
        <w:tc>
          <w:tcPr>
            <w:tcW w:type="dxa" w:w="4703"/>
          </w:tcPr>
          <w:p>
            <w:pPr>
              <w:spacing w:before="80" w:after="80"/>
            </w:pPr>
            <w:r/>
            <w:r>
              <w:rPr>
                <w:rFonts w:ascii="Lato" w:hAnsi="Lato"/>
                <w:b w:val="0"/>
                <w:i w:val="0"/>
                <w:color w:val="374151"/>
                <w:sz w:val="22"/>
              </w:rPr>
              <w:t>Brand Health Score</w:t>
            </w:r>
          </w:p>
        </w:tc>
        <w:tc>
          <w:tcPr>
            <w:tcW w:type="dxa" w:w="4703"/>
          </w:tcPr>
          <w:p>
            <w:pPr>
              <w:spacing w:before="80" w:after="80"/>
            </w:pPr>
            <w:r/>
            <w:r>
              <w:rPr>
                <w:rFonts w:ascii="Lato" w:hAnsi="Lato"/>
                <w:b/>
                <w:i w:val="0"/>
                <w:color w:val="D97706"/>
                <w:sz w:val="26"/>
              </w:rPr>
              <w:t>69/100</w:t>
            </w:r>
          </w:p>
        </w:tc>
      </w:tr>
      <w:tr>
        <w:tc>
          <w:tcPr>
            <w:tcW w:type="dxa" w:w="4703"/>
          </w:tcPr>
          <w:p>
            <w:pPr>
              <w:spacing w:before="80" w:after="80"/>
            </w:pPr>
            <w:r/>
            <w:r>
              <w:rPr>
                <w:rFonts w:ascii="Lato" w:hAnsi="Lato"/>
                <w:b w:val="0"/>
                <w:i w:val="0"/>
                <w:color w:val="374151"/>
                <w:sz w:val="22"/>
              </w:rPr>
              <w:t>Data Sources</w:t>
            </w:r>
          </w:p>
        </w:tc>
        <w:tc>
          <w:tcPr>
            <w:tcW w:type="dxa" w:w="4703"/>
          </w:tcPr>
          <w:p>
            <w:pPr>
              <w:spacing w:before="80" w:after="80"/>
            </w:pPr>
            <w:r/>
            <w:r>
              <w:rPr>
                <w:rFonts w:ascii="Lato" w:hAnsi="Lato"/>
                <w:b/>
                <w:i w:val="0"/>
                <w:color w:val="1E3A5F"/>
                <w:sz w:val="26"/>
              </w:rPr>
              <w:t>4 platforms</w:t>
            </w:r>
          </w:p>
        </w:tc>
      </w:tr>
    </w:tbl>
    <w:p>
      <w:r>
        <w:br w:type="page"/>
      </w:r>
    </w:p>
    <w:p>
      <w:pPr>
        <w:pStyle w:val="Heading1"/>
        <w:jc w:val="left"/>
      </w:pPr>
      <w:r>
        <w:rPr>
          <w:rFonts w:ascii="Lato" w:hAnsi="Lato"/>
          <w:b/>
          <w:color w:val="1E3A5F"/>
          <w:sz w:val="44"/>
        </w:rPr>
        <w:t>Data Universe</w:t>
      </w:r>
    </w:p>
    <w:p>
      <w:pPr>
        <w:pStyle w:val="Heading2"/>
        <w:jc w:val="left"/>
      </w:pPr>
      <w:r>
        <w:rPr>
          <w:rFonts w:ascii="Lato" w:hAnsi="Lato"/>
          <w:b/>
          <w:color w:val="1E3A5F"/>
          <w:sz w:val="32"/>
        </w:rPr>
        <w:t>Collection Funnel</w:t>
      </w:r>
    </w:p>
    <w:p>
      <w:pPr>
        <w:spacing w:after="120" w:before="0"/>
      </w:pPr>
      <w:r>
        <w:rPr>
          <w:rFonts w:ascii="Lato" w:hAnsi="Lato"/>
          <w:b w:val="0"/>
          <w:i w:val="0"/>
          <w:sz w:val="22"/>
        </w:rPr>
        <w:t>Of 0 raw data points collected across all sources, 22,860 remained after deduplication and quality filtering, and 3,516 passed LLM relevance classification (0.0% of total collected). These 3,516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Stage</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Notes</w:t>
            </w:r>
          </w:p>
        </w:tc>
      </w:tr>
      <w:tr>
        <w:tc>
          <w:tcPr>
            <w:tcW w:type="dxa" w:w="3135"/>
          </w:tcPr>
          <w:p>
            <w:pPr>
              <w:spacing w:before="60" w:after="60"/>
            </w:pPr>
            <w:r/>
            <w:r>
              <w:rPr>
                <w:rFonts w:ascii="Lato" w:hAnsi="Lato"/>
                <w:b w:val="0"/>
                <w:i w:val="0"/>
                <w:color w:val="374151"/>
                <w:sz w:val="20"/>
              </w:rPr>
              <w:t>Raw collected</w:t>
            </w:r>
          </w:p>
        </w:tc>
        <w:tc>
          <w:tcPr>
            <w:tcW w:type="dxa" w:w="3135"/>
          </w:tcPr>
          <w:p>
            <w:pPr>
              <w:spacing w:before="60" w:after="60"/>
            </w:pPr>
            <w:r/>
            <w:r>
              <w:rPr>
                <w:rFonts w:ascii="Lato" w:hAnsi="Lato"/>
                <w:b w:val="0"/>
                <w:i w:val="0"/>
                <w:color w:val="374151"/>
                <w:sz w:val="20"/>
              </w:rPr>
              <w:t>0</w:t>
            </w:r>
          </w:p>
        </w:tc>
        <w:tc>
          <w:tcPr>
            <w:tcW w:type="dxa" w:w="3135"/>
          </w:tcPr>
          <w:p>
            <w:pPr>
              <w:spacing w:before="60" w:after="60"/>
            </w:pPr>
            <w:r/>
            <w:r>
              <w:rPr>
                <w:rFonts w:ascii="Lato" w:hAnsi="Lato"/>
                <w:b w:val="0"/>
                <w:i w:val="0"/>
                <w:color w:val="374151"/>
                <w:sz w:val="20"/>
              </w:rPr>
              <w:t>All posts, comments, articles and videos gathered across all platforms</w:t>
            </w:r>
          </w:p>
        </w:tc>
      </w:tr>
      <w:tr>
        <w:tc>
          <w:tcPr>
            <w:tcW w:type="dxa" w:w="3135"/>
          </w:tcPr>
          <w:p>
            <w:pPr>
              <w:spacing w:before="60" w:after="60"/>
            </w:pPr>
            <w:r/>
            <w:r>
              <w:rPr>
                <w:rFonts w:ascii="Lato" w:hAnsi="Lato"/>
                <w:b w:val="0"/>
                <w:i w:val="0"/>
                <w:color w:val="374151"/>
                <w:sz w:val="20"/>
              </w:rPr>
              <w:t>After deduplication &amp; quality filter</w:t>
            </w:r>
          </w:p>
        </w:tc>
        <w:tc>
          <w:tcPr>
            <w:tcW w:type="dxa" w:w="3135"/>
          </w:tcPr>
          <w:p>
            <w:pPr>
              <w:spacing w:before="60" w:after="60"/>
            </w:pPr>
            <w:r/>
            <w:r>
              <w:rPr>
                <w:rFonts w:ascii="Lato" w:hAnsi="Lato"/>
                <w:b w:val="0"/>
                <w:i w:val="0"/>
                <w:color w:val="374151"/>
                <w:sz w:val="20"/>
              </w:rPr>
              <w:t>22,860</w:t>
            </w:r>
          </w:p>
        </w:tc>
        <w:tc>
          <w:tcPr>
            <w:tcW w:type="dxa" w:w="3135"/>
          </w:tcPr>
          <w:p>
            <w:pPr>
              <w:spacing w:before="60" w:after="60"/>
            </w:pPr>
            <w:r/>
            <w:r>
              <w:rPr>
                <w:rFonts w:ascii="Lato" w:hAnsi="Lato"/>
                <w:b w:val="0"/>
                <w:i w:val="0"/>
                <w:color w:val="374151"/>
                <w:sz w:val="20"/>
              </w:rPr>
              <w:t>Thread dedup (max 5 comments/thread, random selection), empty/short text removed</w:t>
            </w:r>
          </w:p>
        </w:tc>
      </w:tr>
      <w:tr>
        <w:tc>
          <w:tcPr>
            <w:tcW w:type="dxa" w:w="3135"/>
          </w:tcPr>
          <w:p>
            <w:pPr>
              <w:spacing w:before="60" w:after="60"/>
            </w:pPr>
            <w:r/>
            <w:r>
              <w:rPr>
                <w:rFonts w:ascii="Lato" w:hAnsi="Lato"/>
                <w:b w:val="0"/>
                <w:i w:val="0"/>
                <w:color w:val="374151"/>
                <w:sz w:val="20"/>
              </w:rPr>
              <w:t>After relevance classification</w:t>
            </w:r>
          </w:p>
        </w:tc>
        <w:tc>
          <w:tcPr>
            <w:tcW w:type="dxa" w:w="3135"/>
          </w:tcPr>
          <w:p>
            <w:pPr>
              <w:spacing w:before="60" w:after="60"/>
            </w:pPr>
            <w:r/>
            <w:r>
              <w:rPr>
                <w:rFonts w:ascii="Lato" w:hAnsi="Lato"/>
                <w:b w:val="0"/>
                <w:i w:val="0"/>
                <w:color w:val="374151"/>
                <w:sz w:val="20"/>
              </w:rPr>
              <w:t>3,516</w:t>
            </w:r>
          </w:p>
        </w:tc>
        <w:tc>
          <w:tcPr>
            <w:tcW w:type="dxa" w:w="3135"/>
          </w:tcPr>
          <w:p>
            <w:pPr>
              <w:spacing w:before="60" w:after="60"/>
            </w:pPr>
            <w:r/>
            <w:r>
              <w:rPr>
                <w:rFonts w:ascii="Lato" w:hAnsi="Lato"/>
                <w:b w:val="0"/>
                <w:i w:val="0"/>
                <w:color w:val="374151"/>
                <w:sz w:val="20"/>
              </w:rPr>
              <w:t>LLM relevance filter — 0.0% of raw collected. Analysis corpus.</w:t>
            </w:r>
          </w:p>
        </w:tc>
      </w:tr>
    </w:tbl>
    <w:p/>
    <w:p>
      <w:pPr>
        <w:pStyle w:val="Heading2"/>
        <w:jc w:val="left"/>
      </w:pPr>
      <w:r>
        <w:rPr>
          <w:rFonts w:ascii="Lato" w:hAnsi="Lato"/>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Platform</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Share of Corpus</w:t>
            </w:r>
          </w:p>
        </w:tc>
      </w:tr>
      <w:tr>
        <w:tc>
          <w:tcPr>
            <w:tcW w:type="dxa" w:w="3135"/>
          </w:tcPr>
          <w:p>
            <w:pPr>
              <w:spacing w:before="60" w:after="60"/>
            </w:pPr>
            <w:r/>
            <w:r>
              <w:rPr>
                <w:rFonts w:ascii="Lato" w:hAnsi="Lato"/>
                <w:b w:val="0"/>
                <w:i w:val="0"/>
                <w:color w:val="374151"/>
                <w:sz w:val="20"/>
              </w:rPr>
              <w:t>Twitter</w:t>
            </w:r>
          </w:p>
        </w:tc>
        <w:tc>
          <w:tcPr>
            <w:tcW w:type="dxa" w:w="3135"/>
          </w:tcPr>
          <w:p>
            <w:pPr>
              <w:spacing w:before="60" w:after="60"/>
            </w:pPr>
            <w:r/>
            <w:r>
              <w:rPr>
                <w:rFonts w:ascii="Lato" w:hAnsi="Lato"/>
                <w:b w:val="0"/>
                <w:i w:val="0"/>
                <w:color w:val="374151"/>
                <w:sz w:val="20"/>
              </w:rPr>
              <w:t>2266</w:t>
            </w:r>
          </w:p>
        </w:tc>
        <w:tc>
          <w:tcPr>
            <w:tcW w:type="dxa" w:w="3135"/>
          </w:tcPr>
          <w:p>
            <w:pPr>
              <w:spacing w:before="60" w:after="60"/>
            </w:pPr>
            <w:r/>
            <w:r>
              <w:rPr>
                <w:rFonts w:ascii="Lato" w:hAnsi="Lato"/>
                <w:b w:val="0"/>
                <w:i w:val="0"/>
                <w:color w:val="374151"/>
                <w:sz w:val="20"/>
              </w:rPr>
              <w:t>64.4%</w:t>
            </w:r>
          </w:p>
        </w:tc>
      </w:tr>
      <w:tr>
        <w:tc>
          <w:tcPr>
            <w:tcW w:type="dxa" w:w="3135"/>
          </w:tcPr>
          <w:p>
            <w:pPr>
              <w:spacing w:before="60" w:after="60"/>
            </w:pPr>
            <w:r/>
            <w:r>
              <w:rPr>
                <w:rFonts w:ascii="Lato" w:hAnsi="Lato"/>
                <w:b w:val="0"/>
                <w:i w:val="0"/>
                <w:color w:val="374151"/>
                <w:sz w:val="20"/>
              </w:rPr>
              <w:t>Youtube</w:t>
            </w:r>
          </w:p>
        </w:tc>
        <w:tc>
          <w:tcPr>
            <w:tcW w:type="dxa" w:w="3135"/>
          </w:tcPr>
          <w:p>
            <w:pPr>
              <w:spacing w:before="60" w:after="60"/>
            </w:pPr>
            <w:r/>
            <w:r>
              <w:rPr>
                <w:rFonts w:ascii="Lato" w:hAnsi="Lato"/>
                <w:b w:val="0"/>
                <w:i w:val="0"/>
                <w:color w:val="374151"/>
                <w:sz w:val="20"/>
              </w:rPr>
              <w:t>887</w:t>
            </w:r>
          </w:p>
        </w:tc>
        <w:tc>
          <w:tcPr>
            <w:tcW w:type="dxa" w:w="3135"/>
          </w:tcPr>
          <w:p>
            <w:pPr>
              <w:spacing w:before="60" w:after="60"/>
            </w:pPr>
            <w:r/>
            <w:r>
              <w:rPr>
                <w:rFonts w:ascii="Lato" w:hAnsi="Lato"/>
                <w:b w:val="0"/>
                <w:i w:val="0"/>
                <w:color w:val="374151"/>
                <w:sz w:val="20"/>
              </w:rPr>
              <w:t>25.2%</w:t>
            </w:r>
          </w:p>
        </w:tc>
      </w:tr>
      <w:tr>
        <w:tc>
          <w:tcPr>
            <w:tcW w:type="dxa" w:w="3135"/>
          </w:tcPr>
          <w:p>
            <w:pPr>
              <w:spacing w:before="60" w:after="60"/>
            </w:pPr>
            <w:r/>
            <w:r>
              <w:rPr>
                <w:rFonts w:ascii="Lato" w:hAnsi="Lato"/>
                <w:b w:val="0"/>
                <w:i w:val="0"/>
                <w:color w:val="374151"/>
                <w:sz w:val="20"/>
              </w:rPr>
              <w:t>Reddit</w:t>
            </w:r>
          </w:p>
        </w:tc>
        <w:tc>
          <w:tcPr>
            <w:tcW w:type="dxa" w:w="3135"/>
          </w:tcPr>
          <w:p>
            <w:pPr>
              <w:spacing w:before="60" w:after="60"/>
            </w:pPr>
            <w:r/>
            <w:r>
              <w:rPr>
                <w:rFonts w:ascii="Lato" w:hAnsi="Lato"/>
                <w:b w:val="0"/>
                <w:i w:val="0"/>
                <w:color w:val="374151"/>
                <w:sz w:val="20"/>
              </w:rPr>
              <w:t>310</w:t>
            </w:r>
          </w:p>
        </w:tc>
        <w:tc>
          <w:tcPr>
            <w:tcW w:type="dxa" w:w="3135"/>
          </w:tcPr>
          <w:p>
            <w:pPr>
              <w:spacing w:before="60" w:after="60"/>
            </w:pPr>
            <w:r/>
            <w:r>
              <w:rPr>
                <w:rFonts w:ascii="Lato" w:hAnsi="Lato"/>
                <w:b w:val="0"/>
                <w:i w:val="0"/>
                <w:color w:val="374151"/>
                <w:sz w:val="20"/>
              </w:rPr>
              <w:t>8.8%</w:t>
            </w:r>
          </w:p>
        </w:tc>
      </w:tr>
      <w:tr>
        <w:tc>
          <w:tcPr>
            <w:tcW w:type="dxa" w:w="3135"/>
          </w:tcPr>
          <w:p>
            <w:pPr>
              <w:spacing w:before="60" w:after="60"/>
            </w:pPr>
            <w:r/>
            <w:r>
              <w:rPr>
                <w:rFonts w:ascii="Lato" w:hAnsi="Lato"/>
                <w:b w:val="0"/>
                <w:i w:val="0"/>
                <w:color w:val="374151"/>
                <w:sz w:val="20"/>
              </w:rPr>
              <w:t>Instagram</w:t>
            </w:r>
          </w:p>
        </w:tc>
        <w:tc>
          <w:tcPr>
            <w:tcW w:type="dxa" w:w="3135"/>
          </w:tcPr>
          <w:p>
            <w:pPr>
              <w:spacing w:before="60" w:after="60"/>
            </w:pPr>
            <w:r/>
            <w:r>
              <w:rPr>
                <w:rFonts w:ascii="Lato" w:hAnsi="Lato"/>
                <w:b w:val="0"/>
                <w:i w:val="0"/>
                <w:color w:val="374151"/>
                <w:sz w:val="20"/>
              </w:rPr>
              <w:t>53</w:t>
            </w:r>
          </w:p>
        </w:tc>
        <w:tc>
          <w:tcPr>
            <w:tcW w:type="dxa" w:w="3135"/>
          </w:tcPr>
          <w:p>
            <w:pPr>
              <w:spacing w:before="60" w:after="60"/>
            </w:pPr>
            <w:r/>
            <w:r>
              <w:rPr>
                <w:rFonts w:ascii="Lato" w:hAnsi="Lato"/>
                <w:b w:val="0"/>
                <w:i w:val="0"/>
                <w:color w:val="374151"/>
                <w:sz w:val="20"/>
              </w:rPr>
              <w:t>1.5%</w:t>
            </w:r>
          </w:p>
        </w:tc>
      </w:tr>
    </w:tbl>
    <w:p>
      <w:pPr>
        <w:jc w:val="center"/>
      </w:pPr>
      <w:r>
        <w:drawing>
          <wp:inline xmlns:a="http://schemas.openxmlformats.org/drawingml/2006/main" xmlns:pic="http://schemas.openxmlformats.org/drawingml/2006/picture">
            <wp:extent cx="4114800" cy="1408928"/>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8928"/>
                    </a:xfrm>
                    <a:prstGeom prst="rect"/>
                  </pic:spPr>
                </pic:pic>
              </a:graphicData>
            </a:graphic>
          </wp:inline>
        </w:drawing>
      </w:r>
    </w:p>
    <w:p>
      <w:pPr>
        <w:spacing w:after="240"/>
        <w:jc w:val="center"/>
      </w:pPr>
      <w:r>
        <w:rPr>
          <w:rFonts w:ascii="Lato" w:hAnsi="Lato"/>
          <w:b w:val="0"/>
          <w:i/>
          <w:color w:val="6B7280"/>
          <w:sz w:val="18"/>
        </w:rPr>
        <w:t>Figure 1: Item distribution by source platform</w:t>
      </w:r>
    </w:p>
    <w:p>
      <w:pPr>
        <w:pStyle w:val="Heading2"/>
        <w:jc w:val="left"/>
      </w:pPr>
      <w:r>
        <w:rPr>
          <w:rFonts w:ascii="Lato" w:hAnsi="Lato"/>
          <w:b/>
          <w:color w:val="1E3A5F"/>
          <w:sz w:val="32"/>
        </w:rPr>
        <w:t>Temporal Distribution</w:t>
      </w:r>
    </w:p>
    <w:p>
      <w:pPr>
        <w:spacing w:after="120" w:before="0"/>
      </w:pPr>
      <w:r>
        <w:rPr>
          <w:rFonts w:ascii="Lato" w:hAnsi="Lato"/>
          <w:b w:val="0"/>
          <w:i w:val="0"/>
          <w:sz w:val="22"/>
        </w:rPr>
        <w:t>The chart below shows when the analysed content was originally published, based on source timestamps. Percentages are of the full corpus. Items without a source timestamp are shown separately as 'Undated'.</w:t>
      </w:r>
    </w:p>
    <w:p>
      <w:pPr>
        <w:jc w:val="center"/>
      </w:pPr>
      <w:r>
        <w:drawing>
          <wp:inline xmlns:a="http://schemas.openxmlformats.org/drawingml/2006/main" xmlns:pic="http://schemas.openxmlformats.org/drawingml/2006/picture">
            <wp:extent cx="4572000" cy="1968099"/>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4572000" cy="1968099"/>
                    </a:xfrm>
                    <a:prstGeom prst="rect"/>
                  </pic:spPr>
                </pic:pic>
              </a:graphicData>
            </a:graphic>
          </wp:inline>
        </w:drawing>
      </w:r>
    </w:p>
    <w:p>
      <w:pPr>
        <w:spacing w:after="240"/>
        <w:jc w:val="center"/>
      </w:pPr>
      <w:r>
        <w:rPr>
          <w:rFonts w:ascii="Lato" w:hAnsi="Lato"/>
          <w:b w:val="0"/>
          <w:i/>
          <w:color w:val="6B7280"/>
          <w:sz w:val="18"/>
        </w:rPr>
        <w:t>Figure 2: Content publication date by year (full corpus denominator)</w:t>
      </w:r>
    </w:p>
    <w:p>
      <w:pPr>
        <w:pStyle w:val="Heading2"/>
        <w:jc w:val="left"/>
      </w:pPr>
      <w:r>
        <w:rPr>
          <w:rFonts w:ascii="Lato" w:hAnsi="Lato"/>
          <w:b/>
          <w:color w:val="1E3A5F"/>
          <w:sz w:val="32"/>
        </w:rPr>
        <w:t>Collection Methodology</w:t>
      </w:r>
    </w:p>
    <w:p>
      <w:pPr>
        <w:spacing w:after="120" w:before="0"/>
      </w:pPr>
      <w:r>
        <w:rPr>
          <w:rFonts w:ascii="Lato" w:hAnsi="Lato"/>
          <w:b w:val="0"/>
          <w:i w:val="0"/>
          <w:sz w:val="22"/>
        </w:rPr>
        <w:t>Data was collected using automated scrapers with engagement-weighted filtering applied per platform. Thread-level deduplication caps comments per thread to prevent over-indexing vocal threads. All items passed an LLM relevance classification step before analysis.</w:t>
      </w:r>
    </w:p>
    <w:p>
      <w:r>
        <w:br w:type="page"/>
      </w:r>
    </w:p>
    <w:p>
      <w:pPr>
        <w:pStyle w:val="Heading1"/>
        <w:jc w:val="left"/>
      </w:pPr>
      <w:r>
        <w:rPr>
          <w:rFonts w:ascii="Lato" w:hAnsi="Lato"/>
          <w:b/>
          <w:color w:val="1E3A5F"/>
          <w:sz w:val="44"/>
        </w:rPr>
        <w:t>Sentiment &amp; Emotion Analysis</w:t>
      </w:r>
    </w:p>
    <w:p>
      <w:pPr>
        <w:pStyle w:val="Heading2"/>
        <w:jc w:val="left"/>
      </w:pPr>
      <w:r>
        <w:rPr>
          <w:rFonts w:ascii="Lato" w:hAnsi="Lato"/>
          <w:b/>
          <w:color w:val="1E3A5F"/>
          <w:sz w:val="32"/>
        </w:rPr>
        <w:t>Overall Sentiment Distribution</w:t>
      </w:r>
    </w:p>
    <w:p>
      <w:pPr>
        <w:spacing w:after="120" w:before="0"/>
      </w:pPr>
      <w:r>
        <w:rPr>
          <w:rFonts w:ascii="Lato" w:hAnsi="Lato"/>
          <w:b w:val="0"/>
          <w:i w:val="0"/>
          <w:sz w:val="22"/>
        </w:rPr>
        <w:t>Net Sentiment Score (NSS): +23.9%  |  Positive: 1494 (42.5%)  |  Negative: 652 (18.5%)  |  Neutral: 992 (28.2%)</w:t>
      </w:r>
    </w:p>
    <w:p>
      <w:pPr>
        <w:spacing w:after="120" w:before="0"/>
      </w:pPr>
      <w:r>
        <w:rPr>
          <w:rFonts w:ascii="Lato" w:hAnsi="Lato"/>
          <w:b w:val="0"/>
          <w:i/>
          <w:color w:val="6B7280"/>
          <w:sz w:val="22"/>
        </w:rPr>
        <w:t>NSS is computed as (positive - negative) / total items. Range: -1.0 (all negative) to +1.0 (all positive). Neutral and mixed items remain in the denominator, anchoring the score to the full corpus rather than just polarised items. A positive NSS indicates net favourable sentiment; a negative NSS indicates net unfavourable.</w:t>
      </w:r>
    </w:p>
    <w:p>
      <w:pPr>
        <w:jc w:val="center"/>
      </w:pPr>
      <w:r>
        <w:drawing>
          <wp:inline xmlns:a="http://schemas.openxmlformats.org/drawingml/2006/main" xmlns:pic="http://schemas.openxmlformats.org/drawingml/2006/picture">
            <wp:extent cx="4572000" cy="1681223"/>
            <wp:docPr id="3" name="Picture 3"/>
            <wp:cNvGraphicFramePr>
              <a:graphicFrameLocks noChangeAspect="1"/>
            </wp:cNvGraphicFramePr>
            <a:graphic>
              <a:graphicData uri="http://schemas.openxmlformats.org/drawingml/2006/picture">
                <pic:pic>
                  <pic:nvPicPr>
                    <pic:cNvPr id="0" name="chart_sentiment.png"/>
                    <pic:cNvPicPr/>
                  </pic:nvPicPr>
                  <pic:blipFill>
                    <a:blip r:embed="rId11"/>
                    <a:stretch>
                      <a:fillRect/>
                    </a:stretch>
                  </pic:blipFill>
                  <pic:spPr>
                    <a:xfrm>
                      <a:off x="0" y="0"/>
                      <a:ext cx="4572000" cy="1681223"/>
                    </a:xfrm>
                    <a:prstGeom prst="rect"/>
                  </pic:spPr>
                </pic:pic>
              </a:graphicData>
            </a:graphic>
          </wp:inline>
        </w:drawing>
      </w:r>
    </w:p>
    <w:p>
      <w:pPr>
        <w:spacing w:after="240"/>
        <w:jc w:val="center"/>
      </w:pPr>
      <w:r>
        <w:rPr>
          <w:rFonts w:ascii="Lato" w:hAnsi="Lato"/>
          <w:b w:val="0"/>
          <w:i/>
          <w:color w:val="6B7280"/>
          <w:sz w:val="18"/>
        </w:rPr>
        <w:t>Figure 2: Sentiment distribution across 3,516 items</w:t>
      </w:r>
    </w:p>
    <w:p>
      <w:pPr>
        <w:pStyle w:val="Heading2"/>
        <w:jc w:val="left"/>
      </w:pPr>
      <w:r>
        <w:rPr>
          <w:rFonts w:ascii="Lato" w:hAnsi="Lato"/>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Lato" w:hAnsi="Lato"/>
                <w:b/>
                <w:i w:val="0"/>
                <w:color w:val="FFFFFF"/>
                <w:sz w:val="20"/>
              </w:rPr>
              <w:t>Emotion</w:t>
            </w:r>
          </w:p>
        </w:tc>
        <w:tc>
          <w:tcPr>
            <w:tcW w:type="dxa" w:w="4703"/>
            <w:shd w:val="clear" w:color="auto" w:fill="1E3A5F"/>
          </w:tcPr>
          <w:p>
            <w:pPr>
              <w:spacing w:before="60" w:after="60"/>
            </w:pPr>
            <w:r/>
            <w:r>
              <w:rPr>
                <w:rFonts w:ascii="Lato" w:hAnsi="Lato"/>
                <w:b/>
                <w:i w:val="0"/>
                <w:color w:val="FFFFFF"/>
                <w:sz w:val="20"/>
              </w:rPr>
              <w:t>Count</w:t>
            </w:r>
          </w:p>
        </w:tc>
      </w:tr>
      <w:tr>
        <w:tc>
          <w:tcPr>
            <w:tcW w:type="dxa" w:w="4703"/>
          </w:tcPr>
          <w:p>
            <w:pPr>
              <w:spacing w:before="60" w:after="60"/>
            </w:pPr>
            <w:r/>
            <w:r>
              <w:rPr>
                <w:rFonts w:ascii="Lato" w:hAnsi="Lato"/>
                <w:b w:val="0"/>
                <w:i w:val="0"/>
                <w:color w:val="374151"/>
                <w:sz w:val="20"/>
              </w:rPr>
              <w:t>Trust</w:t>
            </w:r>
          </w:p>
        </w:tc>
        <w:tc>
          <w:tcPr>
            <w:tcW w:type="dxa" w:w="4703"/>
          </w:tcPr>
          <w:p>
            <w:pPr>
              <w:spacing w:before="60" w:after="60"/>
            </w:pPr>
            <w:r/>
            <w:r>
              <w:rPr>
                <w:rFonts w:ascii="Lato" w:hAnsi="Lato"/>
                <w:b w:val="0"/>
                <w:i w:val="0"/>
                <w:color w:val="374151"/>
                <w:sz w:val="20"/>
              </w:rPr>
              <w:t>944</w:t>
            </w:r>
          </w:p>
        </w:tc>
      </w:tr>
      <w:tr>
        <w:tc>
          <w:tcPr>
            <w:tcW w:type="dxa" w:w="4703"/>
          </w:tcPr>
          <w:p>
            <w:pPr>
              <w:spacing w:before="60" w:after="60"/>
            </w:pPr>
            <w:r/>
            <w:r>
              <w:rPr>
                <w:rFonts w:ascii="Lato" w:hAnsi="Lato"/>
                <w:b w:val="0"/>
                <w:i w:val="0"/>
                <w:color w:val="374151"/>
                <w:sz w:val="20"/>
              </w:rPr>
              <w:t>Joy</w:t>
            </w:r>
          </w:p>
        </w:tc>
        <w:tc>
          <w:tcPr>
            <w:tcW w:type="dxa" w:w="4703"/>
          </w:tcPr>
          <w:p>
            <w:pPr>
              <w:spacing w:before="60" w:after="60"/>
            </w:pPr>
            <w:r/>
            <w:r>
              <w:rPr>
                <w:rFonts w:ascii="Lato" w:hAnsi="Lato"/>
                <w:b w:val="0"/>
                <w:i w:val="0"/>
                <w:color w:val="374151"/>
                <w:sz w:val="20"/>
              </w:rPr>
              <w:t>852</w:t>
            </w:r>
          </w:p>
        </w:tc>
      </w:tr>
      <w:tr>
        <w:tc>
          <w:tcPr>
            <w:tcW w:type="dxa" w:w="4703"/>
          </w:tcPr>
          <w:p>
            <w:pPr>
              <w:spacing w:before="60" w:after="60"/>
            </w:pPr>
            <w:r/>
            <w:r>
              <w:rPr>
                <w:rFonts w:ascii="Lato" w:hAnsi="Lato"/>
                <w:b w:val="0"/>
                <w:i w:val="0"/>
                <w:color w:val="374151"/>
                <w:sz w:val="20"/>
              </w:rPr>
              <w:t>None</w:t>
            </w:r>
          </w:p>
        </w:tc>
        <w:tc>
          <w:tcPr>
            <w:tcW w:type="dxa" w:w="4703"/>
          </w:tcPr>
          <w:p>
            <w:pPr>
              <w:spacing w:before="60" w:after="60"/>
            </w:pPr>
            <w:r/>
            <w:r>
              <w:rPr>
                <w:rFonts w:ascii="Lato" w:hAnsi="Lato"/>
                <w:b w:val="0"/>
                <w:i w:val="0"/>
                <w:color w:val="374151"/>
                <w:sz w:val="20"/>
              </w:rPr>
              <w:t>726</w:t>
            </w:r>
          </w:p>
        </w:tc>
      </w:tr>
      <w:tr>
        <w:tc>
          <w:tcPr>
            <w:tcW w:type="dxa" w:w="4703"/>
          </w:tcPr>
          <w:p>
            <w:pPr>
              <w:spacing w:before="60" w:after="60"/>
            </w:pPr>
            <w:r/>
            <w:r>
              <w:rPr>
                <w:rFonts w:ascii="Lato" w:hAnsi="Lato"/>
                <w:b w:val="0"/>
                <w:i w:val="0"/>
                <w:color w:val="374151"/>
                <w:sz w:val="20"/>
              </w:rPr>
              <w:t>Anger</w:t>
            </w:r>
          </w:p>
        </w:tc>
        <w:tc>
          <w:tcPr>
            <w:tcW w:type="dxa" w:w="4703"/>
          </w:tcPr>
          <w:p>
            <w:pPr>
              <w:spacing w:before="60" w:after="60"/>
            </w:pPr>
            <w:r/>
            <w:r>
              <w:rPr>
                <w:rFonts w:ascii="Lato" w:hAnsi="Lato"/>
                <w:b w:val="0"/>
                <w:i w:val="0"/>
                <w:color w:val="374151"/>
                <w:sz w:val="20"/>
              </w:rPr>
              <w:t>461</w:t>
            </w:r>
          </w:p>
        </w:tc>
      </w:tr>
      <w:tr>
        <w:tc>
          <w:tcPr>
            <w:tcW w:type="dxa" w:w="4703"/>
          </w:tcPr>
          <w:p>
            <w:pPr>
              <w:spacing w:before="60" w:after="60"/>
            </w:pPr>
            <w:r/>
            <w:r>
              <w:rPr>
                <w:rFonts w:ascii="Lato" w:hAnsi="Lato"/>
                <w:b w:val="0"/>
                <w:i w:val="0"/>
                <w:color w:val="374151"/>
                <w:sz w:val="20"/>
              </w:rPr>
              <w:t>Anticipation</w:t>
            </w:r>
          </w:p>
        </w:tc>
        <w:tc>
          <w:tcPr>
            <w:tcW w:type="dxa" w:w="4703"/>
          </w:tcPr>
          <w:p>
            <w:pPr>
              <w:spacing w:before="60" w:after="60"/>
            </w:pPr>
            <w:r/>
            <w:r>
              <w:rPr>
                <w:rFonts w:ascii="Lato" w:hAnsi="Lato"/>
                <w:b w:val="0"/>
                <w:i w:val="0"/>
                <w:color w:val="374151"/>
                <w:sz w:val="20"/>
              </w:rPr>
              <w:t>424</w:t>
            </w:r>
          </w:p>
        </w:tc>
      </w:tr>
      <w:tr>
        <w:tc>
          <w:tcPr>
            <w:tcW w:type="dxa" w:w="4703"/>
          </w:tcPr>
          <w:p>
            <w:pPr>
              <w:spacing w:before="60" w:after="60"/>
            </w:pPr>
            <w:r/>
            <w:r>
              <w:rPr>
                <w:rFonts w:ascii="Lato" w:hAnsi="Lato"/>
                <w:b w:val="0"/>
                <w:i w:val="0"/>
                <w:color w:val="374151"/>
                <w:sz w:val="20"/>
              </w:rPr>
              <w:t>Sadness</w:t>
            </w:r>
          </w:p>
        </w:tc>
        <w:tc>
          <w:tcPr>
            <w:tcW w:type="dxa" w:w="4703"/>
          </w:tcPr>
          <w:p>
            <w:pPr>
              <w:spacing w:before="60" w:after="60"/>
            </w:pPr>
            <w:r/>
            <w:r>
              <w:rPr>
                <w:rFonts w:ascii="Lato" w:hAnsi="Lato"/>
                <w:b w:val="0"/>
                <w:i w:val="0"/>
                <w:color w:val="374151"/>
                <w:sz w:val="20"/>
              </w:rPr>
              <w:t>66</w:t>
            </w:r>
          </w:p>
        </w:tc>
      </w:tr>
      <w:tr>
        <w:tc>
          <w:tcPr>
            <w:tcW w:type="dxa" w:w="4703"/>
          </w:tcPr>
          <w:p>
            <w:pPr>
              <w:spacing w:before="60" w:after="60"/>
            </w:pPr>
            <w:r/>
            <w:r>
              <w:rPr>
                <w:rFonts w:ascii="Lato" w:hAnsi="Lato"/>
                <w:b w:val="0"/>
                <w:i w:val="0"/>
                <w:color w:val="374151"/>
                <w:sz w:val="20"/>
              </w:rPr>
              <w:t>Fear</w:t>
            </w:r>
          </w:p>
        </w:tc>
        <w:tc>
          <w:tcPr>
            <w:tcW w:type="dxa" w:w="4703"/>
          </w:tcPr>
          <w:p>
            <w:pPr>
              <w:spacing w:before="60" w:after="60"/>
            </w:pPr>
            <w:r/>
            <w:r>
              <w:rPr>
                <w:rFonts w:ascii="Lato" w:hAnsi="Lato"/>
                <w:b w:val="0"/>
                <w:i w:val="0"/>
                <w:color w:val="374151"/>
                <w:sz w:val="20"/>
              </w:rPr>
              <w:t>37</w:t>
            </w:r>
          </w:p>
        </w:tc>
      </w:tr>
      <w:tr>
        <w:tc>
          <w:tcPr>
            <w:tcW w:type="dxa" w:w="4703"/>
          </w:tcPr>
          <w:p>
            <w:pPr>
              <w:spacing w:before="60" w:after="60"/>
            </w:pPr>
            <w:r/>
            <w:r>
              <w:rPr>
                <w:rFonts w:ascii="Lato" w:hAnsi="Lato"/>
                <w:b w:val="0"/>
                <w:i w:val="0"/>
                <w:color w:val="374151"/>
                <w:sz w:val="20"/>
              </w:rPr>
              <w:t>Disgust</w:t>
            </w:r>
          </w:p>
        </w:tc>
        <w:tc>
          <w:tcPr>
            <w:tcW w:type="dxa" w:w="4703"/>
          </w:tcPr>
          <w:p>
            <w:pPr>
              <w:spacing w:before="60" w:after="60"/>
            </w:pPr>
            <w:r/>
            <w:r>
              <w:rPr>
                <w:rFonts w:ascii="Lato" w:hAnsi="Lato"/>
                <w:b w:val="0"/>
                <w:i w:val="0"/>
                <w:color w:val="374151"/>
                <w:sz w:val="20"/>
              </w:rPr>
              <w:t>5</w:t>
            </w:r>
          </w:p>
        </w:tc>
      </w:tr>
      <w:tr>
        <w:tc>
          <w:tcPr>
            <w:tcW w:type="dxa" w:w="4703"/>
          </w:tcPr>
          <w:p>
            <w:pPr>
              <w:spacing w:before="60" w:after="60"/>
            </w:pPr>
            <w:r/>
            <w:r>
              <w:rPr>
                <w:rFonts w:ascii="Lato" w:hAnsi="Lato"/>
                <w:b w:val="0"/>
                <w:i w:val="0"/>
                <w:color w:val="374151"/>
                <w:sz w:val="20"/>
              </w:rPr>
              <w:t>Surprise</w:t>
            </w:r>
          </w:p>
        </w:tc>
        <w:tc>
          <w:tcPr>
            <w:tcW w:type="dxa" w:w="4703"/>
          </w:tcPr>
          <w:p>
            <w:pPr>
              <w:spacing w:before="60" w:after="60"/>
            </w:pPr>
            <w:r/>
            <w:r>
              <w:rPr>
                <w:rFonts w:ascii="Lato" w:hAnsi="Lato"/>
                <w:b w:val="0"/>
                <w:i w:val="0"/>
                <w:color w:val="374151"/>
                <w:sz w:val="20"/>
              </w:rPr>
              <w:t>1</w:t>
            </w:r>
          </w:p>
        </w:tc>
      </w:tr>
    </w:tbl>
    <w:p>
      <w:pPr>
        <w:jc w:val="center"/>
      </w:pPr>
      <w:r>
        <w:drawing>
          <wp:inline xmlns:a="http://schemas.openxmlformats.org/drawingml/2006/main" xmlns:pic="http://schemas.openxmlformats.org/drawingml/2006/picture">
            <wp:extent cx="4572000" cy="2262792"/>
            <wp:docPr id="4" name="Picture 4"/>
            <wp:cNvGraphicFramePr>
              <a:graphicFrameLocks noChangeAspect="1"/>
            </wp:cNvGraphicFramePr>
            <a:graphic>
              <a:graphicData uri="http://schemas.openxmlformats.org/drawingml/2006/picture">
                <pic:pic>
                  <pic:nvPicPr>
                    <pic:cNvPr id="0" name="chart_emotions.png"/>
                    <pic:cNvPicPr/>
                  </pic:nvPicPr>
                  <pic:blipFill>
                    <a:blip r:embed="rId12"/>
                    <a:stretch>
                      <a:fillRect/>
                    </a:stretch>
                  </pic:blipFill>
                  <pic:spPr>
                    <a:xfrm>
                      <a:off x="0" y="0"/>
                      <a:ext cx="4572000" cy="2262792"/>
                    </a:xfrm>
                    <a:prstGeom prst="rect"/>
                  </pic:spPr>
                </pic:pic>
              </a:graphicData>
            </a:graphic>
          </wp:inline>
        </w:drawing>
      </w:r>
    </w:p>
    <w:p>
      <w:pPr>
        <w:spacing w:after="240"/>
        <w:jc w:val="center"/>
      </w:pPr>
      <w:r>
        <w:rPr>
          <w:rFonts w:ascii="Lato" w:hAnsi="Lato"/>
          <w:b w:val="0"/>
          <w:i/>
          <w:color w:val="6B7280"/>
          <w:sz w:val="18"/>
        </w:rPr>
        <w:t>Figure 3: Plutchik emotion distribution</w:t>
      </w:r>
    </w:p>
    <w:p>
      <w:pPr>
        <w:pStyle w:val="Heading2"/>
        <w:jc w:val="left"/>
      </w:pPr>
      <w:r>
        <w:rPr>
          <w:rFonts w:ascii="Lato" w:hAnsi="Lato"/>
          <w:b/>
          <w:color w:val="1E3A5F"/>
          <w:sz w:val="32"/>
        </w:rPr>
        <w:t>Aspect-Based Sentiment Analysis (ABSA)</w:t>
      </w:r>
    </w:p>
    <w:p>
      <w:pPr>
        <w:spacing w:after="120" w:before="0"/>
      </w:pPr>
      <w:r>
        <w:rPr>
          <w:rFonts w:ascii="Lato" w:hAnsi="Lato"/>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Lato" w:hAnsi="Lato"/>
                <w:b/>
                <w:i w:val="0"/>
                <w:color w:val="FFFFFF"/>
                <w:sz w:val="20"/>
              </w:rPr>
              <w:t>Aspect</w:t>
            </w:r>
          </w:p>
        </w:tc>
        <w:tc>
          <w:tcPr>
            <w:tcW w:type="dxa" w:w="1881"/>
            <w:shd w:val="clear" w:color="auto" w:fill="1E3A5F"/>
          </w:tcPr>
          <w:p>
            <w:pPr>
              <w:spacing w:before="60" w:after="60"/>
            </w:pPr>
            <w:r/>
            <w:r>
              <w:rPr>
                <w:rFonts w:ascii="Lato" w:hAnsi="Lato"/>
                <w:b/>
                <w:i w:val="0"/>
                <w:color w:val="FFFFFF"/>
                <w:sz w:val="20"/>
              </w:rPr>
              <w:t>Total</w:t>
            </w:r>
          </w:p>
        </w:tc>
        <w:tc>
          <w:tcPr>
            <w:tcW w:type="dxa" w:w="1881"/>
            <w:shd w:val="clear" w:color="auto" w:fill="1E3A5F"/>
          </w:tcPr>
          <w:p>
            <w:pPr>
              <w:spacing w:before="60" w:after="60"/>
            </w:pPr>
            <w:r/>
            <w:r>
              <w:rPr>
                <w:rFonts w:ascii="Lato" w:hAnsi="Lato"/>
                <w:b/>
                <w:i w:val="0"/>
                <w:color w:val="FFFFFF"/>
                <w:sz w:val="20"/>
              </w:rPr>
              <w:t>Positive</w:t>
            </w:r>
          </w:p>
        </w:tc>
        <w:tc>
          <w:tcPr>
            <w:tcW w:type="dxa" w:w="1881"/>
            <w:shd w:val="clear" w:color="auto" w:fill="1E3A5F"/>
          </w:tcPr>
          <w:p>
            <w:pPr>
              <w:spacing w:before="60" w:after="60"/>
            </w:pPr>
            <w:r/>
            <w:r>
              <w:rPr>
                <w:rFonts w:ascii="Lato" w:hAnsi="Lato"/>
                <w:b/>
                <w:i w:val="0"/>
                <w:color w:val="FFFFFF"/>
                <w:sz w:val="20"/>
              </w:rPr>
              <w:t>Negative</w:t>
            </w:r>
          </w:p>
        </w:tc>
        <w:tc>
          <w:tcPr>
            <w:tcW w:type="dxa" w:w="1881"/>
            <w:shd w:val="clear" w:color="auto" w:fill="1E3A5F"/>
          </w:tcPr>
          <w:p>
            <w:pPr>
              <w:spacing w:before="60" w:after="60"/>
            </w:pPr>
            <w:r/>
            <w:r>
              <w:rPr>
                <w:rFonts w:ascii="Lato" w:hAnsi="Lato"/>
                <w:b/>
                <w:i w:val="0"/>
                <w:color w:val="FFFFFF"/>
                <w:sz w:val="20"/>
              </w:rPr>
              <w:t>NSS</w:t>
            </w:r>
          </w:p>
        </w:tc>
      </w:tr>
      <w:tr>
        <w:tc>
          <w:tcPr>
            <w:tcW w:type="dxa" w:w="1881"/>
          </w:tcPr>
          <w:p>
            <w:pPr>
              <w:spacing w:before="60" w:after="60"/>
            </w:pPr>
            <w:r/>
            <w:r>
              <w:rPr>
                <w:rFonts w:ascii="Lato" w:hAnsi="Lato"/>
                <w:b w:val="0"/>
                <w:i w:val="0"/>
                <w:color w:val="374151"/>
                <w:sz w:val="20"/>
              </w:rPr>
              <w:t>Infrastructure</w:t>
            </w:r>
          </w:p>
        </w:tc>
        <w:tc>
          <w:tcPr>
            <w:tcW w:type="dxa" w:w="1881"/>
          </w:tcPr>
          <w:p>
            <w:pPr>
              <w:spacing w:before="60" w:after="60"/>
            </w:pPr>
            <w:r/>
            <w:r>
              <w:rPr>
                <w:rFonts w:ascii="Lato" w:hAnsi="Lato"/>
                <w:b w:val="0"/>
                <w:i w:val="0"/>
                <w:color w:val="374151"/>
                <w:sz w:val="20"/>
              </w:rPr>
              <w:t>1626</w:t>
            </w:r>
          </w:p>
        </w:tc>
        <w:tc>
          <w:tcPr>
            <w:tcW w:type="dxa" w:w="1881"/>
          </w:tcPr>
          <w:p>
            <w:pPr>
              <w:spacing w:before="60" w:after="60"/>
            </w:pPr>
            <w:r/>
            <w:r>
              <w:rPr>
                <w:rFonts w:ascii="Lato" w:hAnsi="Lato"/>
                <w:b w:val="0"/>
                <w:i w:val="0"/>
                <w:color w:val="374151"/>
                <w:sz w:val="20"/>
              </w:rPr>
              <w:t>119</w:t>
            </w:r>
          </w:p>
        </w:tc>
        <w:tc>
          <w:tcPr>
            <w:tcW w:type="dxa" w:w="1881"/>
          </w:tcPr>
          <w:p>
            <w:pPr>
              <w:spacing w:before="60" w:after="60"/>
            </w:pPr>
            <w:r/>
            <w:r>
              <w:rPr>
                <w:rFonts w:ascii="Lato" w:hAnsi="Lato"/>
                <w:b w:val="0"/>
                <w:i w:val="0"/>
                <w:color w:val="374151"/>
                <w:sz w:val="20"/>
              </w:rPr>
              <w:t>699</w:t>
            </w:r>
          </w:p>
        </w:tc>
        <w:tc>
          <w:tcPr>
            <w:tcW w:type="dxa" w:w="1881"/>
          </w:tcPr>
          <w:p>
            <w:pPr>
              <w:spacing w:before="60" w:after="60"/>
            </w:pPr>
            <w:r/>
            <w:r>
              <w:rPr>
                <w:rFonts w:ascii="Lato" w:hAnsi="Lato"/>
                <w:b w:val="0"/>
                <w:i w:val="0"/>
                <w:color w:val="374151"/>
                <w:sz w:val="20"/>
              </w:rPr>
              <w:t>-36%</w:t>
            </w:r>
          </w:p>
        </w:tc>
      </w:tr>
      <w:tr>
        <w:tc>
          <w:tcPr>
            <w:tcW w:type="dxa" w:w="1881"/>
          </w:tcPr>
          <w:p>
            <w:pPr>
              <w:spacing w:before="60" w:after="60"/>
            </w:pPr>
            <w:r/>
            <w:r>
              <w:rPr>
                <w:rFonts w:ascii="Lato" w:hAnsi="Lato"/>
                <w:b w:val="0"/>
                <w:i w:val="0"/>
                <w:color w:val="374151"/>
                <w:sz w:val="20"/>
              </w:rPr>
              <w:t>Global Competitiveness</w:t>
            </w:r>
          </w:p>
        </w:tc>
        <w:tc>
          <w:tcPr>
            <w:tcW w:type="dxa" w:w="1881"/>
          </w:tcPr>
          <w:p>
            <w:pPr>
              <w:spacing w:before="60" w:after="60"/>
            </w:pPr>
            <w:r/>
            <w:r>
              <w:rPr>
                <w:rFonts w:ascii="Lato" w:hAnsi="Lato"/>
                <w:b w:val="0"/>
                <w:i w:val="0"/>
                <w:color w:val="374151"/>
                <w:sz w:val="20"/>
              </w:rPr>
              <w:t>1279</w:t>
            </w:r>
          </w:p>
        </w:tc>
        <w:tc>
          <w:tcPr>
            <w:tcW w:type="dxa" w:w="1881"/>
          </w:tcPr>
          <w:p>
            <w:pPr>
              <w:spacing w:before="60" w:after="60"/>
            </w:pPr>
            <w:r/>
            <w:r>
              <w:rPr>
                <w:rFonts w:ascii="Lato" w:hAnsi="Lato"/>
                <w:b w:val="0"/>
                <w:i w:val="0"/>
                <w:color w:val="374151"/>
                <w:sz w:val="20"/>
              </w:rPr>
              <w:t>97</w:t>
            </w:r>
          </w:p>
        </w:tc>
        <w:tc>
          <w:tcPr>
            <w:tcW w:type="dxa" w:w="1881"/>
          </w:tcPr>
          <w:p>
            <w:pPr>
              <w:spacing w:before="60" w:after="60"/>
            </w:pPr>
            <w:r/>
            <w:r>
              <w:rPr>
                <w:rFonts w:ascii="Lato" w:hAnsi="Lato"/>
                <w:b w:val="0"/>
                <w:i w:val="0"/>
                <w:color w:val="374151"/>
                <w:sz w:val="20"/>
              </w:rPr>
              <w:t>553</w:t>
            </w:r>
          </w:p>
        </w:tc>
        <w:tc>
          <w:tcPr>
            <w:tcW w:type="dxa" w:w="1881"/>
          </w:tcPr>
          <w:p>
            <w:pPr>
              <w:spacing w:before="60" w:after="60"/>
            </w:pPr>
            <w:r/>
            <w:r>
              <w:rPr>
                <w:rFonts w:ascii="Lato" w:hAnsi="Lato"/>
                <w:b w:val="0"/>
                <w:i w:val="0"/>
                <w:color w:val="374151"/>
                <w:sz w:val="20"/>
              </w:rPr>
              <w:t>-36%</w:t>
            </w:r>
          </w:p>
        </w:tc>
      </w:tr>
      <w:tr>
        <w:tc>
          <w:tcPr>
            <w:tcW w:type="dxa" w:w="1881"/>
          </w:tcPr>
          <w:p>
            <w:pPr>
              <w:spacing w:before="60" w:after="60"/>
            </w:pPr>
            <w:r/>
            <w:r>
              <w:rPr>
                <w:rFonts w:ascii="Lato" w:hAnsi="Lato"/>
                <w:b w:val="0"/>
                <w:i w:val="0"/>
                <w:color w:val="374151"/>
                <w:sz w:val="20"/>
              </w:rPr>
              <w:t>Brand Perception</w:t>
            </w:r>
          </w:p>
        </w:tc>
        <w:tc>
          <w:tcPr>
            <w:tcW w:type="dxa" w:w="1881"/>
          </w:tcPr>
          <w:p>
            <w:pPr>
              <w:spacing w:before="60" w:after="60"/>
            </w:pPr>
            <w:r/>
            <w:r>
              <w:rPr>
                <w:rFonts w:ascii="Lato" w:hAnsi="Lato"/>
                <w:b w:val="0"/>
                <w:i w:val="0"/>
                <w:color w:val="374151"/>
                <w:sz w:val="20"/>
              </w:rPr>
              <w:t>1077</w:t>
            </w:r>
          </w:p>
        </w:tc>
        <w:tc>
          <w:tcPr>
            <w:tcW w:type="dxa" w:w="1881"/>
          </w:tcPr>
          <w:p>
            <w:pPr>
              <w:spacing w:before="60" w:after="60"/>
            </w:pPr>
            <w:r/>
            <w:r>
              <w:rPr>
                <w:rFonts w:ascii="Lato" w:hAnsi="Lato"/>
                <w:b w:val="0"/>
                <w:i w:val="0"/>
                <w:color w:val="374151"/>
                <w:sz w:val="20"/>
              </w:rPr>
              <w:t>41</w:t>
            </w:r>
          </w:p>
        </w:tc>
        <w:tc>
          <w:tcPr>
            <w:tcW w:type="dxa" w:w="1881"/>
          </w:tcPr>
          <w:p>
            <w:pPr>
              <w:spacing w:before="60" w:after="60"/>
            </w:pPr>
            <w:r/>
            <w:r>
              <w:rPr>
                <w:rFonts w:ascii="Lato" w:hAnsi="Lato"/>
                <w:b w:val="0"/>
                <w:i w:val="0"/>
                <w:color w:val="374151"/>
                <w:sz w:val="20"/>
              </w:rPr>
              <w:t>493</w:t>
            </w:r>
          </w:p>
        </w:tc>
        <w:tc>
          <w:tcPr>
            <w:tcW w:type="dxa" w:w="1881"/>
          </w:tcPr>
          <w:p>
            <w:pPr>
              <w:spacing w:before="60" w:after="60"/>
            </w:pPr>
            <w:r/>
            <w:r>
              <w:rPr>
                <w:rFonts w:ascii="Lato" w:hAnsi="Lato"/>
                <w:b w:val="0"/>
                <w:i w:val="0"/>
                <w:color w:val="374151"/>
                <w:sz w:val="20"/>
              </w:rPr>
              <w:t>-42%</w:t>
            </w:r>
          </w:p>
        </w:tc>
      </w:tr>
      <w:tr>
        <w:tc>
          <w:tcPr>
            <w:tcW w:type="dxa" w:w="1881"/>
          </w:tcPr>
          <w:p>
            <w:pPr>
              <w:spacing w:before="60" w:after="60"/>
            </w:pPr>
            <w:r/>
            <w:r>
              <w:rPr>
                <w:rFonts w:ascii="Lato" w:hAnsi="Lato"/>
                <w:b w:val="0"/>
                <w:i w:val="0"/>
                <w:color w:val="374151"/>
                <w:sz w:val="20"/>
              </w:rPr>
              <w:t>Manufacturing</w:t>
            </w:r>
          </w:p>
        </w:tc>
        <w:tc>
          <w:tcPr>
            <w:tcW w:type="dxa" w:w="1881"/>
          </w:tcPr>
          <w:p>
            <w:pPr>
              <w:spacing w:before="60" w:after="60"/>
            </w:pPr>
            <w:r/>
            <w:r>
              <w:rPr>
                <w:rFonts w:ascii="Lato" w:hAnsi="Lato"/>
                <w:b w:val="0"/>
                <w:i w:val="0"/>
                <w:color w:val="374151"/>
                <w:sz w:val="20"/>
              </w:rPr>
              <w:t>1039</w:t>
            </w:r>
          </w:p>
        </w:tc>
        <w:tc>
          <w:tcPr>
            <w:tcW w:type="dxa" w:w="1881"/>
          </w:tcPr>
          <w:p>
            <w:pPr>
              <w:spacing w:before="60" w:after="60"/>
            </w:pPr>
            <w:r/>
            <w:r>
              <w:rPr>
                <w:rFonts w:ascii="Lato" w:hAnsi="Lato"/>
                <w:b w:val="0"/>
                <w:i w:val="0"/>
                <w:color w:val="374151"/>
                <w:sz w:val="20"/>
              </w:rPr>
              <w:t>83</w:t>
            </w:r>
          </w:p>
        </w:tc>
        <w:tc>
          <w:tcPr>
            <w:tcW w:type="dxa" w:w="1881"/>
          </w:tcPr>
          <w:p>
            <w:pPr>
              <w:spacing w:before="60" w:after="60"/>
            </w:pPr>
            <w:r/>
            <w:r>
              <w:rPr>
                <w:rFonts w:ascii="Lato" w:hAnsi="Lato"/>
                <w:b w:val="0"/>
                <w:i w:val="0"/>
                <w:color w:val="374151"/>
                <w:sz w:val="20"/>
              </w:rPr>
              <w:t>414</w:t>
            </w:r>
          </w:p>
        </w:tc>
        <w:tc>
          <w:tcPr>
            <w:tcW w:type="dxa" w:w="1881"/>
          </w:tcPr>
          <w:p>
            <w:pPr>
              <w:spacing w:before="60" w:after="60"/>
            </w:pPr>
            <w:r/>
            <w:r>
              <w:rPr>
                <w:rFonts w:ascii="Lato" w:hAnsi="Lato"/>
                <w:b w:val="0"/>
                <w:i w:val="0"/>
                <w:color w:val="374151"/>
                <w:sz w:val="20"/>
              </w:rPr>
              <w:t>-32%</w:t>
            </w:r>
          </w:p>
        </w:tc>
      </w:tr>
      <w:tr>
        <w:tc>
          <w:tcPr>
            <w:tcW w:type="dxa" w:w="1881"/>
          </w:tcPr>
          <w:p>
            <w:pPr>
              <w:spacing w:before="60" w:after="60"/>
            </w:pPr>
            <w:r/>
            <w:r>
              <w:rPr>
                <w:rFonts w:ascii="Lato" w:hAnsi="Lato"/>
                <w:b w:val="0"/>
                <w:i w:val="0"/>
                <w:color w:val="374151"/>
                <w:sz w:val="20"/>
              </w:rPr>
              <w:t>Innovation</w:t>
            </w:r>
          </w:p>
        </w:tc>
        <w:tc>
          <w:tcPr>
            <w:tcW w:type="dxa" w:w="1881"/>
          </w:tcPr>
          <w:p>
            <w:pPr>
              <w:spacing w:before="60" w:after="60"/>
            </w:pPr>
            <w:r/>
            <w:r>
              <w:rPr>
                <w:rFonts w:ascii="Lato" w:hAnsi="Lato"/>
                <w:b w:val="0"/>
                <w:i w:val="0"/>
                <w:color w:val="374151"/>
                <w:sz w:val="20"/>
              </w:rPr>
              <w:t>810</w:t>
            </w:r>
          </w:p>
        </w:tc>
        <w:tc>
          <w:tcPr>
            <w:tcW w:type="dxa" w:w="1881"/>
          </w:tcPr>
          <w:p>
            <w:pPr>
              <w:spacing w:before="60" w:after="60"/>
            </w:pPr>
            <w:r/>
            <w:r>
              <w:rPr>
                <w:rFonts w:ascii="Lato" w:hAnsi="Lato"/>
                <w:b w:val="0"/>
                <w:i w:val="0"/>
                <w:color w:val="374151"/>
                <w:sz w:val="20"/>
              </w:rPr>
              <w:t>31</w:t>
            </w:r>
          </w:p>
        </w:tc>
        <w:tc>
          <w:tcPr>
            <w:tcW w:type="dxa" w:w="1881"/>
          </w:tcPr>
          <w:p>
            <w:pPr>
              <w:spacing w:before="60" w:after="60"/>
            </w:pPr>
            <w:r/>
            <w:r>
              <w:rPr>
                <w:rFonts w:ascii="Lato" w:hAnsi="Lato"/>
                <w:b w:val="0"/>
                <w:i w:val="0"/>
                <w:color w:val="374151"/>
                <w:sz w:val="20"/>
              </w:rPr>
              <w:t>376</w:t>
            </w:r>
          </w:p>
        </w:tc>
        <w:tc>
          <w:tcPr>
            <w:tcW w:type="dxa" w:w="1881"/>
          </w:tcPr>
          <w:p>
            <w:pPr>
              <w:spacing w:before="60" w:after="60"/>
            </w:pPr>
            <w:r/>
            <w:r>
              <w:rPr>
                <w:rFonts w:ascii="Lato" w:hAnsi="Lato"/>
                <w:b w:val="0"/>
                <w:i w:val="0"/>
                <w:color w:val="374151"/>
                <w:sz w:val="20"/>
              </w:rPr>
              <w:t>-43%</w:t>
            </w:r>
          </w:p>
        </w:tc>
      </w:tr>
      <w:tr>
        <w:tc>
          <w:tcPr>
            <w:tcW w:type="dxa" w:w="1881"/>
          </w:tcPr>
          <w:p>
            <w:pPr>
              <w:spacing w:before="60" w:after="60"/>
            </w:pPr>
            <w:r/>
            <w:r>
              <w:rPr>
                <w:rFonts w:ascii="Lato" w:hAnsi="Lato"/>
                <w:b w:val="0"/>
                <w:i w:val="0"/>
                <w:color w:val="374151"/>
                <w:sz w:val="20"/>
              </w:rPr>
              <w:t>Economy</w:t>
            </w:r>
          </w:p>
        </w:tc>
        <w:tc>
          <w:tcPr>
            <w:tcW w:type="dxa" w:w="1881"/>
          </w:tcPr>
          <w:p>
            <w:pPr>
              <w:spacing w:before="60" w:after="60"/>
            </w:pPr>
            <w:r/>
            <w:r>
              <w:rPr>
                <w:rFonts w:ascii="Lato" w:hAnsi="Lato"/>
                <w:b w:val="0"/>
                <w:i w:val="0"/>
                <w:color w:val="374151"/>
                <w:sz w:val="20"/>
              </w:rPr>
              <w:t>672</w:t>
            </w:r>
          </w:p>
        </w:tc>
        <w:tc>
          <w:tcPr>
            <w:tcW w:type="dxa" w:w="1881"/>
          </w:tcPr>
          <w:p>
            <w:pPr>
              <w:spacing w:before="60" w:after="60"/>
            </w:pPr>
            <w:r/>
            <w:r>
              <w:rPr>
                <w:rFonts w:ascii="Lato" w:hAnsi="Lato"/>
                <w:b w:val="0"/>
                <w:i w:val="0"/>
                <w:color w:val="374151"/>
                <w:sz w:val="20"/>
              </w:rPr>
              <w:t>5</w:t>
            </w:r>
          </w:p>
        </w:tc>
        <w:tc>
          <w:tcPr>
            <w:tcW w:type="dxa" w:w="1881"/>
          </w:tcPr>
          <w:p>
            <w:pPr>
              <w:spacing w:before="60" w:after="60"/>
            </w:pPr>
            <w:r/>
            <w:r>
              <w:rPr>
                <w:rFonts w:ascii="Lato" w:hAnsi="Lato"/>
                <w:b w:val="0"/>
                <w:i w:val="0"/>
                <w:color w:val="374151"/>
                <w:sz w:val="20"/>
              </w:rPr>
              <w:t>325</w:t>
            </w:r>
          </w:p>
        </w:tc>
        <w:tc>
          <w:tcPr>
            <w:tcW w:type="dxa" w:w="1881"/>
          </w:tcPr>
          <w:p>
            <w:pPr>
              <w:spacing w:before="60" w:after="60"/>
            </w:pPr>
            <w:r/>
            <w:r>
              <w:rPr>
                <w:rFonts w:ascii="Lato" w:hAnsi="Lato"/>
                <w:b w:val="0"/>
                <w:i w:val="0"/>
                <w:color w:val="374151"/>
                <w:sz w:val="20"/>
              </w:rPr>
              <w:t>-48%</w:t>
            </w:r>
          </w:p>
        </w:tc>
      </w:tr>
      <w:tr>
        <w:tc>
          <w:tcPr>
            <w:tcW w:type="dxa" w:w="1881"/>
          </w:tcPr>
          <w:p>
            <w:pPr>
              <w:spacing w:before="60" w:after="60"/>
            </w:pPr>
            <w:r/>
            <w:r>
              <w:rPr>
                <w:rFonts w:ascii="Lato" w:hAnsi="Lato"/>
                <w:b w:val="0"/>
                <w:i w:val="0"/>
                <w:color w:val="374151"/>
                <w:sz w:val="20"/>
              </w:rPr>
              <w:t>Electronics Semiconductor</w:t>
            </w:r>
          </w:p>
        </w:tc>
        <w:tc>
          <w:tcPr>
            <w:tcW w:type="dxa" w:w="1881"/>
          </w:tcPr>
          <w:p>
            <w:pPr>
              <w:spacing w:before="60" w:after="60"/>
            </w:pPr>
            <w:r/>
            <w:r>
              <w:rPr>
                <w:rFonts w:ascii="Lato" w:hAnsi="Lato"/>
                <w:b w:val="0"/>
                <w:i w:val="0"/>
                <w:color w:val="374151"/>
                <w:sz w:val="20"/>
              </w:rPr>
              <w:t>581</w:t>
            </w:r>
          </w:p>
        </w:tc>
        <w:tc>
          <w:tcPr>
            <w:tcW w:type="dxa" w:w="1881"/>
          </w:tcPr>
          <w:p>
            <w:pPr>
              <w:spacing w:before="60" w:after="60"/>
            </w:pPr>
            <w:r/>
            <w:r>
              <w:rPr>
                <w:rFonts w:ascii="Lato" w:hAnsi="Lato"/>
                <w:b w:val="0"/>
                <w:i w:val="0"/>
                <w:color w:val="374151"/>
                <w:sz w:val="20"/>
              </w:rPr>
              <w:t>62</w:t>
            </w:r>
          </w:p>
        </w:tc>
        <w:tc>
          <w:tcPr>
            <w:tcW w:type="dxa" w:w="1881"/>
          </w:tcPr>
          <w:p>
            <w:pPr>
              <w:spacing w:before="60" w:after="60"/>
            </w:pPr>
            <w:r/>
            <w:r>
              <w:rPr>
                <w:rFonts w:ascii="Lato" w:hAnsi="Lato"/>
                <w:b w:val="0"/>
                <w:i w:val="0"/>
                <w:color w:val="374151"/>
                <w:sz w:val="20"/>
              </w:rPr>
              <w:t>214</w:t>
            </w:r>
          </w:p>
        </w:tc>
        <w:tc>
          <w:tcPr>
            <w:tcW w:type="dxa" w:w="1881"/>
          </w:tcPr>
          <w:p>
            <w:pPr>
              <w:spacing w:before="60" w:after="60"/>
            </w:pPr>
            <w:r/>
            <w:r>
              <w:rPr>
                <w:rFonts w:ascii="Lato" w:hAnsi="Lato"/>
                <w:b w:val="0"/>
                <w:i w:val="0"/>
                <w:color w:val="374151"/>
                <w:sz w:val="20"/>
              </w:rPr>
              <w:t>-26%</w:t>
            </w:r>
          </w:p>
        </w:tc>
      </w:tr>
      <w:tr>
        <w:tc>
          <w:tcPr>
            <w:tcW w:type="dxa" w:w="1881"/>
          </w:tcPr>
          <w:p>
            <w:pPr>
              <w:spacing w:before="60" w:after="60"/>
            </w:pPr>
            <w:r/>
            <w:r>
              <w:rPr>
                <w:rFonts w:ascii="Lato" w:hAnsi="Lato"/>
                <w:b w:val="0"/>
                <w:i w:val="0"/>
                <w:color w:val="374151"/>
                <w:sz w:val="20"/>
              </w:rPr>
              <w:t>Policy Effectiveness</w:t>
            </w:r>
          </w:p>
        </w:tc>
        <w:tc>
          <w:tcPr>
            <w:tcW w:type="dxa" w:w="1881"/>
          </w:tcPr>
          <w:p>
            <w:pPr>
              <w:spacing w:before="60" w:after="60"/>
            </w:pPr>
            <w:r/>
            <w:r>
              <w:rPr>
                <w:rFonts w:ascii="Lato" w:hAnsi="Lato"/>
                <w:b w:val="0"/>
                <w:i w:val="0"/>
                <w:color w:val="374151"/>
                <w:sz w:val="20"/>
              </w:rPr>
              <w:t>491</w:t>
            </w:r>
          </w:p>
        </w:tc>
        <w:tc>
          <w:tcPr>
            <w:tcW w:type="dxa" w:w="1881"/>
          </w:tcPr>
          <w:p>
            <w:pPr>
              <w:spacing w:before="60" w:after="60"/>
            </w:pPr>
            <w:r/>
            <w:r>
              <w:rPr>
                <w:rFonts w:ascii="Lato" w:hAnsi="Lato"/>
                <w:b w:val="0"/>
                <w:i w:val="0"/>
                <w:color w:val="374151"/>
                <w:sz w:val="20"/>
              </w:rPr>
              <w:t>39</w:t>
            </w:r>
          </w:p>
        </w:tc>
        <w:tc>
          <w:tcPr>
            <w:tcW w:type="dxa" w:w="1881"/>
          </w:tcPr>
          <w:p>
            <w:pPr>
              <w:spacing w:before="60" w:after="60"/>
            </w:pPr>
            <w:r/>
            <w:r>
              <w:rPr>
                <w:rFonts w:ascii="Lato" w:hAnsi="Lato"/>
                <w:b w:val="0"/>
                <w:i w:val="0"/>
                <w:color w:val="374151"/>
                <w:sz w:val="20"/>
              </w:rPr>
              <w:t>197</w:t>
            </w:r>
          </w:p>
        </w:tc>
        <w:tc>
          <w:tcPr>
            <w:tcW w:type="dxa" w:w="1881"/>
          </w:tcPr>
          <w:p>
            <w:pPr>
              <w:spacing w:before="60" w:after="60"/>
            </w:pPr>
            <w:r/>
            <w:r>
              <w:rPr>
                <w:rFonts w:ascii="Lato" w:hAnsi="Lato"/>
                <w:b w:val="0"/>
                <w:i w:val="0"/>
                <w:color w:val="374151"/>
                <w:sz w:val="20"/>
              </w:rPr>
              <w:t>-32%</w:t>
            </w:r>
          </w:p>
        </w:tc>
      </w:tr>
      <w:tr>
        <w:tc>
          <w:tcPr>
            <w:tcW w:type="dxa" w:w="1881"/>
          </w:tcPr>
          <w:p>
            <w:pPr>
              <w:spacing w:before="60" w:after="60"/>
            </w:pPr>
            <w:r/>
            <w:r>
              <w:rPr>
                <w:rFonts w:ascii="Lato" w:hAnsi="Lato"/>
                <w:b w:val="0"/>
                <w:i w:val="0"/>
                <w:color w:val="374151"/>
                <w:sz w:val="20"/>
              </w:rPr>
              <w:t>Defence</w:t>
            </w:r>
          </w:p>
        </w:tc>
        <w:tc>
          <w:tcPr>
            <w:tcW w:type="dxa" w:w="1881"/>
          </w:tcPr>
          <w:p>
            <w:pPr>
              <w:spacing w:before="60" w:after="60"/>
            </w:pPr>
            <w:r/>
            <w:r>
              <w:rPr>
                <w:rFonts w:ascii="Lato" w:hAnsi="Lato"/>
                <w:b w:val="0"/>
                <w:i w:val="0"/>
                <w:color w:val="374151"/>
                <w:sz w:val="20"/>
              </w:rPr>
              <w:t>482</w:t>
            </w:r>
          </w:p>
        </w:tc>
        <w:tc>
          <w:tcPr>
            <w:tcW w:type="dxa" w:w="1881"/>
          </w:tcPr>
          <w:p>
            <w:pPr>
              <w:spacing w:before="60" w:after="60"/>
            </w:pPr>
            <w:r/>
            <w:r>
              <w:rPr>
                <w:rFonts w:ascii="Lato" w:hAnsi="Lato"/>
                <w:b w:val="0"/>
                <w:i w:val="0"/>
                <w:color w:val="374151"/>
                <w:sz w:val="20"/>
              </w:rPr>
              <w:t>29</w:t>
            </w:r>
          </w:p>
        </w:tc>
        <w:tc>
          <w:tcPr>
            <w:tcW w:type="dxa" w:w="1881"/>
          </w:tcPr>
          <w:p>
            <w:pPr>
              <w:spacing w:before="60" w:after="60"/>
            </w:pPr>
            <w:r/>
            <w:r>
              <w:rPr>
                <w:rFonts w:ascii="Lato" w:hAnsi="Lato"/>
                <w:b w:val="0"/>
                <w:i w:val="0"/>
                <w:color w:val="374151"/>
                <w:sz w:val="20"/>
              </w:rPr>
              <w:t>208</w:t>
            </w:r>
          </w:p>
        </w:tc>
        <w:tc>
          <w:tcPr>
            <w:tcW w:type="dxa" w:w="1881"/>
          </w:tcPr>
          <w:p>
            <w:pPr>
              <w:spacing w:before="60" w:after="60"/>
            </w:pPr>
            <w:r/>
            <w:r>
              <w:rPr>
                <w:rFonts w:ascii="Lato" w:hAnsi="Lato"/>
                <w:b w:val="0"/>
                <w:i w:val="0"/>
                <w:color w:val="374151"/>
                <w:sz w:val="20"/>
              </w:rPr>
              <w:t>-37%</w:t>
            </w:r>
          </w:p>
        </w:tc>
      </w:tr>
      <w:tr>
        <w:tc>
          <w:tcPr>
            <w:tcW w:type="dxa" w:w="1881"/>
          </w:tcPr>
          <w:p>
            <w:pPr>
              <w:spacing w:before="60" w:after="60"/>
            </w:pPr>
            <w:r/>
            <w:r>
              <w:rPr>
                <w:rFonts w:ascii="Lato" w:hAnsi="Lato"/>
                <w:b w:val="0"/>
                <w:i w:val="0"/>
                <w:color w:val="374151"/>
                <w:sz w:val="20"/>
              </w:rPr>
              <w:t>Job Creation</w:t>
            </w:r>
          </w:p>
        </w:tc>
        <w:tc>
          <w:tcPr>
            <w:tcW w:type="dxa" w:w="1881"/>
          </w:tcPr>
          <w:p>
            <w:pPr>
              <w:spacing w:before="60" w:after="60"/>
            </w:pPr>
            <w:r/>
            <w:r>
              <w:rPr>
                <w:rFonts w:ascii="Lato" w:hAnsi="Lato"/>
                <w:b w:val="0"/>
                <w:i w:val="0"/>
                <w:color w:val="374151"/>
                <w:sz w:val="20"/>
              </w:rPr>
              <w:t>449</w:t>
            </w:r>
          </w:p>
        </w:tc>
        <w:tc>
          <w:tcPr>
            <w:tcW w:type="dxa" w:w="1881"/>
          </w:tcPr>
          <w:p>
            <w:pPr>
              <w:spacing w:before="60" w:after="60"/>
            </w:pPr>
            <w:r/>
            <w:r>
              <w:rPr>
                <w:rFonts w:ascii="Lato" w:hAnsi="Lato"/>
                <w:b w:val="0"/>
                <w:i w:val="0"/>
                <w:color w:val="374151"/>
                <w:sz w:val="20"/>
              </w:rPr>
              <w:t>33</w:t>
            </w:r>
          </w:p>
        </w:tc>
        <w:tc>
          <w:tcPr>
            <w:tcW w:type="dxa" w:w="1881"/>
          </w:tcPr>
          <w:p>
            <w:pPr>
              <w:spacing w:before="60" w:after="60"/>
            </w:pPr>
            <w:r/>
            <w:r>
              <w:rPr>
                <w:rFonts w:ascii="Lato" w:hAnsi="Lato"/>
                <w:b w:val="0"/>
                <w:i w:val="0"/>
                <w:color w:val="374151"/>
                <w:sz w:val="20"/>
              </w:rPr>
              <w:t>194</w:t>
            </w:r>
          </w:p>
        </w:tc>
        <w:tc>
          <w:tcPr>
            <w:tcW w:type="dxa" w:w="1881"/>
          </w:tcPr>
          <w:p>
            <w:pPr>
              <w:spacing w:before="60" w:after="60"/>
            </w:pPr>
            <w:r/>
            <w:r>
              <w:rPr>
                <w:rFonts w:ascii="Lato" w:hAnsi="Lato"/>
                <w:b w:val="0"/>
                <w:i w:val="0"/>
                <w:color w:val="374151"/>
                <w:sz w:val="20"/>
              </w:rPr>
              <w:t>-36%</w:t>
            </w:r>
          </w:p>
        </w:tc>
      </w:tr>
      <w:tr>
        <w:tc>
          <w:tcPr>
            <w:tcW w:type="dxa" w:w="1881"/>
          </w:tcPr>
          <w:p>
            <w:pPr>
              <w:spacing w:before="60" w:after="60"/>
            </w:pPr>
            <w:r/>
            <w:r>
              <w:rPr>
                <w:rFonts w:ascii="Lato" w:hAnsi="Lato"/>
                <w:b w:val="0"/>
                <w:i w:val="0"/>
                <w:color w:val="374151"/>
                <w:sz w:val="20"/>
              </w:rPr>
              <w:t>Product Quality</w:t>
            </w:r>
          </w:p>
        </w:tc>
        <w:tc>
          <w:tcPr>
            <w:tcW w:type="dxa" w:w="1881"/>
          </w:tcPr>
          <w:p>
            <w:pPr>
              <w:spacing w:before="60" w:after="60"/>
            </w:pPr>
            <w:r/>
            <w:r>
              <w:rPr>
                <w:rFonts w:ascii="Lato" w:hAnsi="Lato"/>
                <w:b w:val="0"/>
                <w:i w:val="0"/>
                <w:color w:val="374151"/>
                <w:sz w:val="20"/>
              </w:rPr>
              <w:t>399</w:t>
            </w:r>
          </w:p>
        </w:tc>
        <w:tc>
          <w:tcPr>
            <w:tcW w:type="dxa" w:w="1881"/>
          </w:tcPr>
          <w:p>
            <w:pPr>
              <w:spacing w:before="60" w:after="60"/>
            </w:pPr>
            <w:r/>
            <w:r>
              <w:rPr>
                <w:rFonts w:ascii="Lato" w:hAnsi="Lato"/>
                <w:b w:val="0"/>
                <w:i w:val="0"/>
                <w:color w:val="374151"/>
                <w:sz w:val="20"/>
              </w:rPr>
              <w:t>8</w:t>
            </w:r>
          </w:p>
        </w:tc>
        <w:tc>
          <w:tcPr>
            <w:tcW w:type="dxa" w:w="1881"/>
          </w:tcPr>
          <w:p>
            <w:pPr>
              <w:spacing w:before="60" w:after="60"/>
            </w:pPr>
            <w:r/>
            <w:r>
              <w:rPr>
                <w:rFonts w:ascii="Lato" w:hAnsi="Lato"/>
                <w:b w:val="0"/>
                <w:i w:val="0"/>
                <w:color w:val="374151"/>
                <w:sz w:val="20"/>
              </w:rPr>
              <w:t>200</w:t>
            </w:r>
          </w:p>
        </w:tc>
        <w:tc>
          <w:tcPr>
            <w:tcW w:type="dxa" w:w="1881"/>
          </w:tcPr>
          <w:p>
            <w:pPr>
              <w:spacing w:before="60" w:after="60"/>
            </w:pPr>
            <w:r/>
            <w:r>
              <w:rPr>
                <w:rFonts w:ascii="Lato" w:hAnsi="Lato"/>
                <w:b w:val="0"/>
                <w:i w:val="0"/>
                <w:color w:val="374151"/>
                <w:sz w:val="20"/>
              </w:rPr>
              <w:t>-48%</w:t>
            </w:r>
          </w:p>
        </w:tc>
      </w:tr>
      <w:tr>
        <w:tc>
          <w:tcPr>
            <w:tcW w:type="dxa" w:w="1881"/>
          </w:tcPr>
          <w:p>
            <w:pPr>
              <w:spacing w:before="60" w:after="60"/>
            </w:pPr>
            <w:r/>
            <w:r>
              <w:rPr>
                <w:rFonts w:ascii="Lato" w:hAnsi="Lato"/>
                <w:b w:val="0"/>
                <w:i w:val="0"/>
                <w:color w:val="374151"/>
                <w:sz w:val="20"/>
              </w:rPr>
              <w:t>Foreign Investment</w:t>
            </w:r>
          </w:p>
        </w:tc>
        <w:tc>
          <w:tcPr>
            <w:tcW w:type="dxa" w:w="1881"/>
          </w:tcPr>
          <w:p>
            <w:pPr>
              <w:spacing w:before="60" w:after="60"/>
            </w:pPr>
            <w:r/>
            <w:r>
              <w:rPr>
                <w:rFonts w:ascii="Lato" w:hAnsi="Lato"/>
                <w:b w:val="0"/>
                <w:i w:val="0"/>
                <w:color w:val="374151"/>
                <w:sz w:val="20"/>
              </w:rPr>
              <w:t>267</w:t>
            </w:r>
          </w:p>
        </w:tc>
        <w:tc>
          <w:tcPr>
            <w:tcW w:type="dxa" w:w="1881"/>
          </w:tcPr>
          <w:p>
            <w:pPr>
              <w:spacing w:before="60" w:after="60"/>
            </w:pPr>
            <w:r/>
            <w:r>
              <w:rPr>
                <w:rFonts w:ascii="Lato" w:hAnsi="Lato"/>
                <w:b w:val="0"/>
                <w:i w:val="0"/>
                <w:color w:val="374151"/>
                <w:sz w:val="20"/>
              </w:rPr>
              <w:t>26</w:t>
            </w:r>
          </w:p>
        </w:tc>
        <w:tc>
          <w:tcPr>
            <w:tcW w:type="dxa" w:w="1881"/>
          </w:tcPr>
          <w:p>
            <w:pPr>
              <w:spacing w:before="60" w:after="60"/>
            </w:pPr>
            <w:r/>
            <w:r>
              <w:rPr>
                <w:rFonts w:ascii="Lato" w:hAnsi="Lato"/>
                <w:b w:val="0"/>
                <w:i w:val="0"/>
                <w:color w:val="374151"/>
                <w:sz w:val="20"/>
              </w:rPr>
              <w:t>100</w:t>
            </w:r>
          </w:p>
        </w:tc>
        <w:tc>
          <w:tcPr>
            <w:tcW w:type="dxa" w:w="1881"/>
          </w:tcPr>
          <w:p>
            <w:pPr>
              <w:spacing w:before="60" w:after="60"/>
            </w:pPr>
            <w:r/>
            <w:r>
              <w:rPr>
                <w:rFonts w:ascii="Lato" w:hAnsi="Lato"/>
                <w:b w:val="0"/>
                <w:i w:val="0"/>
                <w:color w:val="374151"/>
                <w:sz w:val="20"/>
              </w:rPr>
              <w:t>-28%</w:t>
            </w:r>
          </w:p>
        </w:tc>
      </w:tr>
    </w:tbl>
    <w:p>
      <w:pPr>
        <w:spacing w:after="120" w:before="0"/>
      </w:pPr>
      <w:r>
        <w:rPr>
          <w:rFonts w:ascii="Lato" w:hAnsi="Lato"/>
          <w:b w:val="0"/>
          <w:i w:val="0"/>
          <w:sz w:val="22"/>
        </w:rPr>
      </w:r>
    </w:p>
    <w:p>
      <w:pPr>
        <w:jc w:val="center"/>
      </w:pPr>
      <w:r>
        <w:drawing>
          <wp:inline xmlns:a="http://schemas.openxmlformats.org/drawingml/2006/main" xmlns:pic="http://schemas.openxmlformats.org/drawingml/2006/picture">
            <wp:extent cx="5029200" cy="4008844"/>
            <wp:docPr id="5" name="Picture 5"/>
            <wp:cNvGraphicFramePr>
              <a:graphicFrameLocks noChangeAspect="1"/>
            </wp:cNvGraphicFramePr>
            <a:graphic>
              <a:graphicData uri="http://schemas.openxmlformats.org/drawingml/2006/picture">
                <pic:pic>
                  <pic:nvPicPr>
                    <pic:cNvPr id="0" name="chart_aspect_heatmap.png"/>
                    <pic:cNvPicPr/>
                  </pic:nvPicPr>
                  <pic:blipFill>
                    <a:blip r:embed="rId13"/>
                    <a:stretch>
                      <a:fillRect/>
                    </a:stretch>
                  </pic:blipFill>
                  <pic:spPr>
                    <a:xfrm>
                      <a:off x="0" y="0"/>
                      <a:ext cx="5029200" cy="4008844"/>
                    </a:xfrm>
                    <a:prstGeom prst="rect"/>
                  </pic:spPr>
                </pic:pic>
              </a:graphicData>
            </a:graphic>
          </wp:inline>
        </w:drawing>
      </w:r>
    </w:p>
    <w:p>
      <w:pPr>
        <w:spacing w:after="240"/>
        <w:jc w:val="center"/>
      </w:pPr>
      <w:r>
        <w:rPr>
          <w:rFonts w:ascii="Lato" w:hAnsi="Lato"/>
          <w:b w:val="0"/>
          <w:i/>
          <w:color w:val="6B7280"/>
          <w:sz w:val="18"/>
        </w:rPr>
        <w:t>Figure 4: Aspect sentiment heatmap (aspects with ≥10 mentions)</w:t>
      </w:r>
    </w:p>
    <w:p>
      <w:r>
        <w:br w:type="page"/>
      </w:r>
    </w:p>
    <w:p>
      <w:pPr>
        <w:pStyle w:val="Heading1"/>
        <w:jc w:val="left"/>
      </w:pPr>
      <w:r>
        <w:rPr>
          <w:rFonts w:ascii="Lato" w:hAnsi="Lato"/>
          <w:b/>
          <w:color w:val="1E3A5F"/>
          <w:sz w:val="44"/>
        </w:rPr>
        <w:t>Insight Landscape</w:t>
      </w:r>
    </w:p>
    <w:p>
      <w:pPr>
        <w:spacing w:after="120" w:before="0"/>
      </w:pPr>
      <w:r>
        <w:rPr>
          <w:rFonts w:ascii="Lato" w:hAnsi="Lato"/>
          <w:b w:val="0"/>
          <w:i w:val="0"/>
          <w:sz w:val="22"/>
        </w:rPr>
        <w:t>12 insights were identified from 3,516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Lato" w:hAnsi="Lato"/>
                <w:b/>
                <w:i w:val="0"/>
                <w:color w:val="FFFFFF"/>
                <w:sz w:val="20"/>
              </w:rPr>
              <w:t>Insight</w:t>
            </w:r>
          </w:p>
        </w:tc>
        <w:tc>
          <w:tcPr>
            <w:tcW w:type="dxa" w:w="1568"/>
            <w:shd w:val="clear" w:color="auto" w:fill="1E3A5F"/>
          </w:tcPr>
          <w:p>
            <w:pPr>
              <w:spacing w:before="60" w:after="60"/>
            </w:pPr>
            <w:r/>
            <w:r>
              <w:rPr>
                <w:rFonts w:ascii="Lato" w:hAnsi="Lato"/>
                <w:b/>
                <w:i w:val="0"/>
                <w:color w:val="FFFFFF"/>
                <w:sz w:val="20"/>
              </w:rPr>
              <w:t>Items</w:t>
            </w:r>
          </w:p>
        </w:tc>
        <w:tc>
          <w:tcPr>
            <w:tcW w:type="dxa" w:w="1568"/>
            <w:shd w:val="clear" w:color="auto" w:fill="1E3A5F"/>
          </w:tcPr>
          <w:p>
            <w:pPr>
              <w:spacing w:before="60" w:after="60"/>
            </w:pPr>
            <w:r/>
            <w:r>
              <w:rPr>
                <w:rFonts w:ascii="Lato" w:hAnsi="Lato"/>
                <w:b/>
                <w:i w:val="0"/>
                <w:color w:val="FFFFFF"/>
                <w:sz w:val="20"/>
              </w:rPr>
              <w:t>Prevalence in Dataset</w:t>
            </w:r>
          </w:p>
        </w:tc>
        <w:tc>
          <w:tcPr>
            <w:tcW w:type="dxa" w:w="1568"/>
            <w:shd w:val="clear" w:color="auto" w:fill="1E3A5F"/>
          </w:tcPr>
          <w:p>
            <w:pPr>
              <w:spacing w:before="60" w:after="60"/>
            </w:pPr>
            <w:r/>
            <w:r>
              <w:rPr>
                <w:rFonts w:ascii="Lato" w:hAnsi="Lato"/>
                <w:b/>
                <w:i w:val="0"/>
                <w:color w:val="FFFFFF"/>
                <w:sz w:val="20"/>
              </w:rPr>
              <w:t>Signal Strength</w:t>
            </w:r>
          </w:p>
        </w:tc>
        <w:tc>
          <w:tcPr>
            <w:tcW w:type="dxa" w:w="1568"/>
            <w:shd w:val="clear" w:color="auto" w:fill="1E3A5F"/>
          </w:tcPr>
          <w:p>
            <w:pPr>
              <w:spacing w:before="60" w:after="60"/>
            </w:pPr>
            <w:r/>
            <w:r>
              <w:rPr>
                <w:rFonts w:ascii="Lato" w:hAnsi="Lato"/>
                <w:b/>
                <w:i w:val="0"/>
                <w:color w:val="FFFFFF"/>
                <w:sz w:val="20"/>
              </w:rPr>
              <w:t>Confidence Score</w:t>
            </w:r>
          </w:p>
        </w:tc>
        <w:tc>
          <w:tcPr>
            <w:tcW w:type="dxa" w:w="1568"/>
            <w:shd w:val="clear" w:color="auto" w:fill="1E3A5F"/>
          </w:tcPr>
          <w:p>
            <w:pPr>
              <w:spacing w:before="60" w:after="60"/>
            </w:pPr>
            <w:r/>
            <w:r>
              <w:rPr>
                <w:rFonts w:ascii="Lato" w:hAnsi="Lato"/>
                <w:b/>
                <w:i w:val="0"/>
                <w:color w:val="FFFFFF"/>
                <w:sz w:val="20"/>
              </w:rPr>
              <w:t>NSS</w:t>
            </w:r>
          </w:p>
        </w:tc>
      </w:tr>
      <w:tr>
        <w:tc>
          <w:tcPr>
            <w:tcW w:type="dxa" w:w="1568"/>
          </w:tcPr>
          <w:p>
            <w:pPr>
              <w:spacing w:before="60" w:after="60"/>
            </w:pPr>
            <w:r/>
            <w:r>
              <w:rPr>
                <w:rFonts w:ascii="Lato" w:hAnsi="Lato"/>
                <w:b w:val="0"/>
                <w:i w:val="0"/>
                <w:color w:val="374151"/>
                <w:sz w:val="20"/>
              </w:rPr>
              <w:t>Make in India: Success vs Failure Debate</w:t>
            </w:r>
          </w:p>
        </w:tc>
        <w:tc>
          <w:tcPr>
            <w:tcW w:type="dxa" w:w="1568"/>
          </w:tcPr>
          <w:p>
            <w:pPr>
              <w:spacing w:before="60" w:after="60"/>
            </w:pPr>
            <w:r/>
            <w:r>
              <w:rPr>
                <w:rFonts w:ascii="Lato" w:hAnsi="Lato"/>
                <w:b w:val="0"/>
                <w:i w:val="0"/>
                <w:color w:val="374151"/>
                <w:sz w:val="20"/>
              </w:rPr>
              <w:t>1756</w:t>
            </w:r>
          </w:p>
        </w:tc>
        <w:tc>
          <w:tcPr>
            <w:tcW w:type="dxa" w:w="1568"/>
          </w:tcPr>
          <w:p>
            <w:pPr>
              <w:spacing w:before="60" w:after="60"/>
            </w:pPr>
            <w:r/>
            <w:r>
              <w:rPr>
                <w:rFonts w:ascii="Lato" w:hAnsi="Lato"/>
                <w:b w:val="0"/>
                <w:i w:val="0"/>
                <w:color w:val="374151"/>
                <w:sz w:val="20"/>
              </w:rPr>
              <w:t>49.9%</w:t>
            </w:r>
          </w:p>
        </w:tc>
        <w:tc>
          <w:tcPr>
            <w:tcW w:type="dxa" w:w="1568"/>
          </w:tcPr>
          <w:p>
            <w:pPr>
              <w:spacing w:before="60" w:after="60"/>
            </w:pPr>
            <w:r/>
            <w:r>
              <w:rPr>
                <w:rFonts w:ascii="Lato" w:hAnsi="Lato"/>
                <w:b w:val="0"/>
                <w:i w:val="0"/>
                <w:color w:val="374151"/>
                <w:sz w:val="20"/>
              </w:rPr>
              <w:t>53% (Moderate)</w:t>
            </w:r>
          </w:p>
        </w:tc>
        <w:tc>
          <w:tcPr>
            <w:tcW w:type="dxa" w:w="1568"/>
          </w:tcPr>
          <w:p>
            <w:pPr>
              <w:spacing w:before="60" w:after="60"/>
            </w:pPr>
            <w:r/>
            <w:r>
              <w:rPr>
                <w:rFonts w:ascii="Lato" w:hAnsi="Lato"/>
                <w:b w:val="0"/>
                <w:i w:val="0"/>
                <w:color w:val="374151"/>
                <w:sz w:val="20"/>
              </w:rPr>
              <w:t>68% (Medium)</w:t>
            </w:r>
          </w:p>
        </w:tc>
        <w:tc>
          <w:tcPr>
            <w:tcW w:type="dxa" w:w="1568"/>
          </w:tcPr>
          <w:p>
            <w:pPr>
              <w:spacing w:before="60" w:after="60"/>
            </w:pPr>
            <w:r/>
            <w:r>
              <w:rPr>
                <w:rFonts w:ascii="Lato" w:hAnsi="Lato"/>
                <w:b w:val="0"/>
                <w:i w:val="0"/>
                <w:color w:val="374151"/>
                <w:sz w:val="20"/>
              </w:rPr>
              <w:t>+33%</w:t>
            </w:r>
          </w:p>
        </w:tc>
      </w:tr>
      <w:tr>
        <w:tc>
          <w:tcPr>
            <w:tcW w:type="dxa" w:w="1568"/>
          </w:tcPr>
          <w:p>
            <w:pPr>
              <w:spacing w:before="60" w:after="60"/>
            </w:pPr>
            <w:r/>
            <w:r>
              <w:rPr>
                <w:rFonts w:ascii="Lato" w:hAnsi="Lato"/>
                <w:b w:val="0"/>
                <w:i w:val="0"/>
                <w:color w:val="374151"/>
                <w:sz w:val="20"/>
              </w:rPr>
              <w:t>Indian Brand Ecosystem &amp; D2C/Startup Growth</w:t>
            </w:r>
          </w:p>
        </w:tc>
        <w:tc>
          <w:tcPr>
            <w:tcW w:type="dxa" w:w="1568"/>
          </w:tcPr>
          <w:p>
            <w:pPr>
              <w:spacing w:before="60" w:after="60"/>
            </w:pPr>
            <w:r/>
            <w:r>
              <w:rPr>
                <w:rFonts w:ascii="Lato" w:hAnsi="Lato"/>
                <w:b w:val="0"/>
                <w:i w:val="0"/>
                <w:color w:val="374151"/>
                <w:sz w:val="20"/>
              </w:rPr>
              <w:t>1128</w:t>
            </w:r>
          </w:p>
        </w:tc>
        <w:tc>
          <w:tcPr>
            <w:tcW w:type="dxa" w:w="1568"/>
          </w:tcPr>
          <w:p>
            <w:pPr>
              <w:spacing w:before="60" w:after="60"/>
            </w:pPr>
            <w:r/>
            <w:r>
              <w:rPr>
                <w:rFonts w:ascii="Lato" w:hAnsi="Lato"/>
                <w:b w:val="0"/>
                <w:i w:val="0"/>
                <w:color w:val="374151"/>
                <w:sz w:val="20"/>
              </w:rPr>
              <w:t>32.1%</w:t>
            </w:r>
          </w:p>
        </w:tc>
        <w:tc>
          <w:tcPr>
            <w:tcW w:type="dxa" w:w="1568"/>
          </w:tcPr>
          <w:p>
            <w:pPr>
              <w:spacing w:before="60" w:after="60"/>
            </w:pPr>
            <w:r/>
            <w:r>
              <w:rPr>
                <w:rFonts w:ascii="Lato" w:hAnsi="Lato"/>
                <w:b w:val="0"/>
                <w:i w:val="0"/>
                <w:color w:val="374151"/>
                <w:sz w:val="20"/>
              </w:rPr>
              <w:t>66% (Moderate)</w:t>
            </w:r>
          </w:p>
        </w:tc>
        <w:tc>
          <w:tcPr>
            <w:tcW w:type="dxa" w:w="1568"/>
          </w:tcPr>
          <w:p>
            <w:pPr>
              <w:spacing w:before="60" w:after="60"/>
            </w:pPr>
            <w:r/>
            <w:r>
              <w:rPr>
                <w:rFonts w:ascii="Lato" w:hAnsi="Lato"/>
                <w:b w:val="0"/>
                <w:i w:val="0"/>
                <w:color w:val="374151"/>
                <w:sz w:val="20"/>
              </w:rPr>
              <w:t>67% (Medium)</w:t>
            </w:r>
          </w:p>
        </w:tc>
        <w:tc>
          <w:tcPr>
            <w:tcW w:type="dxa" w:w="1568"/>
          </w:tcPr>
          <w:p>
            <w:pPr>
              <w:spacing w:before="60" w:after="60"/>
            </w:pPr>
            <w:r/>
            <w:r>
              <w:rPr>
                <w:rFonts w:ascii="Lato" w:hAnsi="Lato"/>
                <w:b w:val="0"/>
                <w:i w:val="0"/>
                <w:color w:val="374151"/>
                <w:sz w:val="20"/>
              </w:rPr>
              <w:t>+33%</w:t>
            </w:r>
          </w:p>
        </w:tc>
      </w:tr>
      <w:tr>
        <w:tc>
          <w:tcPr>
            <w:tcW w:type="dxa" w:w="1568"/>
          </w:tcPr>
          <w:p>
            <w:pPr>
              <w:spacing w:before="60" w:after="60"/>
            </w:pPr>
            <w:r/>
            <w:r>
              <w:rPr>
                <w:rFonts w:ascii="Lato" w:hAnsi="Lato"/>
                <w:b w:val="0"/>
                <w:i w:val="0"/>
                <w:color w:val="374151"/>
                <w:sz w:val="20"/>
              </w:rPr>
              <w:t>Infrastructure &amp; Industrial Capacity Building</w:t>
            </w:r>
          </w:p>
        </w:tc>
        <w:tc>
          <w:tcPr>
            <w:tcW w:type="dxa" w:w="1568"/>
          </w:tcPr>
          <w:p>
            <w:pPr>
              <w:spacing w:before="60" w:after="60"/>
            </w:pPr>
            <w:r/>
            <w:r>
              <w:rPr>
                <w:rFonts w:ascii="Lato" w:hAnsi="Lato"/>
                <w:b w:val="0"/>
                <w:i w:val="0"/>
                <w:color w:val="374151"/>
                <w:sz w:val="20"/>
              </w:rPr>
              <w:t>1017</w:t>
            </w:r>
          </w:p>
        </w:tc>
        <w:tc>
          <w:tcPr>
            <w:tcW w:type="dxa" w:w="1568"/>
          </w:tcPr>
          <w:p>
            <w:pPr>
              <w:spacing w:before="60" w:after="60"/>
            </w:pPr>
            <w:r/>
            <w:r>
              <w:rPr>
                <w:rFonts w:ascii="Lato" w:hAnsi="Lato"/>
                <w:b w:val="0"/>
                <w:i w:val="0"/>
                <w:color w:val="374151"/>
                <w:sz w:val="20"/>
              </w:rPr>
              <w:t>28.9%</w:t>
            </w:r>
          </w:p>
        </w:tc>
        <w:tc>
          <w:tcPr>
            <w:tcW w:type="dxa" w:w="1568"/>
          </w:tcPr>
          <w:p>
            <w:pPr>
              <w:spacing w:before="60" w:after="60"/>
            </w:pPr>
            <w:r/>
            <w:r>
              <w:rPr>
                <w:rFonts w:ascii="Lato" w:hAnsi="Lato"/>
                <w:b w:val="0"/>
                <w:i w:val="0"/>
                <w:color w:val="374151"/>
                <w:sz w:val="20"/>
              </w:rPr>
              <w:t>65% (Moderate)</w:t>
            </w:r>
          </w:p>
        </w:tc>
        <w:tc>
          <w:tcPr>
            <w:tcW w:type="dxa" w:w="1568"/>
          </w:tcPr>
          <w:p>
            <w:pPr>
              <w:spacing w:before="60" w:after="60"/>
            </w:pPr>
            <w:r/>
            <w:r>
              <w:rPr>
                <w:rFonts w:ascii="Lato" w:hAnsi="Lato"/>
                <w:b w:val="0"/>
                <w:i w:val="0"/>
                <w:color w:val="374151"/>
                <w:sz w:val="20"/>
              </w:rPr>
              <w:t>67% (Medium)</w:t>
            </w:r>
          </w:p>
        </w:tc>
        <w:tc>
          <w:tcPr>
            <w:tcW w:type="dxa" w:w="1568"/>
          </w:tcPr>
          <w:p>
            <w:pPr>
              <w:spacing w:before="60" w:after="60"/>
            </w:pPr>
            <w:r/>
            <w:r>
              <w:rPr>
                <w:rFonts w:ascii="Lato" w:hAnsi="Lato"/>
                <w:b w:val="0"/>
                <w:i w:val="0"/>
                <w:color w:val="374151"/>
                <w:sz w:val="20"/>
              </w:rPr>
              <w:t>+39%</w:t>
            </w:r>
          </w:p>
        </w:tc>
      </w:tr>
      <w:tr>
        <w:tc>
          <w:tcPr>
            <w:tcW w:type="dxa" w:w="1568"/>
          </w:tcPr>
          <w:p>
            <w:pPr>
              <w:spacing w:before="60" w:after="60"/>
            </w:pPr>
            <w:r/>
            <w:r>
              <w:rPr>
                <w:rFonts w:ascii="Lato" w:hAnsi="Lato"/>
                <w:b w:val="0"/>
                <w:i w:val="0"/>
                <w:color w:val="374151"/>
                <w:sz w:val="20"/>
              </w:rPr>
              <w:t>Manufacturing GDP &amp; Economic Fundamentals</w:t>
            </w:r>
          </w:p>
        </w:tc>
        <w:tc>
          <w:tcPr>
            <w:tcW w:type="dxa" w:w="1568"/>
          </w:tcPr>
          <w:p>
            <w:pPr>
              <w:spacing w:before="60" w:after="60"/>
            </w:pPr>
            <w:r/>
            <w:r>
              <w:rPr>
                <w:rFonts w:ascii="Lato" w:hAnsi="Lato"/>
                <w:b w:val="0"/>
                <w:i w:val="0"/>
                <w:color w:val="374151"/>
                <w:sz w:val="20"/>
              </w:rPr>
              <w:t>738</w:t>
            </w:r>
          </w:p>
        </w:tc>
        <w:tc>
          <w:tcPr>
            <w:tcW w:type="dxa" w:w="1568"/>
          </w:tcPr>
          <w:p>
            <w:pPr>
              <w:spacing w:before="60" w:after="60"/>
            </w:pPr>
            <w:r/>
            <w:r>
              <w:rPr>
                <w:rFonts w:ascii="Lato" w:hAnsi="Lato"/>
                <w:b w:val="0"/>
                <w:i w:val="0"/>
                <w:color w:val="374151"/>
                <w:sz w:val="20"/>
              </w:rPr>
              <w:t>21.0%</w:t>
            </w:r>
          </w:p>
        </w:tc>
        <w:tc>
          <w:tcPr>
            <w:tcW w:type="dxa" w:w="1568"/>
          </w:tcPr>
          <w:p>
            <w:pPr>
              <w:spacing w:before="60" w:after="60"/>
            </w:pPr>
            <w:r/>
            <w:r>
              <w:rPr>
                <w:rFonts w:ascii="Lato" w:hAnsi="Lato"/>
                <w:b w:val="0"/>
                <w:i w:val="0"/>
                <w:color w:val="374151"/>
                <w:sz w:val="20"/>
              </w:rPr>
              <w:t>62% (Moderate)</w:t>
            </w:r>
          </w:p>
        </w:tc>
        <w:tc>
          <w:tcPr>
            <w:tcW w:type="dxa" w:w="1568"/>
          </w:tcPr>
          <w:p>
            <w:pPr>
              <w:spacing w:before="60" w:after="60"/>
            </w:pPr>
            <w:r/>
            <w:r>
              <w:rPr>
                <w:rFonts w:ascii="Lato" w:hAnsi="Lato"/>
                <w:b w:val="0"/>
                <w:i w:val="0"/>
                <w:color w:val="374151"/>
                <w:sz w:val="20"/>
              </w:rPr>
              <w:t>65% (Medium)</w:t>
            </w:r>
          </w:p>
        </w:tc>
        <w:tc>
          <w:tcPr>
            <w:tcW w:type="dxa" w:w="1568"/>
          </w:tcPr>
          <w:p>
            <w:pPr>
              <w:spacing w:before="60" w:after="60"/>
            </w:pPr>
            <w:r/>
            <w:r>
              <w:rPr>
                <w:rFonts w:ascii="Lato" w:hAnsi="Lato"/>
                <w:b w:val="0"/>
                <w:i w:val="0"/>
                <w:color w:val="374151"/>
                <w:sz w:val="20"/>
              </w:rPr>
              <w:t>+41%</w:t>
            </w:r>
          </w:p>
        </w:tc>
      </w:tr>
      <w:tr>
        <w:tc>
          <w:tcPr>
            <w:tcW w:type="dxa" w:w="1568"/>
          </w:tcPr>
          <w:p>
            <w:pPr>
              <w:spacing w:before="60" w:after="60"/>
            </w:pPr>
            <w:r/>
            <w:r>
              <w:rPr>
                <w:rFonts w:ascii="Lato" w:hAnsi="Lato"/>
                <w:b w:val="0"/>
                <w:i w:val="0"/>
                <w:color w:val="374151"/>
                <w:sz w:val="20"/>
              </w:rPr>
              <w:t>Vocal for Local &amp; Swadeshi Movement</w:t>
            </w:r>
          </w:p>
        </w:tc>
        <w:tc>
          <w:tcPr>
            <w:tcW w:type="dxa" w:w="1568"/>
          </w:tcPr>
          <w:p>
            <w:pPr>
              <w:spacing w:before="60" w:after="60"/>
            </w:pPr>
            <w:r/>
            <w:r>
              <w:rPr>
                <w:rFonts w:ascii="Lato" w:hAnsi="Lato"/>
                <w:b w:val="0"/>
                <w:i w:val="0"/>
                <w:color w:val="374151"/>
                <w:sz w:val="20"/>
              </w:rPr>
              <w:t>657</w:t>
            </w:r>
          </w:p>
        </w:tc>
        <w:tc>
          <w:tcPr>
            <w:tcW w:type="dxa" w:w="1568"/>
          </w:tcPr>
          <w:p>
            <w:pPr>
              <w:spacing w:before="60" w:after="60"/>
            </w:pPr>
            <w:r/>
            <w:r>
              <w:rPr>
                <w:rFonts w:ascii="Lato" w:hAnsi="Lato"/>
                <w:b w:val="0"/>
                <w:i w:val="0"/>
                <w:color w:val="374151"/>
                <w:sz w:val="20"/>
              </w:rPr>
              <w:t>18.7%</w:t>
            </w:r>
          </w:p>
        </w:tc>
        <w:tc>
          <w:tcPr>
            <w:tcW w:type="dxa" w:w="1568"/>
          </w:tcPr>
          <w:p>
            <w:pPr>
              <w:spacing w:before="60" w:after="60"/>
            </w:pPr>
            <w:r/>
            <w:r>
              <w:rPr>
                <w:rFonts w:ascii="Lato" w:hAnsi="Lato"/>
                <w:b w:val="0"/>
                <w:i w:val="0"/>
                <w:color w:val="374151"/>
                <w:sz w:val="20"/>
              </w:rPr>
              <w:t>46% (Weak)</w:t>
            </w:r>
          </w:p>
        </w:tc>
        <w:tc>
          <w:tcPr>
            <w:tcW w:type="dxa" w:w="1568"/>
          </w:tcPr>
          <w:p>
            <w:pPr>
              <w:spacing w:before="60" w:after="60"/>
            </w:pPr>
            <w:r/>
            <w:r>
              <w:rPr>
                <w:rFonts w:ascii="Lato" w:hAnsi="Lato"/>
                <w:b w:val="0"/>
                <w:i w:val="0"/>
                <w:color w:val="374151"/>
                <w:sz w:val="20"/>
              </w:rPr>
              <w:t>60% (Medium)</w:t>
            </w:r>
          </w:p>
        </w:tc>
        <w:tc>
          <w:tcPr>
            <w:tcW w:type="dxa" w:w="1568"/>
          </w:tcPr>
          <w:p>
            <w:pPr>
              <w:spacing w:before="60" w:after="60"/>
            </w:pPr>
            <w:r/>
            <w:r>
              <w:rPr>
                <w:rFonts w:ascii="Lato" w:hAnsi="Lato"/>
                <w:b w:val="0"/>
                <w:i w:val="0"/>
                <w:color w:val="374151"/>
                <w:sz w:val="20"/>
              </w:rPr>
              <w:t>+57%</w:t>
            </w:r>
          </w:p>
        </w:tc>
      </w:tr>
      <w:tr>
        <w:tc>
          <w:tcPr>
            <w:tcW w:type="dxa" w:w="1568"/>
          </w:tcPr>
          <w:p>
            <w:pPr>
              <w:spacing w:before="60" w:after="60"/>
            </w:pPr>
            <w:r/>
            <w:r>
              <w:rPr>
                <w:rFonts w:ascii="Lato" w:hAnsi="Lato"/>
                <w:b w:val="0"/>
                <w:i w:val="0"/>
                <w:color w:val="374151"/>
                <w:sz w:val="20"/>
              </w:rPr>
              <w:t>US Tariff War &amp; Trade Policy</w:t>
            </w:r>
          </w:p>
        </w:tc>
        <w:tc>
          <w:tcPr>
            <w:tcW w:type="dxa" w:w="1568"/>
          </w:tcPr>
          <w:p>
            <w:pPr>
              <w:spacing w:before="60" w:after="60"/>
            </w:pPr>
            <w:r/>
            <w:r>
              <w:rPr>
                <w:rFonts w:ascii="Lato" w:hAnsi="Lato"/>
                <w:b w:val="0"/>
                <w:i w:val="0"/>
                <w:color w:val="374151"/>
                <w:sz w:val="20"/>
              </w:rPr>
              <w:t>562</w:t>
            </w:r>
          </w:p>
        </w:tc>
        <w:tc>
          <w:tcPr>
            <w:tcW w:type="dxa" w:w="1568"/>
          </w:tcPr>
          <w:p>
            <w:pPr>
              <w:spacing w:before="60" w:after="60"/>
            </w:pPr>
            <w:r/>
            <w:r>
              <w:rPr>
                <w:rFonts w:ascii="Lato" w:hAnsi="Lato"/>
                <w:b w:val="0"/>
                <w:i w:val="0"/>
                <w:color w:val="374151"/>
                <w:sz w:val="20"/>
              </w:rPr>
              <w:t>16.0%</w:t>
            </w:r>
          </w:p>
        </w:tc>
        <w:tc>
          <w:tcPr>
            <w:tcW w:type="dxa" w:w="1568"/>
          </w:tcPr>
          <w:p>
            <w:pPr>
              <w:spacing w:before="60" w:after="60"/>
            </w:pPr>
            <w:r/>
            <w:r>
              <w:rPr>
                <w:rFonts w:ascii="Lato" w:hAnsi="Lato"/>
                <w:b w:val="0"/>
                <w:i w:val="0"/>
                <w:color w:val="374151"/>
                <w:sz w:val="20"/>
              </w:rPr>
              <w:t>52% (Moderate)</w:t>
            </w:r>
          </w:p>
        </w:tc>
        <w:tc>
          <w:tcPr>
            <w:tcW w:type="dxa" w:w="1568"/>
          </w:tcPr>
          <w:p>
            <w:pPr>
              <w:spacing w:before="60" w:after="60"/>
            </w:pPr>
            <w:r/>
            <w:r>
              <w:rPr>
                <w:rFonts w:ascii="Lato" w:hAnsi="Lato"/>
                <w:b w:val="0"/>
                <w:i w:val="0"/>
                <w:color w:val="374151"/>
                <w:sz w:val="20"/>
              </w:rPr>
              <w:t>62% (Medium)</w:t>
            </w:r>
          </w:p>
        </w:tc>
        <w:tc>
          <w:tcPr>
            <w:tcW w:type="dxa" w:w="1568"/>
          </w:tcPr>
          <w:p>
            <w:pPr>
              <w:spacing w:before="60" w:after="60"/>
            </w:pPr>
            <w:r/>
            <w:r>
              <w:rPr>
                <w:rFonts w:ascii="Lato" w:hAnsi="Lato"/>
                <w:b w:val="0"/>
                <w:i w:val="0"/>
                <w:color w:val="374151"/>
                <w:sz w:val="20"/>
              </w:rPr>
              <w:t>+23%</w:t>
            </w:r>
          </w:p>
        </w:tc>
      </w:tr>
      <w:tr>
        <w:tc>
          <w:tcPr>
            <w:tcW w:type="dxa" w:w="1568"/>
          </w:tcPr>
          <w:p>
            <w:pPr>
              <w:spacing w:before="60" w:after="60"/>
            </w:pPr>
            <w:r/>
            <w:r>
              <w:rPr>
                <w:rFonts w:ascii="Lato" w:hAnsi="Lato"/>
                <w:b w:val="0"/>
                <w:i w:val="0"/>
                <w:color w:val="374151"/>
                <w:sz w:val="20"/>
              </w:rPr>
              <w:t>Employment &amp; Workforce Development</w:t>
            </w:r>
          </w:p>
        </w:tc>
        <w:tc>
          <w:tcPr>
            <w:tcW w:type="dxa" w:w="1568"/>
          </w:tcPr>
          <w:p>
            <w:pPr>
              <w:spacing w:before="60" w:after="60"/>
            </w:pPr>
            <w:r/>
            <w:r>
              <w:rPr>
                <w:rFonts w:ascii="Lato" w:hAnsi="Lato"/>
                <w:b w:val="0"/>
                <w:i w:val="0"/>
                <w:color w:val="374151"/>
                <w:sz w:val="20"/>
              </w:rPr>
              <w:t>509</w:t>
            </w:r>
          </w:p>
        </w:tc>
        <w:tc>
          <w:tcPr>
            <w:tcW w:type="dxa" w:w="1568"/>
          </w:tcPr>
          <w:p>
            <w:pPr>
              <w:spacing w:before="60" w:after="60"/>
            </w:pPr>
            <w:r/>
            <w:r>
              <w:rPr>
                <w:rFonts w:ascii="Lato" w:hAnsi="Lato"/>
                <w:b w:val="0"/>
                <w:i w:val="0"/>
                <w:color w:val="374151"/>
                <w:sz w:val="20"/>
              </w:rPr>
              <w:t>14.5%</w:t>
            </w:r>
          </w:p>
        </w:tc>
        <w:tc>
          <w:tcPr>
            <w:tcW w:type="dxa" w:w="1568"/>
          </w:tcPr>
          <w:p>
            <w:pPr>
              <w:spacing w:before="60" w:after="60"/>
            </w:pPr>
            <w:r/>
            <w:r>
              <w:rPr>
                <w:rFonts w:ascii="Lato" w:hAnsi="Lato"/>
                <w:b w:val="0"/>
                <w:i w:val="0"/>
                <w:color w:val="374151"/>
                <w:sz w:val="20"/>
              </w:rPr>
              <w:t>58% (Moderate)</w:t>
            </w:r>
          </w:p>
        </w:tc>
        <w:tc>
          <w:tcPr>
            <w:tcW w:type="dxa" w:w="1568"/>
          </w:tcPr>
          <w:p>
            <w:pPr>
              <w:spacing w:before="60" w:after="60"/>
            </w:pPr>
            <w:r/>
            <w:r>
              <w:rPr>
                <w:rFonts w:ascii="Lato" w:hAnsi="Lato"/>
                <w:b w:val="0"/>
                <w:i w:val="0"/>
                <w:color w:val="374151"/>
                <w:sz w:val="20"/>
              </w:rPr>
              <w:t>62% (Medium)</w:t>
            </w:r>
          </w:p>
        </w:tc>
        <w:tc>
          <w:tcPr>
            <w:tcW w:type="dxa" w:w="1568"/>
          </w:tcPr>
          <w:p>
            <w:pPr>
              <w:spacing w:before="60" w:after="60"/>
            </w:pPr>
            <w:r/>
            <w:r>
              <w:rPr>
                <w:rFonts w:ascii="Lato" w:hAnsi="Lato"/>
                <w:b w:val="0"/>
                <w:i w:val="0"/>
                <w:color w:val="374151"/>
                <w:sz w:val="20"/>
              </w:rPr>
              <w:t>+28%</w:t>
            </w:r>
          </w:p>
        </w:tc>
      </w:tr>
      <w:tr>
        <w:tc>
          <w:tcPr>
            <w:tcW w:type="dxa" w:w="1568"/>
          </w:tcPr>
          <w:p>
            <w:pPr>
              <w:spacing w:before="60" w:after="60"/>
            </w:pPr>
            <w:r/>
            <w:r>
              <w:rPr>
                <w:rFonts w:ascii="Lato" w:hAnsi="Lato"/>
                <w:b w:val="0"/>
                <w:i w:val="0"/>
                <w:color w:val="374151"/>
                <w:sz w:val="20"/>
              </w:rPr>
              <w:t>PLI Scheme &amp; Electronics Manufacturing</w:t>
            </w:r>
          </w:p>
        </w:tc>
        <w:tc>
          <w:tcPr>
            <w:tcW w:type="dxa" w:w="1568"/>
          </w:tcPr>
          <w:p>
            <w:pPr>
              <w:spacing w:before="60" w:after="60"/>
            </w:pPr>
            <w:r/>
            <w:r>
              <w:rPr>
                <w:rFonts w:ascii="Lato" w:hAnsi="Lato"/>
                <w:b w:val="0"/>
                <w:i w:val="0"/>
                <w:color w:val="374151"/>
                <w:sz w:val="20"/>
              </w:rPr>
              <w:t>439</w:t>
            </w:r>
          </w:p>
        </w:tc>
        <w:tc>
          <w:tcPr>
            <w:tcW w:type="dxa" w:w="1568"/>
          </w:tcPr>
          <w:p>
            <w:pPr>
              <w:spacing w:before="60" w:after="60"/>
            </w:pPr>
            <w:r/>
            <w:r>
              <w:rPr>
                <w:rFonts w:ascii="Lato" w:hAnsi="Lato"/>
                <w:b w:val="0"/>
                <w:i w:val="0"/>
                <w:color w:val="374151"/>
                <w:sz w:val="20"/>
              </w:rPr>
              <w:t>12.5%</w:t>
            </w:r>
          </w:p>
        </w:tc>
        <w:tc>
          <w:tcPr>
            <w:tcW w:type="dxa" w:w="1568"/>
          </w:tcPr>
          <w:p>
            <w:pPr>
              <w:spacing w:before="60" w:after="60"/>
            </w:pPr>
            <w:r/>
            <w:r>
              <w:rPr>
                <w:rFonts w:ascii="Lato" w:hAnsi="Lato"/>
                <w:b w:val="0"/>
                <w:i w:val="0"/>
                <w:color w:val="374151"/>
                <w:sz w:val="20"/>
              </w:rPr>
              <w:t>48% (Weak)</w:t>
            </w:r>
          </w:p>
        </w:tc>
        <w:tc>
          <w:tcPr>
            <w:tcW w:type="dxa" w:w="1568"/>
          </w:tcPr>
          <w:p>
            <w:pPr>
              <w:spacing w:before="60" w:after="60"/>
            </w:pPr>
            <w:r/>
            <w:r>
              <w:rPr>
                <w:rFonts w:ascii="Lato" w:hAnsi="Lato"/>
                <w:b w:val="0"/>
                <w:i w:val="0"/>
                <w:color w:val="374151"/>
                <w:sz w:val="20"/>
              </w:rPr>
              <w:t>61% (Medium)</w:t>
            </w:r>
          </w:p>
        </w:tc>
        <w:tc>
          <w:tcPr>
            <w:tcW w:type="dxa" w:w="1568"/>
          </w:tcPr>
          <w:p>
            <w:pPr>
              <w:spacing w:before="60" w:after="60"/>
            </w:pPr>
            <w:r/>
            <w:r>
              <w:rPr>
                <w:rFonts w:ascii="Lato" w:hAnsi="Lato"/>
                <w:b w:val="0"/>
                <w:i w:val="0"/>
                <w:color w:val="374151"/>
                <w:sz w:val="20"/>
              </w:rPr>
              <w:t>+41%</w:t>
            </w:r>
          </w:p>
        </w:tc>
      </w:tr>
      <w:tr>
        <w:tc>
          <w:tcPr>
            <w:tcW w:type="dxa" w:w="1568"/>
          </w:tcPr>
          <w:p>
            <w:pPr>
              <w:spacing w:before="60" w:after="60"/>
            </w:pPr>
            <w:r/>
            <w:r>
              <w:rPr>
                <w:rFonts w:ascii="Lato" w:hAnsi="Lato"/>
                <w:b w:val="0"/>
                <w:i w:val="0"/>
                <w:color w:val="374151"/>
                <w:sz w:val="20"/>
              </w:rPr>
              <w:t>Product Quality &amp; Consumer Trust</w:t>
            </w:r>
          </w:p>
        </w:tc>
        <w:tc>
          <w:tcPr>
            <w:tcW w:type="dxa" w:w="1568"/>
          </w:tcPr>
          <w:p>
            <w:pPr>
              <w:spacing w:before="60" w:after="60"/>
            </w:pPr>
            <w:r/>
            <w:r>
              <w:rPr>
                <w:rFonts w:ascii="Lato" w:hAnsi="Lato"/>
                <w:b w:val="0"/>
                <w:i w:val="0"/>
                <w:color w:val="374151"/>
                <w:sz w:val="20"/>
              </w:rPr>
              <w:t>416</w:t>
            </w:r>
          </w:p>
        </w:tc>
        <w:tc>
          <w:tcPr>
            <w:tcW w:type="dxa" w:w="1568"/>
          </w:tcPr>
          <w:p>
            <w:pPr>
              <w:spacing w:before="60" w:after="60"/>
            </w:pPr>
            <w:r/>
            <w:r>
              <w:rPr>
                <w:rFonts w:ascii="Lato" w:hAnsi="Lato"/>
                <w:b w:val="0"/>
                <w:i w:val="0"/>
                <w:color w:val="374151"/>
                <w:sz w:val="20"/>
              </w:rPr>
              <w:t>11.8%</w:t>
            </w:r>
          </w:p>
        </w:tc>
        <w:tc>
          <w:tcPr>
            <w:tcW w:type="dxa" w:w="1568"/>
          </w:tcPr>
          <w:p>
            <w:pPr>
              <w:spacing w:before="60" w:after="60"/>
            </w:pPr>
            <w:r/>
            <w:r>
              <w:rPr>
                <w:rFonts w:ascii="Lato" w:hAnsi="Lato"/>
                <w:b w:val="0"/>
                <w:i w:val="0"/>
                <w:color w:val="374151"/>
                <w:sz w:val="20"/>
              </w:rPr>
              <w:t>60% (Moderate)</w:t>
            </w:r>
          </w:p>
        </w:tc>
        <w:tc>
          <w:tcPr>
            <w:tcW w:type="dxa" w:w="1568"/>
          </w:tcPr>
          <w:p>
            <w:pPr>
              <w:spacing w:before="60" w:after="60"/>
            </w:pPr>
            <w:r/>
            <w:r>
              <w:rPr>
                <w:rFonts w:ascii="Lato" w:hAnsi="Lato"/>
                <w:b w:val="0"/>
                <w:i w:val="0"/>
                <w:color w:val="374151"/>
                <w:sz w:val="20"/>
              </w:rPr>
              <w:t>60% (Medium)</w:t>
            </w:r>
          </w:p>
        </w:tc>
        <w:tc>
          <w:tcPr>
            <w:tcW w:type="dxa" w:w="1568"/>
          </w:tcPr>
          <w:p>
            <w:pPr>
              <w:spacing w:before="60" w:after="60"/>
            </w:pPr>
            <w:r/>
            <w:r>
              <w:rPr>
                <w:rFonts w:ascii="Lato" w:hAnsi="Lato"/>
                <w:b w:val="0"/>
                <w:i w:val="0"/>
                <w:color w:val="374151"/>
                <w:sz w:val="20"/>
              </w:rPr>
              <w:t>+10%</w:t>
            </w:r>
          </w:p>
        </w:tc>
      </w:tr>
      <w:tr>
        <w:tc>
          <w:tcPr>
            <w:tcW w:type="dxa" w:w="1568"/>
          </w:tcPr>
          <w:p>
            <w:pPr>
              <w:spacing w:before="60" w:after="60"/>
            </w:pPr>
            <w:r/>
            <w:r>
              <w:rPr>
                <w:rFonts w:ascii="Lato" w:hAnsi="Lato"/>
                <w:b w:val="0"/>
                <w:i w:val="0"/>
                <w:color w:val="374151"/>
                <w:sz w:val="20"/>
              </w:rPr>
              <w:t>Assembly vs Manufacturing: The Value-Add Question</w:t>
            </w:r>
          </w:p>
        </w:tc>
        <w:tc>
          <w:tcPr>
            <w:tcW w:type="dxa" w:w="1568"/>
          </w:tcPr>
          <w:p>
            <w:pPr>
              <w:spacing w:before="60" w:after="60"/>
            </w:pPr>
            <w:r/>
            <w:r>
              <w:rPr>
                <w:rFonts w:ascii="Lato" w:hAnsi="Lato"/>
                <w:b w:val="0"/>
                <w:i w:val="0"/>
                <w:color w:val="374151"/>
                <w:sz w:val="20"/>
              </w:rPr>
              <w:t>379</w:t>
            </w:r>
          </w:p>
        </w:tc>
        <w:tc>
          <w:tcPr>
            <w:tcW w:type="dxa" w:w="1568"/>
          </w:tcPr>
          <w:p>
            <w:pPr>
              <w:spacing w:before="60" w:after="60"/>
            </w:pPr>
            <w:r/>
            <w:r>
              <w:rPr>
                <w:rFonts w:ascii="Lato" w:hAnsi="Lato"/>
                <w:b w:val="0"/>
                <w:i w:val="0"/>
                <w:color w:val="374151"/>
                <w:sz w:val="20"/>
              </w:rPr>
              <w:t>10.8%</w:t>
            </w:r>
          </w:p>
        </w:tc>
        <w:tc>
          <w:tcPr>
            <w:tcW w:type="dxa" w:w="1568"/>
          </w:tcPr>
          <w:p>
            <w:pPr>
              <w:spacing w:before="60" w:after="60"/>
            </w:pPr>
            <w:r/>
            <w:r>
              <w:rPr>
                <w:rFonts w:ascii="Lato" w:hAnsi="Lato"/>
                <w:b w:val="0"/>
                <w:i w:val="0"/>
                <w:color w:val="374151"/>
                <w:sz w:val="20"/>
              </w:rPr>
              <w:t>51% (Moderate)</w:t>
            </w:r>
          </w:p>
        </w:tc>
        <w:tc>
          <w:tcPr>
            <w:tcW w:type="dxa" w:w="1568"/>
          </w:tcPr>
          <w:p>
            <w:pPr>
              <w:spacing w:before="60" w:after="60"/>
            </w:pPr>
            <w:r/>
            <w:r>
              <w:rPr>
                <w:rFonts w:ascii="Lato" w:hAnsi="Lato"/>
                <w:b w:val="0"/>
                <w:i w:val="0"/>
                <w:color w:val="374151"/>
                <w:sz w:val="20"/>
              </w:rPr>
              <w:t>61% (Medium)</w:t>
            </w:r>
          </w:p>
        </w:tc>
        <w:tc>
          <w:tcPr>
            <w:tcW w:type="dxa" w:w="1568"/>
          </w:tcPr>
          <w:p>
            <w:pPr>
              <w:spacing w:before="60" w:after="60"/>
            </w:pPr>
            <w:r/>
            <w:r>
              <w:rPr>
                <w:rFonts w:ascii="Lato" w:hAnsi="Lato"/>
                <w:b w:val="0"/>
                <w:i w:val="0"/>
                <w:color w:val="374151"/>
                <w:sz w:val="20"/>
              </w:rPr>
              <w:t>+22%</w:t>
            </w:r>
          </w:p>
        </w:tc>
      </w:tr>
      <w:tr>
        <w:tc>
          <w:tcPr>
            <w:tcW w:type="dxa" w:w="1568"/>
          </w:tcPr>
          <w:p>
            <w:pPr>
              <w:spacing w:before="60" w:after="60"/>
            </w:pPr>
            <w:r/>
            <w:r>
              <w:rPr>
                <w:rFonts w:ascii="Lato" w:hAnsi="Lato"/>
                <w:b w:val="0"/>
                <w:i w:val="0"/>
                <w:color w:val="374151"/>
                <w:sz w:val="20"/>
              </w:rPr>
              <w:t>India vs China: Trade Deficit &amp; Competition</w:t>
            </w:r>
          </w:p>
        </w:tc>
        <w:tc>
          <w:tcPr>
            <w:tcW w:type="dxa" w:w="1568"/>
          </w:tcPr>
          <w:p>
            <w:pPr>
              <w:spacing w:before="60" w:after="60"/>
            </w:pPr>
            <w:r/>
            <w:r>
              <w:rPr>
                <w:rFonts w:ascii="Lato" w:hAnsi="Lato"/>
                <w:b w:val="0"/>
                <w:i w:val="0"/>
                <w:color w:val="374151"/>
                <w:sz w:val="20"/>
              </w:rPr>
              <w:t>313</w:t>
            </w:r>
          </w:p>
        </w:tc>
        <w:tc>
          <w:tcPr>
            <w:tcW w:type="dxa" w:w="1568"/>
          </w:tcPr>
          <w:p>
            <w:pPr>
              <w:spacing w:before="60" w:after="60"/>
            </w:pPr>
            <w:r/>
            <w:r>
              <w:rPr>
                <w:rFonts w:ascii="Lato" w:hAnsi="Lato"/>
                <w:b w:val="0"/>
                <w:i w:val="0"/>
                <w:color w:val="374151"/>
                <w:sz w:val="20"/>
              </w:rPr>
              <w:t>8.9%</w:t>
            </w:r>
          </w:p>
        </w:tc>
        <w:tc>
          <w:tcPr>
            <w:tcW w:type="dxa" w:w="1568"/>
          </w:tcPr>
          <w:p>
            <w:pPr>
              <w:spacing w:before="60" w:after="60"/>
            </w:pPr>
            <w:r/>
            <w:r>
              <w:rPr>
                <w:rFonts w:ascii="Lato" w:hAnsi="Lato"/>
                <w:b w:val="0"/>
                <w:i w:val="0"/>
                <w:color w:val="374151"/>
                <w:sz w:val="20"/>
              </w:rPr>
              <w:t>46% (Weak)</w:t>
            </w:r>
          </w:p>
        </w:tc>
        <w:tc>
          <w:tcPr>
            <w:tcW w:type="dxa" w:w="1568"/>
          </w:tcPr>
          <w:p>
            <w:pPr>
              <w:spacing w:before="60" w:after="60"/>
            </w:pPr>
            <w:r/>
            <w:r>
              <w:rPr>
                <w:rFonts w:ascii="Lato" w:hAnsi="Lato"/>
                <w:b w:val="0"/>
                <w:i w:val="0"/>
                <w:color w:val="374151"/>
                <w:sz w:val="20"/>
              </w:rPr>
              <w:t>58% (Medium)</w:t>
            </w:r>
          </w:p>
        </w:tc>
        <w:tc>
          <w:tcPr>
            <w:tcW w:type="dxa" w:w="1568"/>
          </w:tcPr>
          <w:p>
            <w:pPr>
              <w:spacing w:before="60" w:after="60"/>
            </w:pPr>
            <w:r/>
            <w:r>
              <w:rPr>
                <w:rFonts w:ascii="Lato" w:hAnsi="Lato"/>
                <w:b w:val="0"/>
                <w:i w:val="0"/>
                <w:color w:val="374151"/>
                <w:sz w:val="20"/>
              </w:rPr>
              <w:t>+12%</w:t>
            </w:r>
          </w:p>
        </w:tc>
      </w:tr>
      <w:tr>
        <w:tc>
          <w:tcPr>
            <w:tcW w:type="dxa" w:w="1568"/>
          </w:tcPr>
          <w:p>
            <w:pPr>
              <w:spacing w:before="60" w:after="60"/>
            </w:pPr>
            <w:r/>
            <w:r>
              <w:rPr>
                <w:rFonts w:ascii="Lato" w:hAnsi="Lato"/>
                <w:b w:val="0"/>
                <w:i w:val="0"/>
                <w:color w:val="374151"/>
                <w:sz w:val="20"/>
              </w:rPr>
              <w:t>Defence Manufacturing &amp; Strategic Self-Reliance</w:t>
            </w:r>
          </w:p>
        </w:tc>
        <w:tc>
          <w:tcPr>
            <w:tcW w:type="dxa" w:w="1568"/>
          </w:tcPr>
          <w:p>
            <w:pPr>
              <w:spacing w:before="60" w:after="60"/>
            </w:pPr>
            <w:r/>
            <w:r>
              <w:rPr>
                <w:rFonts w:ascii="Lato" w:hAnsi="Lato"/>
                <w:b w:val="0"/>
                <w:i w:val="0"/>
                <w:color w:val="374151"/>
                <w:sz w:val="20"/>
              </w:rPr>
              <w:t>250</w:t>
            </w:r>
          </w:p>
        </w:tc>
        <w:tc>
          <w:tcPr>
            <w:tcW w:type="dxa" w:w="1568"/>
          </w:tcPr>
          <w:p>
            <w:pPr>
              <w:spacing w:before="60" w:after="60"/>
            </w:pPr>
            <w:r/>
            <w:r>
              <w:rPr>
                <w:rFonts w:ascii="Lato" w:hAnsi="Lato"/>
                <w:b w:val="0"/>
                <w:i w:val="0"/>
                <w:color w:val="374151"/>
                <w:sz w:val="20"/>
              </w:rPr>
              <w:t>7.1%</w:t>
            </w:r>
          </w:p>
        </w:tc>
        <w:tc>
          <w:tcPr>
            <w:tcW w:type="dxa" w:w="1568"/>
          </w:tcPr>
          <w:p>
            <w:pPr>
              <w:spacing w:before="60" w:after="60"/>
            </w:pPr>
            <w:r/>
            <w:r>
              <w:rPr>
                <w:rFonts w:ascii="Lato" w:hAnsi="Lato"/>
                <w:b w:val="0"/>
                <w:i w:val="0"/>
                <w:color w:val="374151"/>
                <w:sz w:val="20"/>
              </w:rPr>
              <w:t>51% (Moderate)</w:t>
            </w:r>
          </w:p>
        </w:tc>
        <w:tc>
          <w:tcPr>
            <w:tcW w:type="dxa" w:w="1568"/>
          </w:tcPr>
          <w:p>
            <w:pPr>
              <w:spacing w:before="60" w:after="60"/>
            </w:pPr>
            <w:r/>
            <w:r>
              <w:rPr>
                <w:rFonts w:ascii="Lato" w:hAnsi="Lato"/>
                <w:b w:val="0"/>
                <w:i w:val="0"/>
                <w:color w:val="374151"/>
                <w:sz w:val="20"/>
              </w:rPr>
              <w:t>55% (Medium)</w:t>
            </w:r>
          </w:p>
        </w:tc>
        <w:tc>
          <w:tcPr>
            <w:tcW w:type="dxa" w:w="1568"/>
          </w:tcPr>
          <w:p>
            <w:pPr>
              <w:spacing w:before="60" w:after="60"/>
            </w:pPr>
            <w:r/>
            <w:r>
              <w:rPr>
                <w:rFonts w:ascii="Lato" w:hAnsi="Lato"/>
                <w:b w:val="0"/>
                <w:i w:val="0"/>
                <w:color w:val="374151"/>
                <w:sz w:val="20"/>
              </w:rPr>
              <w:t>+36%</w:t>
            </w:r>
          </w:p>
        </w:tc>
      </w:tr>
    </w:tbl>
    <w:p>
      <w:pPr>
        <w:jc w:val="center"/>
      </w:pPr>
      <w:r>
        <w:drawing>
          <wp:inline xmlns:a="http://schemas.openxmlformats.org/drawingml/2006/main" xmlns:pic="http://schemas.openxmlformats.org/drawingml/2006/picture">
            <wp:extent cx="5029200" cy="3759971"/>
            <wp:docPr id="6" name="Picture 6"/>
            <wp:cNvGraphicFramePr>
              <a:graphicFrameLocks noChangeAspect="1"/>
            </wp:cNvGraphicFramePr>
            <a:graphic>
              <a:graphicData uri="http://schemas.openxmlformats.org/drawingml/2006/picture">
                <pic:pic>
                  <pic:nvPicPr>
                    <pic:cNvPr id="0" name="chart_themes.png"/>
                    <pic:cNvPicPr/>
                  </pic:nvPicPr>
                  <pic:blipFill>
                    <a:blip r:embed="rId14"/>
                    <a:stretch>
                      <a:fillRect/>
                    </a:stretch>
                  </pic:blipFill>
                  <pic:spPr>
                    <a:xfrm>
                      <a:off x="0" y="0"/>
                      <a:ext cx="5029200" cy="3759971"/>
                    </a:xfrm>
                    <a:prstGeom prst="rect"/>
                  </pic:spPr>
                </pic:pic>
              </a:graphicData>
            </a:graphic>
          </wp:inline>
        </w:drawing>
      </w:r>
    </w:p>
    <w:p>
      <w:pPr>
        <w:spacing w:after="240"/>
        <w:jc w:val="center"/>
      </w:pPr>
      <w:r>
        <w:rPr>
          <w:rFonts w:ascii="Lato" w:hAnsi="Lato"/>
          <w:b w:val="0"/>
          <w:i/>
          <w:color w:val="6B7280"/>
          <w:sz w:val="18"/>
        </w:rPr>
        <w:t>Figure 5: Insight prevalence (% of total corpus)</w:t>
      </w:r>
    </w:p>
    <w:p>
      <w:r>
        <w:br w:type="page"/>
      </w:r>
    </w:p>
    <w:p>
      <w:pPr>
        <w:pStyle w:val="Heading1"/>
        <w:jc w:val="left"/>
      </w:pPr>
      <w:r>
        <w:rPr>
          <w:rFonts w:ascii="Lato" w:hAnsi="Lato"/>
          <w:b/>
          <w:color w:val="1E3A5F"/>
          <w:sz w:val="44"/>
        </w:rPr>
        <w:t>Insight Deep Dives</w:t>
      </w:r>
    </w:p>
    <w:p>
      <w:pPr>
        <w:spacing w:after="120" w:before="0"/>
      </w:pPr>
      <w:r>
        <w:rPr>
          <w:rFonts w:ascii="Lato" w:hAnsi="Lato"/>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Lato" w:hAnsi="Lato"/>
          <w:b/>
          <w:color w:val="1E3A5F"/>
          <w:sz w:val="32"/>
        </w:rPr>
        <w:t>01. Make in India: Success vs Failure Debate</w:t>
      </w:r>
    </w:p>
    <w:p>
      <w:pPr>
        <w:spacing w:after="160"/>
      </w:pPr>
      <w:r>
        <w:rPr>
          <w:rFonts w:ascii="Lato" w:hAnsi="Lato"/>
          <w:b w:val="0"/>
          <w:i w:val="0"/>
          <w:color w:val="6B7280"/>
          <w:sz w:val="18"/>
        </w:rPr>
        <w:t>n=1756</w:t>
      </w:r>
      <w:r>
        <w:rPr>
          <w:rFonts w:ascii="Lato" w:hAnsi="Lato"/>
          <w:b w:val="0"/>
          <w:i w:val="0"/>
          <w:color w:val="374151"/>
          <w:sz w:val="18"/>
        </w:rPr>
        <w:t xml:space="preserve">  |  Confidence: </w:t>
      </w:r>
      <w:r>
        <w:rPr>
          <w:rFonts w:ascii="Lato" w:hAnsi="Lato"/>
          <w:b/>
          <w:i w:val="0"/>
          <w:color w:val="D97706"/>
          <w:sz w:val="18"/>
        </w:rPr>
        <w:t>68% (Medium)</w:t>
      </w:r>
      <w:r>
        <w:rPr>
          <w:rFonts w:ascii="Lato" w:hAnsi="Lato"/>
          <w:b w:val="0"/>
          <w:i w:val="0"/>
          <w:color w:val="374151"/>
          <w:sz w:val="18"/>
        </w:rPr>
        <w:t xml:space="preserve">  |  Signal: </w:t>
      </w:r>
      <w:r>
        <w:rPr>
          <w:rFonts w:ascii="Lato" w:hAnsi="Lato"/>
          <w:b/>
          <w:i w:val="0"/>
          <w:color w:val="374151"/>
          <w:sz w:val="18"/>
        </w:rPr>
        <w:t>53% (Moderate)</w:t>
      </w:r>
      <w:r>
        <w:rPr>
          <w:rFonts w:ascii="Lato" w:hAnsi="Lato"/>
          <w:b w:val="0"/>
          <w:i w:val="0"/>
          <w:color w:val="6B7280"/>
          <w:sz w:val="18"/>
        </w:rPr>
        <w:t xml:space="preserve">  |  49.9% of Dataset</w:t>
      </w:r>
      <w:r>
        <w:rPr>
          <w:rFonts w:ascii="Lato" w:hAnsi="Lato"/>
          <w:b w:val="0"/>
          <w:i w:val="0"/>
          <w:color w:val="6B7280"/>
          <w:sz w:val="18"/>
        </w:rPr>
        <w:t xml:space="preserve">  |  NSS: </w:t>
      </w:r>
      <w:r>
        <w:rPr>
          <w:rFonts w:ascii="Lato" w:hAnsi="Lato"/>
          <w:b/>
          <w:i w:val="0"/>
          <w:color w:val="059669"/>
          <w:sz w:val="18"/>
        </w:rPr>
        <w:t>+33%</w:t>
      </w:r>
    </w:p>
    <w:p>
      <w:pPr>
        <w:jc w:val="center"/>
      </w:pPr>
      <w:r>
        <w:drawing>
          <wp:inline xmlns:a="http://schemas.openxmlformats.org/drawingml/2006/main" xmlns:pic="http://schemas.openxmlformats.org/drawingml/2006/picture">
            <wp:extent cx="3474720" cy="3547185"/>
            <wp:docPr id="7" name="Picture 7"/>
            <wp:cNvGraphicFramePr>
              <a:graphicFrameLocks noChangeAspect="1"/>
            </wp:cNvGraphicFramePr>
            <a:graphic>
              <a:graphicData uri="http://schemas.openxmlformats.org/drawingml/2006/picture">
                <pic:pic>
                  <pic:nvPicPr>
                    <pic:cNvPr id="0" name="chart_radar_INS_001.png"/>
                    <pic:cNvPicPr/>
                  </pic:nvPicPr>
                  <pic:blipFill>
                    <a:blip r:embed="rId1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Make in India: Success vs Failure Debate</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Make in India initiative is the most discussed theme in the corpus (1,756 items, 50% prevalence), with a moderately positive NSS of +0.33. Discourse is sharply polarized along political lines: BJP supporters cite FDI inflows ($667B since 2014), PLI scheme job creation (1.33M), and iPhone export records ($10B), while critics point to manufacturing's stagnant share of GDP (~14-17% vs 25% target), ballooning trade deficit with China ($100B+), and unmet employment promises. The debate is predominantly on Twitter (65% of theme items).</w:t>
      </w:r>
    </w:p>
    <w:p>
      <w:pPr>
        <w:pStyle w:val="Heading3"/>
        <w:jc w:val="left"/>
      </w:pPr>
      <w:r>
        <w:rPr>
          <w:rFonts w:ascii="Lato" w:hAnsi="Lato"/>
          <w:b/>
          <w:color w:val="1E3A5F"/>
          <w:sz w:val="26"/>
        </w:rPr>
        <w:t>What it Means</w:t>
      </w:r>
    </w:p>
    <w:p>
      <w:pPr>
        <w:spacing w:after="120" w:before="0"/>
      </w:pPr>
      <w:r>
        <w:rPr>
          <w:rFonts w:ascii="Lato" w:hAnsi="Lato"/>
          <w:b w:val="0"/>
          <w:i w:val="0"/>
          <w:sz w:val="22"/>
        </w:rPr>
        <w:t>Make in India has become a political identity marker more than a policy evaluation. Consumers do not assess the initiative on industrial metrics alone - they use it as a proxy for broader trust or distrust in governance. This means the narrative around Make in India is shaped more by political allegiance than by lived manufacturing experience, creating a significant gap between public discourse and ground-level industrial reality.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For any brand or organization seeking to align with 'Make in India' messaging, the initiative carries heavy political baggage. What was intended as a manufacturing policy brand has become a partisan flashpoint. Communications that uncritically celebrate or criticize 'Make in India' will be perceived as political statements, not business ones.</w:t>
      </w:r>
    </w:p>
    <w:p>
      <w:pPr>
        <w:pStyle w:val="Heading3"/>
        <w:jc w:val="left"/>
      </w:pPr>
      <w:r>
        <w:rPr>
          <w:rFonts w:ascii="Lato" w:hAnsi="Lato"/>
          <w:b/>
          <w:color w:val="1E3A5F"/>
          <w:sz w:val="26"/>
        </w:rPr>
        <w:t>Recommendation</w:t>
      </w:r>
    </w:p>
    <w:p>
      <w:pPr>
        <w:spacing w:after="120" w:before="0"/>
      </w:pPr>
      <w:r>
        <w:rPr>
          <w:rFonts w:ascii="Lato" w:hAnsi="Lato"/>
          <w:b w:val="0"/>
          <w:i w:val="0"/>
          <w:sz w:val="22"/>
        </w:rPr>
        <w:t>Reframe communications around specific manufacturing outcomes (jobs created, components localized, exports achieved) rather than invoking 'Make in India' as a slogan. Lead with verifiable metrics: '30,000 jobs at our Karnataka facility' resonates across political lines in ways that '#MakeInIndia success' does not.</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structured survey segmenting respondents by political affiliation and manufacturing proximity (factory workers, suppliers, local businesses) to separate policy perception from on-the-ground impact assessment.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"@JayantBhandari5 Some states have already fixed this. An iPhone factory in India now houses 100k workers. Nice stuff."</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"@grok @oxtail101 @AryamanBharat @lakshmishaks @narendramodi @AmitShah @AmitShahOffice We need to manufacture light goods on mass scale. The alphabet has to be learned from A, B, C ie we have to conquer consumer goods first. The mistake of Nehruvian economy was focusing on heavy industry. We can’t make the same mistake again. Today we have the capability to do"</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"@PCMohanMP @narendramodi Well said. Facts matter. Foxconn’s rapid expansion reflects policy stability, global confidence, and the long-term vision of PM Modi’s Make in India. Credit should go where it is genuinely earned, not claimed opportunistically."</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02. Indian Brand Ecosystem &amp; D2C/Startup Growth</w:t>
      </w:r>
    </w:p>
    <w:p>
      <w:pPr>
        <w:spacing w:after="160"/>
      </w:pPr>
      <w:r>
        <w:rPr>
          <w:rFonts w:ascii="Lato" w:hAnsi="Lato"/>
          <w:b w:val="0"/>
          <w:i w:val="0"/>
          <w:color w:val="6B7280"/>
          <w:sz w:val="18"/>
        </w:rPr>
        <w:t>n=1128</w:t>
      </w:r>
      <w:r>
        <w:rPr>
          <w:rFonts w:ascii="Lato" w:hAnsi="Lato"/>
          <w:b w:val="0"/>
          <w:i w:val="0"/>
          <w:color w:val="374151"/>
          <w:sz w:val="18"/>
        </w:rPr>
        <w:t xml:space="preserve">  |  Confidence: </w:t>
      </w:r>
      <w:r>
        <w:rPr>
          <w:rFonts w:ascii="Lato" w:hAnsi="Lato"/>
          <w:b/>
          <w:i w:val="0"/>
          <w:color w:val="D97706"/>
          <w:sz w:val="18"/>
        </w:rPr>
        <w:t>67% (Medium)</w:t>
      </w:r>
      <w:r>
        <w:rPr>
          <w:rFonts w:ascii="Lato" w:hAnsi="Lato"/>
          <w:b w:val="0"/>
          <w:i w:val="0"/>
          <w:color w:val="374151"/>
          <w:sz w:val="18"/>
        </w:rPr>
        <w:t xml:space="preserve">  |  Signal: </w:t>
      </w:r>
      <w:r>
        <w:rPr>
          <w:rFonts w:ascii="Lato" w:hAnsi="Lato"/>
          <w:b/>
          <w:i w:val="0"/>
          <w:color w:val="374151"/>
          <w:sz w:val="18"/>
        </w:rPr>
        <w:t>66% (Moderate)</w:t>
      </w:r>
      <w:r>
        <w:rPr>
          <w:rFonts w:ascii="Lato" w:hAnsi="Lato"/>
          <w:b w:val="0"/>
          <w:i w:val="0"/>
          <w:color w:val="6B7280"/>
          <w:sz w:val="18"/>
        </w:rPr>
        <w:t xml:space="preserve">  |  32.1% of Dataset</w:t>
      </w:r>
      <w:r>
        <w:rPr>
          <w:rFonts w:ascii="Lato" w:hAnsi="Lato"/>
          <w:b w:val="0"/>
          <w:i w:val="0"/>
          <w:color w:val="6B7280"/>
          <w:sz w:val="18"/>
        </w:rPr>
        <w:t xml:space="preserve">  |  NSS: </w:t>
      </w:r>
      <w:r>
        <w:rPr>
          <w:rFonts w:ascii="Lato" w:hAnsi="Lato"/>
          <w:b/>
          <w:i w:val="0"/>
          <w:color w:val="059669"/>
          <w:sz w:val="18"/>
        </w:rPr>
        <w:t>+33%</w:t>
      </w:r>
    </w:p>
    <w:p>
      <w:pPr>
        <w:jc w:val="center"/>
      </w:pPr>
      <w:r>
        <w:drawing>
          <wp:inline xmlns:a="http://schemas.openxmlformats.org/drawingml/2006/main" xmlns:pic="http://schemas.openxmlformats.org/drawingml/2006/picture">
            <wp:extent cx="3474720" cy="3547185"/>
            <wp:docPr id="8" name="Picture 8"/>
            <wp:cNvGraphicFramePr>
              <a:graphicFrameLocks noChangeAspect="1"/>
            </wp:cNvGraphicFramePr>
            <a:graphic>
              <a:graphicData uri="http://schemas.openxmlformats.org/drawingml/2006/picture">
                <pic:pic>
                  <pic:nvPicPr>
                    <pic:cNvPr id="0" name="chart_radar_INS_007.png"/>
                    <pic:cNvPicPr/>
                  </pic:nvPicPr>
                  <pic:blipFill>
                    <a:blip r:embed="rId1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Indian Brand Ecosystem &amp; D2C/Startup Growth</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Indian brand ecosystem (1,128 items, 29.7%) has a positive NSS of +0.33. Consumers are actively discovering and recommending Indian alternatives across categories: skincare (Minimalist, Plum, Kama Ayurveda), fashion (Bombay Shirt Company), auto (Ather, Ultraviolette), food (Darkins chocolate, A2 ghee brands), audio (boAt), and watchmaking (Indian microbrands). However, a strong counter-narrative exists: Indian brands are accused of being white-labeled Chinese products, using the same 10-15 contract manufacturers, and lacking genuine R&amp;D investment.</w:t>
      </w:r>
    </w:p>
    <w:p>
      <w:pPr>
        <w:pStyle w:val="Heading3"/>
        <w:jc w:val="left"/>
      </w:pPr>
      <w:r>
        <w:rPr>
          <w:rFonts w:ascii="Lato" w:hAnsi="Lato"/>
          <w:b/>
          <w:color w:val="1E3A5F"/>
          <w:sz w:val="26"/>
        </w:rPr>
        <w:t>What it Means</w:t>
      </w:r>
    </w:p>
    <w:p>
      <w:pPr>
        <w:spacing w:after="120" w:before="0"/>
      </w:pPr>
      <w:r>
        <w:rPr>
          <w:rFonts w:ascii="Lato" w:hAnsi="Lato"/>
          <w:b w:val="0"/>
          <w:i w:val="0"/>
          <w:sz w:val="22"/>
        </w:rPr>
        <w:t>India is experiencing a genuine D2C/homegrown brand renaissance, but it faces a credibility crisis. Consumers want to buy Indian, but they increasingly suspect that many 'Indian brands' are marketing wrappers around the same contract-manufactured, often Chinese-sourced products. The brands that break through this skepticism are those that demonstrate genuine differentiation: own manufacturing, visible supply chain, unique formulations, and export-quality credentials. The emerging heuristic is: 'If an Indian brand exports to developed markets, it must be good enough for us.'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Indian brand ecosystem is at an inflection point. First-mover D2C brands gained attention through marketing, but the next phase of brand building requires manufacturing credibility. Brands that can demonstrate genuine production capability (own factory, domestic raw materials, R&amp;D investment) will command premium positioning. Those that cannot will be caught in the white-label suspicion trap.</w:t>
      </w:r>
    </w:p>
    <w:p>
      <w:pPr>
        <w:pStyle w:val="Heading3"/>
        <w:jc w:val="left"/>
      </w:pPr>
      <w:r>
        <w:rPr>
          <w:rFonts w:ascii="Lato" w:hAnsi="Lato"/>
          <w:b/>
          <w:color w:val="1E3A5F"/>
          <w:sz w:val="26"/>
        </w:rPr>
        <w:t>Recommendation</w:t>
      </w:r>
    </w:p>
    <w:p>
      <w:pPr>
        <w:spacing w:after="120" w:before="0"/>
      </w:pPr>
      <w:r>
        <w:rPr>
          <w:rFonts w:ascii="Lato" w:hAnsi="Lato"/>
          <w:b w:val="0"/>
          <w:i w:val="0"/>
          <w:sz w:val="22"/>
        </w:rPr>
        <w:t>For Indian brands: invest in manufacturing transparency as a marketing asset. Factory tours, supply chain documentation, and 'made in [specific city]' provenance stories build trust. For investors: evaluate D2C brands on manufacturing depth, not just marketing spend. For policy: create a verified 'Indian Origin' certification that requires demonstrated domestic manufacturing, not just assembly or packaging.</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consumer willingness-to-pay premium for Indian brands with verified domestic manufacturing vs those suspected of contract/Chinese manufacturing. Track whether export credentials actually influence domestic purchase decisions.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"This is not a failure of Indian foreign policy. Rather, it reflects President Trump’s discomfort with India’s rapid growth over the years.</w:t>
        <w:br/>
        <w:t>If India were in a position like Pakistan-begging for financial aid-Trump would have continued to call us a close friend. However, when a friend becomes strong and starts negotiating on equal terms, Trump feels insecure and resorts to such unnecessary actions.</w:t>
        <w:br/>
        <w:t>Prime Minister Modi is doing a commendable job, and India is steadily growing stronger.</w:t>
        <w:br/>
        <w:t>Jai Hind. 🇮🇳"</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"Are you implying that Indian customers only buy heavily marketed cars/products? Is that an Indian customer's mentality? Rather than picking a value / quality product, we (indian customer) are going for flashy products which are heavily marketed / driven by design compared to a quality engineered product?"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"India's government set a $1 trillion target for total exports (goods + services) in FY26, per PIB. However, GTRI and Economic Times project it may fall short at ~$850B due to global slowdowns. Apr-Nov data shows exports at $292B vs imports $515B, with $72B deficit to China (potentially $106B by year-end per GTRI). Budget may include duty hikes for balance."</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03. Infrastructure &amp; Industrial Capacity Building</w:t>
      </w:r>
    </w:p>
    <w:p>
      <w:pPr>
        <w:spacing w:after="160"/>
      </w:pPr>
      <w:r>
        <w:rPr>
          <w:rFonts w:ascii="Lato" w:hAnsi="Lato"/>
          <w:b w:val="0"/>
          <w:i w:val="0"/>
          <w:color w:val="6B7280"/>
          <w:sz w:val="18"/>
        </w:rPr>
        <w:t>n=1017</w:t>
      </w:r>
      <w:r>
        <w:rPr>
          <w:rFonts w:ascii="Lato" w:hAnsi="Lato"/>
          <w:b w:val="0"/>
          <w:i w:val="0"/>
          <w:color w:val="374151"/>
          <w:sz w:val="18"/>
        </w:rPr>
        <w:t xml:space="preserve">  |  Confidence: </w:t>
      </w:r>
      <w:r>
        <w:rPr>
          <w:rFonts w:ascii="Lato" w:hAnsi="Lato"/>
          <w:b/>
          <w:i w:val="0"/>
          <w:color w:val="D97706"/>
          <w:sz w:val="18"/>
        </w:rPr>
        <w:t>67% (Medium)</w:t>
      </w:r>
      <w:r>
        <w:rPr>
          <w:rFonts w:ascii="Lato" w:hAnsi="Lato"/>
          <w:b w:val="0"/>
          <w:i w:val="0"/>
          <w:color w:val="374151"/>
          <w:sz w:val="18"/>
        </w:rPr>
        <w:t xml:space="preserve">  |  Signal: </w:t>
      </w:r>
      <w:r>
        <w:rPr>
          <w:rFonts w:ascii="Lato" w:hAnsi="Lato"/>
          <w:b/>
          <w:i w:val="0"/>
          <w:color w:val="374151"/>
          <w:sz w:val="18"/>
        </w:rPr>
        <w:t>65% (Moderate)</w:t>
      </w:r>
      <w:r>
        <w:rPr>
          <w:rFonts w:ascii="Lato" w:hAnsi="Lato"/>
          <w:b w:val="0"/>
          <w:i w:val="0"/>
          <w:color w:val="6B7280"/>
          <w:sz w:val="18"/>
        </w:rPr>
        <w:t xml:space="preserve">  |  28.9% of Dataset</w:t>
      </w:r>
      <w:r>
        <w:rPr>
          <w:rFonts w:ascii="Lato" w:hAnsi="Lato"/>
          <w:b w:val="0"/>
          <w:i w:val="0"/>
          <w:color w:val="6B7280"/>
          <w:sz w:val="18"/>
        </w:rPr>
        <w:t xml:space="preserve">  |  NSS: </w:t>
      </w:r>
      <w:r>
        <w:rPr>
          <w:rFonts w:ascii="Lato" w:hAnsi="Lato"/>
          <w:b/>
          <w:i w:val="0"/>
          <w:color w:val="059669"/>
          <w:sz w:val="18"/>
        </w:rPr>
        <w:t>+39%</w:t>
      </w:r>
    </w:p>
    <w:p>
      <w:pPr>
        <w:jc w:val="center"/>
      </w:pPr>
      <w:r>
        <w:drawing>
          <wp:inline xmlns:a="http://schemas.openxmlformats.org/drawingml/2006/main" xmlns:pic="http://schemas.openxmlformats.org/drawingml/2006/picture">
            <wp:extent cx="3474720" cy="3547185"/>
            <wp:docPr id="9" name="Picture 9"/>
            <wp:cNvGraphicFramePr>
              <a:graphicFrameLocks noChangeAspect="1"/>
            </wp:cNvGraphicFramePr>
            <a:graphic>
              <a:graphicData uri="http://schemas.openxmlformats.org/drawingml/2006/picture">
                <pic:pic>
                  <pic:nvPicPr>
                    <pic:cNvPr id="0" name="chart_radar_INS_011.png"/>
                    <pic:cNvPicPr/>
                  </pic:nvPicPr>
                  <pic:blipFill>
                    <a:blip r:embed="rId1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Infrastructure &amp; Industrial Capacity Building</w:t>
      </w:r>
    </w:p>
    <w:p>
      <w:pPr>
        <w:pStyle w:val="Heading3"/>
        <w:jc w:val="left"/>
      </w:pPr>
      <w:r>
        <w:rPr>
          <w:rFonts w:ascii="Lato" w:hAnsi="Lato"/>
          <w:b/>
          <w:color w:val="1E3A5F"/>
          <w:sz w:val="26"/>
        </w:rPr>
        <w:t>What the Data Shows</w:t>
      </w:r>
    </w:p>
    <w:p>
      <w:pPr>
        <w:spacing w:after="120" w:before="0"/>
      </w:pPr>
      <w:r>
        <w:rPr>
          <w:rFonts w:ascii="Lato" w:hAnsi="Lato"/>
          <w:b w:val="0"/>
          <w:i w:val="0"/>
          <w:sz w:val="22"/>
        </w:rPr>
        <w:t>Infrastructure and industrial capacity building (1,017 items, 26.8%) has a positive NSS of +0.39. Discussion covers expressways (Delhi-Mumbai Expressway reducing 2 days to 12 hours), airports (new international airports in tier-2 cities), railways (bullet train, Vande Bharat), ports (Sagarmala), industrial corridors, semiconductor fabs, and renewable energy installations. The Mumbai-Ahmedabad bullet train's budget escalation from INR 1.08 lakh crore to INR 2 lakh crore is the most cited negative data point.</w:t>
      </w:r>
    </w:p>
    <w:p>
      <w:pPr>
        <w:pStyle w:val="Heading3"/>
        <w:jc w:val="left"/>
      </w:pPr>
      <w:r>
        <w:rPr>
          <w:rFonts w:ascii="Lato" w:hAnsi="Lato"/>
          <w:b/>
          <w:color w:val="1E3A5F"/>
          <w:sz w:val="26"/>
        </w:rPr>
        <w:t>What it Means</w:t>
      </w:r>
    </w:p>
    <w:p>
      <w:pPr>
        <w:spacing w:after="120" w:before="0"/>
      </w:pPr>
      <w:r>
        <w:rPr>
          <w:rFonts w:ascii="Lato" w:hAnsi="Lato"/>
          <w:b w:val="0"/>
          <w:i w:val="0"/>
          <w:sz w:val="22"/>
        </w:rPr>
        <w:t>Infrastructure is perceived as the most tangible and politically-neutral evidence of national progress. Unlike manufacturing output statistics that are contested, a new expressway or airport is physically visible and experientially verifiable. This makes infrastructure the strongest foundation for Make in India credibility - consumers can see and use it. However, the infrastructure narrative is vulnerable to cost-overrun and delay stories (bullet train being the prime example), which shift the frame from 'India is building' to 'India is wasting money.'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Infrastructure development creates a physical foundation for manufacturing confidence. When consumers can see new expressways, industrial parks, and factory clusters, they are more likely to believe that India is genuinely industrializing. This suggests that infrastructure visibility (not just investment) is a critical input to manufacturing narrative credibility.</w:t>
      </w:r>
    </w:p>
    <w:p>
      <w:pPr>
        <w:pStyle w:val="Heading3"/>
        <w:jc w:val="left"/>
      </w:pPr>
      <w:r>
        <w:rPr>
          <w:rFonts w:ascii="Lato" w:hAnsi="Lato"/>
          <w:b/>
          <w:color w:val="1E3A5F"/>
          <w:sz w:val="26"/>
        </w:rPr>
        <w:t>Recommendation</w:t>
      </w:r>
    </w:p>
    <w:p>
      <w:pPr>
        <w:spacing w:after="120" w:before="0"/>
      </w:pPr>
      <w:r>
        <w:rPr>
          <w:rFonts w:ascii="Lato" w:hAnsi="Lato"/>
          <w:b w:val="0"/>
          <w:i w:val="0"/>
          <w:sz w:val="22"/>
        </w:rPr>
        <w:t>Connect infrastructure milestones to manufacturing outcomes in communications: 'The Delhi-Mumbai Expressway reduces logistics costs for manufacturers by X%, enabling Y factories to export competitively.' Every infrastructure launch should include a manufacturing impact story. Proactively address cost-overrun narratives with value-delivered metrics.</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consumers in regions with new infrastructure (expressway, industrial corridor) vs control regions on their perception of manufacturing opportunity and Make in India credibility. Measure whether infrastructure proximity correlates with manufacturing sentiment.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"The Mumbai-Ahmedabad bullet train project's budget has significantly increased, from an initial ₹1.08 lakh crore (around $15-17 billion USD in 2017) to a revised estimate of nearly ₹2 lakh crore (approx. $24 billion USD) due to delays and rising costs, with Japan funding most of the loan but India covering overruns, according to early 2026 reports."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"india has no quality or infrastructure to even compete with China, not even in the same weight class."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"We cannot overlook the fact that the current govt came into power through violence..and foreign support...It fears the supporters of the previous democratic govt...My feel is,  the people are divided...what we see today is the vocal "minority" who grabbed power...and some opportunity seekers...If the mayhem continues...and the army doesn't  takeover the admin, ...the extremist minority may strengthen its  grip on power...and  India may have another "enemy" at its border...."</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04. Manufacturing GDP &amp; Economic Fundamentals</w:t>
      </w:r>
    </w:p>
    <w:p>
      <w:pPr>
        <w:spacing w:after="160"/>
      </w:pPr>
      <w:r>
        <w:rPr>
          <w:rFonts w:ascii="Lato" w:hAnsi="Lato"/>
          <w:b w:val="0"/>
          <w:i w:val="0"/>
          <w:color w:val="6B7280"/>
          <w:sz w:val="18"/>
        </w:rPr>
        <w:t>n=738</w:t>
      </w:r>
      <w:r>
        <w:rPr>
          <w:rFonts w:ascii="Lato" w:hAnsi="Lato"/>
          <w:b w:val="0"/>
          <w:i w:val="0"/>
          <w:color w:val="374151"/>
          <w:sz w:val="18"/>
        </w:rPr>
        <w:t xml:space="preserve">  |  Confidence: </w:t>
      </w:r>
      <w:r>
        <w:rPr>
          <w:rFonts w:ascii="Lato" w:hAnsi="Lato"/>
          <w:b/>
          <w:i w:val="0"/>
          <w:color w:val="D97706"/>
          <w:sz w:val="18"/>
        </w:rPr>
        <w:t>65% (Medium)</w:t>
      </w:r>
      <w:r>
        <w:rPr>
          <w:rFonts w:ascii="Lato" w:hAnsi="Lato"/>
          <w:b w:val="0"/>
          <w:i w:val="0"/>
          <w:color w:val="374151"/>
          <w:sz w:val="18"/>
        </w:rPr>
        <w:t xml:space="preserve">  |  Signal: </w:t>
      </w:r>
      <w:r>
        <w:rPr>
          <w:rFonts w:ascii="Lato" w:hAnsi="Lato"/>
          <w:b/>
          <w:i w:val="0"/>
          <w:color w:val="374151"/>
          <w:sz w:val="18"/>
        </w:rPr>
        <w:t>62% (Moderate)</w:t>
      </w:r>
      <w:r>
        <w:rPr>
          <w:rFonts w:ascii="Lato" w:hAnsi="Lato"/>
          <w:b w:val="0"/>
          <w:i w:val="0"/>
          <w:color w:val="6B7280"/>
          <w:sz w:val="18"/>
        </w:rPr>
        <w:t xml:space="preserve">  |  21.0% of Dataset</w:t>
      </w:r>
      <w:r>
        <w:rPr>
          <w:rFonts w:ascii="Lato" w:hAnsi="Lato"/>
          <w:b w:val="0"/>
          <w:i w:val="0"/>
          <w:color w:val="6B7280"/>
          <w:sz w:val="18"/>
        </w:rPr>
        <w:t xml:space="preserve">  |  NSS: </w:t>
      </w:r>
      <w:r>
        <w:rPr>
          <w:rFonts w:ascii="Lato" w:hAnsi="Lato"/>
          <w:b/>
          <w:i w:val="0"/>
          <w:color w:val="059669"/>
          <w:sz w:val="18"/>
        </w:rPr>
        <w:t>+41%</w:t>
      </w:r>
    </w:p>
    <w:p>
      <w:pPr>
        <w:jc w:val="center"/>
      </w:pPr>
      <w:r>
        <w:drawing>
          <wp:inline xmlns:a="http://schemas.openxmlformats.org/drawingml/2006/main" xmlns:pic="http://schemas.openxmlformats.org/drawingml/2006/picture">
            <wp:extent cx="3474720" cy="3547185"/>
            <wp:docPr id="10" name="Picture 10"/>
            <wp:cNvGraphicFramePr>
              <a:graphicFrameLocks noChangeAspect="1"/>
            </wp:cNvGraphicFramePr>
            <a:graphic>
              <a:graphicData uri="http://schemas.openxmlformats.org/drawingml/2006/picture">
                <pic:pic>
                  <pic:nvPicPr>
                    <pic:cNvPr id="0" name="chart_radar_INS_008.png"/>
                    <pic:cNvPicPr/>
                  </pic:nvPicPr>
                  <pic:blipFill>
                    <a:blip r:embed="rId1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Manufacturing GDP &amp; Economic Fundamentals</w:t>
      </w:r>
    </w:p>
    <w:p>
      <w:pPr>
        <w:pStyle w:val="Heading3"/>
        <w:jc w:val="left"/>
      </w:pPr>
      <w:r>
        <w:rPr>
          <w:rFonts w:ascii="Lato" w:hAnsi="Lato"/>
          <w:b/>
          <w:color w:val="1E3A5F"/>
          <w:sz w:val="26"/>
        </w:rPr>
        <w:t>What the Data Shows</w:t>
      </w:r>
    </w:p>
    <w:p>
      <w:pPr>
        <w:spacing w:after="120" w:before="0"/>
      </w:pPr>
      <w:r>
        <w:rPr>
          <w:rFonts w:ascii="Lato" w:hAnsi="Lato"/>
          <w:b w:val="0"/>
          <w:i w:val="0"/>
          <w:sz w:val="22"/>
        </w:rPr>
        <w:t>Manufacturing GDP and economic fundamentals (738 items, 19.4%) carry a positive NSS of +0.41. The central tension is between India's headline GDP growth (4th largest economy, 6-7% growth rate, record FDI) and manufacturing's persistent underperformance (stuck at 14-17% of GDP vs 25% target). Consumers cite specific reforms (GST rationalization, FDI liberalization, income tax overhaul) as evidence of serious intent, but also note that these reforms have not yet translated into manufacturing share growth.</w:t>
      </w:r>
    </w:p>
    <w:p>
      <w:pPr>
        <w:pStyle w:val="Heading3"/>
        <w:jc w:val="left"/>
      </w:pPr>
      <w:r>
        <w:rPr>
          <w:rFonts w:ascii="Lato" w:hAnsi="Lato"/>
          <w:b/>
          <w:color w:val="1E3A5F"/>
          <w:sz w:val="26"/>
        </w:rPr>
        <w:t>What it Means</w:t>
      </w:r>
    </w:p>
    <w:p>
      <w:pPr>
        <w:spacing w:after="120" w:before="0"/>
      </w:pPr>
      <w:r>
        <w:rPr>
          <w:rFonts w:ascii="Lato" w:hAnsi="Lato"/>
          <w:b w:val="0"/>
          <w:i w:val="0"/>
          <w:sz w:val="22"/>
        </w:rPr>
        <w:t>There is a growing disconnect between India's macro-economic narrative (GDP rank, growth rate) and its manufacturing reality (stagnant GDP share, persistent import dependence). Consumers are becoming literate in the distinction: 'India is growing, but not as a manufacturing economy.' The most informed consumer discourse recognizes that India's growth is services-led and consumption-driven, not manufacturing-led, which fundamentally challenges the Make in India premise.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'India is the 4th largest economy' narrative, while true, may actually work against Make in India if consumers interpret it as 'we grew without manufacturing, so why does manufacturing matter?' This creates a communication challenge: how to celebrate economic success while arguing that the model needs to change.</w:t>
      </w:r>
    </w:p>
    <w:p>
      <w:pPr>
        <w:pStyle w:val="Heading3"/>
        <w:jc w:val="left"/>
      </w:pPr>
      <w:r>
        <w:rPr>
          <w:rFonts w:ascii="Lato" w:hAnsi="Lato"/>
          <w:b/>
          <w:color w:val="1E3A5F"/>
          <w:sz w:val="26"/>
        </w:rPr>
        <w:t>Recommendation</w:t>
      </w:r>
    </w:p>
    <w:p>
      <w:pPr>
        <w:spacing w:after="120" w:before="0"/>
      </w:pPr>
      <w:r>
        <w:rPr>
          <w:rFonts w:ascii="Lato" w:hAnsi="Lato"/>
          <w:b w:val="0"/>
          <w:i w:val="0"/>
          <w:sz w:val="22"/>
        </w:rPr>
        <w:t>Shift from aggregate economic metrics to manufacturing-specific metrics in public communications. Instead of GDP rank, publicize manufacturing GVA growth, industrial output indices, and manufacturing employment numbers. Create a public-facing 'Manufacturing Dashboard' that tracks the 25% GDP target with quarterly updates.</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structured survey testing whether consumers who are aware of the GDP-manufacturing disconnect hold different views on Make in India than those who are not. This would quantify the impact of economic literacy on policy perception.</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"@JayantBhandari5 India received $70B+ FDI in manufacturing (2023-24) - firms don’t invest at scale in “uneconomical” countries.Also manufacturing unit costs are 20-30% lower than China for electronics, auto &amp;amp; chemicals. Again barking things on C without facts"</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"India's government set a $1 trillion target for total exports (goods + services) in FY26, per PIB. However, GTRI and Economic Times project it may fall short at ~$850B due to global slowdowns. Apr-Nov data shows exports at $292B vs imports $515B, with $72B deficit to China (potentially $106B by year-end per GTRI). Budget may include duty hikes for balance."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"@PiyushGoyal PIYUSH GOYAL : OUR GDP GROTH IS GOOD. OUR GDP IS 4th HIGHEST IN WORLD. GERMAN'S IS 3rd HIGHEST. PM MODI SAYS OUR GDP WILL BE 3rd HIGHEST IN WORLD IN SHORT TIME. BUT PM MODI REVEALS POPULATION OF GERMAN &amp;amp; INDIA WITH GDP?"</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05. Employment &amp; Workforce Development</w:t>
      </w:r>
    </w:p>
    <w:p>
      <w:pPr>
        <w:spacing w:after="160"/>
      </w:pPr>
      <w:r>
        <w:rPr>
          <w:rFonts w:ascii="Lato" w:hAnsi="Lato"/>
          <w:b w:val="0"/>
          <w:i w:val="0"/>
          <w:color w:val="6B7280"/>
          <w:sz w:val="18"/>
        </w:rPr>
        <w:t>n=509</w:t>
      </w:r>
      <w:r>
        <w:rPr>
          <w:rFonts w:ascii="Lato" w:hAnsi="Lato"/>
          <w:b w:val="0"/>
          <w:i w:val="0"/>
          <w:color w:val="374151"/>
          <w:sz w:val="18"/>
        </w:rPr>
        <w:t xml:space="preserve">  |  Confidence: </w:t>
      </w:r>
      <w:r>
        <w:rPr>
          <w:rFonts w:ascii="Lato" w:hAnsi="Lato"/>
          <w:b/>
          <w:i w:val="0"/>
          <w:color w:val="D97706"/>
          <w:sz w:val="18"/>
        </w:rPr>
        <w:t>62% (Medium)</w:t>
      </w:r>
      <w:r>
        <w:rPr>
          <w:rFonts w:ascii="Lato" w:hAnsi="Lato"/>
          <w:b w:val="0"/>
          <w:i w:val="0"/>
          <w:color w:val="374151"/>
          <w:sz w:val="18"/>
        </w:rPr>
        <w:t xml:space="preserve">  |  Signal: </w:t>
      </w:r>
      <w:r>
        <w:rPr>
          <w:rFonts w:ascii="Lato" w:hAnsi="Lato"/>
          <w:b/>
          <w:i w:val="0"/>
          <w:color w:val="374151"/>
          <w:sz w:val="18"/>
        </w:rPr>
        <w:t>58% (Moderate)</w:t>
      </w:r>
      <w:r>
        <w:rPr>
          <w:rFonts w:ascii="Lato" w:hAnsi="Lato"/>
          <w:b w:val="0"/>
          <w:i w:val="0"/>
          <w:color w:val="6B7280"/>
          <w:sz w:val="18"/>
        </w:rPr>
        <w:t xml:space="preserve">  |  14.5% of Dataset</w:t>
      </w:r>
      <w:r>
        <w:rPr>
          <w:rFonts w:ascii="Lato" w:hAnsi="Lato"/>
          <w:b w:val="0"/>
          <w:i w:val="0"/>
          <w:color w:val="6B7280"/>
          <w:sz w:val="18"/>
        </w:rPr>
        <w:t xml:space="preserve">  |  NSS: </w:t>
      </w:r>
      <w:r>
        <w:rPr>
          <w:rFonts w:ascii="Lato" w:hAnsi="Lato"/>
          <w:b/>
          <w:i w:val="0"/>
          <w:color w:val="059669"/>
          <w:sz w:val="18"/>
        </w:rPr>
        <w:t>+28%</w:t>
      </w:r>
    </w:p>
    <w:p>
      <w:pPr>
        <w:jc w:val="center"/>
      </w:pPr>
      <w:r>
        <w:drawing>
          <wp:inline xmlns:a="http://schemas.openxmlformats.org/drawingml/2006/main" xmlns:pic="http://schemas.openxmlformats.org/drawingml/2006/picture">
            <wp:extent cx="3474720" cy="3547185"/>
            <wp:docPr id="11" name="Picture 11"/>
            <wp:cNvGraphicFramePr>
              <a:graphicFrameLocks noChangeAspect="1"/>
            </wp:cNvGraphicFramePr>
            <a:graphic>
              <a:graphicData uri="http://schemas.openxmlformats.org/drawingml/2006/picture">
                <pic:pic>
                  <pic:nvPicPr>
                    <pic:cNvPr id="0" name="chart_radar_INS_012.png"/>
                    <pic:cNvPicPr/>
                  </pic:nvPicPr>
                  <pic:blipFill>
                    <a:blip r:embed="rId1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Employment &amp; Workforce Development</w:t>
      </w:r>
    </w:p>
    <w:p>
      <w:pPr>
        <w:pStyle w:val="Heading3"/>
        <w:jc w:val="left"/>
      </w:pPr>
      <w:r>
        <w:rPr>
          <w:rFonts w:ascii="Lato" w:hAnsi="Lato"/>
          <w:b/>
          <w:color w:val="1E3A5F"/>
          <w:sz w:val="26"/>
        </w:rPr>
        <w:t>What the Data Shows</w:t>
      </w:r>
    </w:p>
    <w:p>
      <w:pPr>
        <w:spacing w:after="120" w:before="0"/>
      </w:pPr>
      <w:r>
        <w:rPr>
          <w:rFonts w:ascii="Lato" w:hAnsi="Lato"/>
          <w:b w:val="0"/>
          <w:i w:val="0"/>
          <w:sz w:val="22"/>
        </w:rPr>
        <w:t>Employment and workforce development (509 items, 13.4%) has a moderate NSS of +0.28. The PLI-driven employment story (1.33M jobs, 4 lakh direct factory jobs, women comprising a large share of Foxconn workforce) is the most cited positive. Against this, consumers raise persistent concerns: '2 crore jobs per year' promise unfulfilled, youth unemployment at record highs, brain drain of talent to the US/Gulf, and the quality of factory jobs (wage levels, working conditions). The women-in-manufacturing narrative (especially at Foxconn/Apple plants) is notably positive and bipartisan.</w:t>
      </w:r>
    </w:p>
    <w:p>
      <w:pPr>
        <w:pStyle w:val="Heading3"/>
        <w:jc w:val="left"/>
      </w:pPr>
      <w:r>
        <w:rPr>
          <w:rFonts w:ascii="Lato" w:hAnsi="Lato"/>
          <w:b/>
          <w:color w:val="1E3A5F"/>
          <w:sz w:val="26"/>
        </w:rPr>
        <w:t>What it Means</w:t>
      </w:r>
    </w:p>
    <w:p>
      <w:pPr>
        <w:spacing w:after="120" w:before="0"/>
      </w:pPr>
      <w:r>
        <w:rPr>
          <w:rFonts w:ascii="Lato" w:hAnsi="Lato"/>
          <w:b w:val="0"/>
          <w:i w:val="0"/>
          <w:sz w:val="22"/>
        </w:rPr>
        <w:t>Employment is the ultimate accountability metric for Make in India in consumers' minds - 'if it doesn't create jobs, it doesn't matter.' The 1.33M PLI jobs figure is powerful but is repeatedly challenged by the unfulfilled 2 crore annual promise and by youth unemployment statistics. However, the women-in-manufacturing narrative has emerged as a uniquely uncontested success story - even critics of Make in India acknowledge the social value of women gaining factory employment. This is the single talking point that crosses political lines.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jobs narrative is Make in India's most vulnerable flank because it is the most personally relevant to consumers and the most easily falsified by lived experience. A consumer who cannot find a manufacturing job, or whose children cannot, will not be persuaded by macro statistics. However, the women-in-manufacturing story provides a genuinely novel and emotionally compelling sub-narrative that is currently under-leveraged.</w:t>
      </w:r>
    </w:p>
    <w:p>
      <w:pPr>
        <w:pStyle w:val="Heading3"/>
        <w:jc w:val="left"/>
      </w:pPr>
      <w:r>
        <w:rPr>
          <w:rFonts w:ascii="Lato" w:hAnsi="Lato"/>
          <w:b/>
          <w:color w:val="1E3A5F"/>
          <w:sz w:val="26"/>
        </w:rPr>
        <w:t>Recommendation</w:t>
      </w:r>
    </w:p>
    <w:p>
      <w:pPr>
        <w:spacing w:after="120" w:before="0"/>
      </w:pPr>
      <w:r>
        <w:rPr>
          <w:rFonts w:ascii="Lato" w:hAnsi="Lato"/>
          <w:b w:val="0"/>
          <w:i w:val="0"/>
          <w:sz w:val="22"/>
        </w:rPr>
        <w:t>Elevate the women-in-manufacturing narrative as a centrepiece of Make in India communications - it is the one story that earns bipartisan respect. Publish granular employment data by district, demographic, and wage level rather than aggregate national figures. Partner with vocational training institutions to create visible pathways from training to manufacturing employment, giving 'jobs' a tangible, accessible meaning.</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panel study tracking employment outcomes of manufacturing training program graduates over 24 months. Survey perception of Make in India among employed-in-manufacturing vs job-seeking demographics to quantify the lived-experience gap.</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"This is not a failure of Indian foreign policy. Rather, it reflects President Trump’s discomfort with India’s rapid growth over the years.</w:t>
        <w:br/>
        <w:t>If India were in a position like Pakistan-begging for financial aid-Trump would have continued to call us a close friend. However, when a friend becomes strong and starts negotiating on equal terms, Trump feels insecure and resorts to such unnecessary actions.</w:t>
        <w:br/>
        <w:t>Prime Minister Modi is doing a commendable job, and India is steadily growing stronger.</w:t>
        <w:br/>
        <w:t>Jai Hind. 🇮🇳"</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"@JayantBhandari5 Some states have already fixed this. An iPhone factory in India now houses 100k workers. Nice stuff."</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"@DEEP2287 @MumbaichaDon @RahulGandhi @nsitharaman @BJP4India @narendramodi @DEEP2287 Shiv Sena acknowledges the concerns regarding unemployment and economic challenges faced by the people. #MeriMumbaiMeraVote #MumbaiNextGenShinde"</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06. US Tariff War &amp; Trade Policy</w:t>
      </w:r>
    </w:p>
    <w:p>
      <w:pPr>
        <w:spacing w:after="160"/>
      </w:pPr>
      <w:r>
        <w:rPr>
          <w:rFonts w:ascii="Lato" w:hAnsi="Lato"/>
          <w:b w:val="0"/>
          <w:i w:val="0"/>
          <w:color w:val="6B7280"/>
          <w:sz w:val="18"/>
        </w:rPr>
        <w:t>n=562</w:t>
      </w:r>
      <w:r>
        <w:rPr>
          <w:rFonts w:ascii="Lato" w:hAnsi="Lato"/>
          <w:b w:val="0"/>
          <w:i w:val="0"/>
          <w:color w:val="374151"/>
          <w:sz w:val="18"/>
        </w:rPr>
        <w:t xml:space="preserve">  |  Confidence: </w:t>
      </w:r>
      <w:r>
        <w:rPr>
          <w:rFonts w:ascii="Lato" w:hAnsi="Lato"/>
          <w:b/>
          <w:i w:val="0"/>
          <w:color w:val="D97706"/>
          <w:sz w:val="18"/>
        </w:rPr>
        <w:t>62% (Medium)</w:t>
      </w:r>
      <w:r>
        <w:rPr>
          <w:rFonts w:ascii="Lato" w:hAnsi="Lato"/>
          <w:b w:val="0"/>
          <w:i w:val="0"/>
          <w:color w:val="374151"/>
          <w:sz w:val="18"/>
        </w:rPr>
        <w:t xml:space="preserve">  |  Signal: </w:t>
      </w:r>
      <w:r>
        <w:rPr>
          <w:rFonts w:ascii="Lato" w:hAnsi="Lato"/>
          <w:b/>
          <w:i w:val="0"/>
          <w:color w:val="374151"/>
          <w:sz w:val="18"/>
        </w:rPr>
        <w:t>52% (Moderate)</w:t>
      </w:r>
      <w:r>
        <w:rPr>
          <w:rFonts w:ascii="Lato" w:hAnsi="Lato"/>
          <w:b w:val="0"/>
          <w:i w:val="0"/>
          <w:color w:val="6B7280"/>
          <w:sz w:val="18"/>
        </w:rPr>
        <w:t xml:space="preserve">  |  16.0% of Dataset</w:t>
      </w:r>
      <w:r>
        <w:rPr>
          <w:rFonts w:ascii="Lato" w:hAnsi="Lato"/>
          <w:b w:val="0"/>
          <w:i w:val="0"/>
          <w:color w:val="6B7280"/>
          <w:sz w:val="18"/>
        </w:rPr>
        <w:t xml:space="preserve">  |  NSS: </w:t>
      </w:r>
      <w:r>
        <w:rPr>
          <w:rFonts w:ascii="Lato" w:hAnsi="Lato"/>
          <w:b/>
          <w:i w:val="0"/>
          <w:color w:val="059669"/>
          <w:sz w:val="18"/>
        </w:rPr>
        <w:t>+23%</w:t>
      </w:r>
    </w:p>
    <w:p>
      <w:pPr>
        <w:jc w:val="center"/>
      </w:pPr>
      <w:r>
        <w:drawing>
          <wp:inline xmlns:a="http://schemas.openxmlformats.org/drawingml/2006/main" xmlns:pic="http://schemas.openxmlformats.org/drawingml/2006/picture">
            <wp:extent cx="3474720" cy="3547185"/>
            <wp:docPr id="12" name="Picture 12"/>
            <wp:cNvGraphicFramePr>
              <a:graphicFrameLocks noChangeAspect="1"/>
            </wp:cNvGraphicFramePr>
            <a:graphic>
              <a:graphicData uri="http://schemas.openxmlformats.org/drawingml/2006/picture">
                <pic:pic>
                  <pic:nvPicPr>
                    <pic:cNvPr id="0" name="chart_radar_INS_009.png"/>
                    <pic:cNvPicPr/>
                  </pic:nvPicPr>
                  <pic:blipFill>
                    <a:blip r:embed="rId2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US Tariff War &amp; Trade Policy</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US tariff war and trade policy theme (562 items, 14.8%) has a positive NSS of +0.23. Trump's threatened 50% tariff on Indian goods triggered three distinct consumer responses: (1) nationalist anger leading to boycott calls against American brands (McDonald's, Coca-Cola, Apple, Amazon), (2) pragmatic concern about economic impact on Indian exports and jobs, and (3) opportunistic framing of tariffs as a catalyst for genuine domestic manufacturing. Notably, the boycott sentiment appears organic and widespread, with consumers generating specific alternative lists (Dabur vs Colgate, Indian EVs vs Tesla).</w:t>
      </w:r>
    </w:p>
    <w:p>
      <w:pPr>
        <w:pStyle w:val="Heading3"/>
        <w:jc w:val="left"/>
      </w:pPr>
      <w:r>
        <w:rPr>
          <w:rFonts w:ascii="Lato" w:hAnsi="Lato"/>
          <w:b/>
          <w:color w:val="1E3A5F"/>
          <w:sz w:val="26"/>
        </w:rPr>
        <w:t>What it Means</w:t>
      </w:r>
    </w:p>
    <w:p>
      <w:pPr>
        <w:spacing w:after="120" w:before="0"/>
      </w:pPr>
      <w:r>
        <w:rPr>
          <w:rFonts w:ascii="Lato" w:hAnsi="Lato"/>
          <w:b w:val="0"/>
          <w:i w:val="0"/>
          <w:sz w:val="22"/>
        </w:rPr>
        <w:t>US tariff pressure is paradoxically strengthening the Make in India narrative among consumers. Rather than creating anxiety about export losses, tariffs are activating a nationalist consumer response that redirects purchasing toward Indian brands. The tariff war is achieving what years of 'Vocal for Local' campaigns struggled to: giving consumers a concrete, emotionally compelling reason to switch from foreign to Indian brands. The threat from outside is doing more for domestic brand preference than internal persuasion.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Geopolitical friction is a more powerful driver of consumer nationalism than policy campaigns. Every tariff escalation or diplomatic insult creates a window of heightened willingness to 'buy Indian.' However, this sentiment is reactive and may fade when tensions ease. Brands that capture consumers during these moments and retain them through product quality will gain lasting market share.</w:t>
      </w:r>
    </w:p>
    <w:p>
      <w:pPr>
        <w:pStyle w:val="Heading3"/>
        <w:jc w:val="left"/>
      </w:pPr>
      <w:r>
        <w:rPr>
          <w:rFonts w:ascii="Lato" w:hAnsi="Lato"/>
          <w:b/>
          <w:color w:val="1E3A5F"/>
          <w:sz w:val="26"/>
        </w:rPr>
        <w:t>Recommendation</w:t>
      </w:r>
    </w:p>
    <w:p>
      <w:pPr>
        <w:spacing w:after="120" w:before="0"/>
      </w:pPr>
      <w:r>
        <w:rPr>
          <w:rFonts w:ascii="Lato" w:hAnsi="Lato"/>
          <w:b w:val="0"/>
          <w:i w:val="0"/>
          <w:sz w:val="22"/>
        </w:rPr>
        <w:t>Monitor geopolitical triggers (tariff announcements, diplomatic incidents) as marketing activation moments for Indian brands. Have 'Buy Indian' campaign assets ready to deploy within 48 hours of a trigger event. Use the emotional window to acquire customers, then retain them through product quality and value, not nationalism alone.</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actual purchase behavior changes (not just stated intent) during tariff escalation periods vs baseline. Measure customer retention rates for Indian brands acquired during nationalist sentiment spikes.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"This is not a failure of Indian foreign policy. Rather, it reflects President Trump’s discomfort with India’s rapid growth over the years.</w:t>
        <w:br/>
        <w:t>If India were in a position like Pakistan-begging for financial aid-Trump would have continued to call us a close friend. However, when a friend becomes strong and starts negotiating on equal terms, Trump feels insecure and resorts to such unnecessary actions.</w:t>
        <w:br/>
        <w:t>Prime Minister Modi is doing a commendable job, and India is steadily growing stronger.</w:t>
        <w:br/>
        <w:t>Jai Hind. 🇮🇳"</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"Are you implying that Indian customers only buy heavily marketed cars/products? Is that an Indian customer's mentality? Rather than picking a value / quality product, we (indian customer) are going for flashy products which are heavily marketed / driven by design compared to a quality engineered product?"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"Why you idiotic journalists fromIndia talk about 200% tariffs on imports from USA to India?"</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07. PLI Scheme &amp; Electronics Manufacturing</w:t>
      </w:r>
    </w:p>
    <w:p>
      <w:pPr>
        <w:spacing w:after="160"/>
      </w:pPr>
      <w:r>
        <w:rPr>
          <w:rFonts w:ascii="Lato" w:hAnsi="Lato"/>
          <w:b w:val="0"/>
          <w:i w:val="0"/>
          <w:color w:val="6B7280"/>
          <w:sz w:val="18"/>
        </w:rPr>
        <w:t>n=439</w:t>
      </w:r>
      <w:r>
        <w:rPr>
          <w:rFonts w:ascii="Lato" w:hAnsi="Lato"/>
          <w:b w:val="0"/>
          <w:i w:val="0"/>
          <w:color w:val="374151"/>
          <w:sz w:val="18"/>
        </w:rPr>
        <w:t xml:space="preserve">  |  Confidence: </w:t>
      </w:r>
      <w:r>
        <w:rPr>
          <w:rFonts w:ascii="Lato" w:hAnsi="Lato"/>
          <w:b/>
          <w:i w:val="0"/>
          <w:color w:val="D97706"/>
          <w:sz w:val="18"/>
        </w:rPr>
        <w:t>61% (Medium)</w:t>
      </w:r>
      <w:r>
        <w:rPr>
          <w:rFonts w:ascii="Lato" w:hAnsi="Lato"/>
          <w:b w:val="0"/>
          <w:i w:val="0"/>
          <w:color w:val="374151"/>
          <w:sz w:val="18"/>
        </w:rPr>
        <w:t xml:space="preserve">  |  Signal: </w:t>
      </w:r>
      <w:r>
        <w:rPr>
          <w:rFonts w:ascii="Lato" w:hAnsi="Lato"/>
          <w:b/>
          <w:i w:val="0"/>
          <w:color w:val="374151"/>
          <w:sz w:val="18"/>
        </w:rPr>
        <w:t>48% (Weak)</w:t>
      </w:r>
      <w:r>
        <w:rPr>
          <w:rFonts w:ascii="Lato" w:hAnsi="Lato"/>
          <w:b w:val="0"/>
          <w:i w:val="0"/>
          <w:color w:val="6B7280"/>
          <w:sz w:val="18"/>
        </w:rPr>
        <w:t xml:space="preserve">  |  12.5% of Dataset</w:t>
      </w:r>
      <w:r>
        <w:rPr>
          <w:rFonts w:ascii="Lato" w:hAnsi="Lato"/>
          <w:b w:val="0"/>
          <w:i w:val="0"/>
          <w:color w:val="6B7280"/>
          <w:sz w:val="18"/>
        </w:rPr>
        <w:t xml:space="preserve">  |  NSS: </w:t>
      </w:r>
      <w:r>
        <w:rPr>
          <w:rFonts w:ascii="Lato" w:hAnsi="Lato"/>
          <w:b/>
          <w:i w:val="0"/>
          <w:color w:val="059669"/>
          <w:sz w:val="18"/>
        </w:rPr>
        <w:t>+41%</w:t>
      </w:r>
    </w:p>
    <w:p>
      <w:pPr>
        <w:jc w:val="center"/>
      </w:pPr>
      <w:r>
        <w:drawing>
          <wp:inline xmlns:a="http://schemas.openxmlformats.org/drawingml/2006/main" xmlns:pic="http://schemas.openxmlformats.org/drawingml/2006/picture">
            <wp:extent cx="3474720" cy="3547185"/>
            <wp:docPr id="13" name="Picture 13"/>
            <wp:cNvGraphicFramePr>
              <a:graphicFrameLocks noChangeAspect="1"/>
            </wp:cNvGraphicFramePr>
            <a:graphic>
              <a:graphicData uri="http://schemas.openxmlformats.org/drawingml/2006/picture">
                <pic:pic>
                  <pic:nvPicPr>
                    <pic:cNvPr id="0" name="chart_radar_INS_002.png"/>
                    <pic:cNvPicPr/>
                  </pic:nvPicPr>
                  <pic:blipFill>
                    <a:blip r:embed="rId21"/>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PLI Scheme &amp; Electronics Manufacturing</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PLI Scheme and electronics manufacturing theme (439 items, 11.6%) has the second-highest positive NSS at +0.41. The Foxconn-Apple iPhone story dominates - consumers frequently cite the 150x growth in mobile manufacturing units (from 2 in 2014 to 300+ in 2025), $10B in iPhone exports, and 1.33M jobs created. However, critics argue this is assembly, not true manufacturing, with India still importing the bulk of components (displays, chips, batteries) from China.</w:t>
      </w:r>
    </w:p>
    <w:p>
      <w:pPr>
        <w:pStyle w:val="Heading3"/>
        <w:jc w:val="left"/>
      </w:pPr>
      <w:r>
        <w:rPr>
          <w:rFonts w:ascii="Lato" w:hAnsi="Lato"/>
          <w:b/>
          <w:color w:val="1E3A5F"/>
          <w:sz w:val="26"/>
        </w:rPr>
        <w:t>What it Means</w:t>
      </w:r>
    </w:p>
    <w:p>
      <w:pPr>
        <w:spacing w:after="120" w:before="0"/>
      </w:pPr>
      <w:r>
        <w:rPr>
          <w:rFonts w:ascii="Lato" w:hAnsi="Lato"/>
          <w:b w:val="0"/>
          <w:i w:val="0"/>
          <w:sz w:val="22"/>
        </w:rPr>
        <w:t>The PLI scheme's electronics success story is the single strongest proof-point for India's manufacturing ambitions, but consumers are increasingly distinguishing between assembly and manufacturing. The iPhone narrative works as a headline but sophisticated consumers (especially on Reddit and in longer Twitter threads) understand that final assembly is only ~15% of value addition. The story is shifting from 'India makes iPhones' to 'India assembles iPhones - when will it make the chips inside them?'</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PLI story has reached peak narrative effectiveness in its current form. Continuing to tout assembly numbers without showing progression toward component-level self-reliance will trigger consumer skepticism and diminishing returns on the narrative.</w:t>
      </w:r>
    </w:p>
    <w:p>
      <w:pPr>
        <w:pStyle w:val="Heading3"/>
        <w:jc w:val="left"/>
      </w:pPr>
      <w:r>
        <w:rPr>
          <w:rFonts w:ascii="Lato" w:hAnsi="Lato"/>
          <w:b/>
          <w:color w:val="1E3A5F"/>
          <w:sz w:val="26"/>
        </w:rPr>
        <w:t>Recommendation</w:t>
      </w:r>
    </w:p>
    <w:p>
      <w:pPr>
        <w:spacing w:after="120" w:before="0"/>
      </w:pPr>
      <w:r>
        <w:rPr>
          <w:rFonts w:ascii="Lato" w:hAnsi="Lato"/>
          <w:b w:val="0"/>
          <w:i w:val="0"/>
          <w:sz w:val="22"/>
        </w:rPr>
        <w:t>Shift the PLI narrative from volume metrics (units produced, jobs created) to value-chain depth metrics (% of components sourced domestically, number of Tier-2 suppliers developed, R&amp;D centers established). Highlight the semiconductor fab investments and OSAT facilities as the next chapter of the story.</w:t>
      </w:r>
    </w:p>
    <w:p>
      <w:pPr>
        <w:pStyle w:val="Heading3"/>
        <w:jc w:val="left"/>
      </w:pPr>
      <w:r>
        <w:rPr>
          <w:rFonts w:ascii="Lato" w:hAnsi="Lato"/>
          <w:b/>
          <w:color w:val="1E3A5F"/>
          <w:sz w:val="26"/>
        </w:rPr>
        <w:t>Further Validation</w:t>
      </w:r>
    </w:p>
    <w:p>
      <w:pPr>
        <w:spacing w:after="120" w:before="0"/>
      </w:pPr>
      <w:r>
        <w:rPr>
          <w:rFonts w:ascii="Lato" w:hAnsi="Lato"/>
          <w:b w:val="0"/>
          <w:i w:val="0"/>
          <w:sz w:val="22"/>
        </w:rPr>
        <w:t>Commission a value-chain analysis tracking actual domestic content percentage in PLI-beneficiary products over time, and compare consumer awareness of assembly vs manufacturing distinction across demographics.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"Let's run a campaign and request apple to shutdown their production and sell mobiles in india"</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"@JayantBhandari5 India received $70B+ FDI in manufacturing (2023-24) - firms don’t invest at scale in “uneconomical” countries.Also manufacturing unit costs are 20-30% lower than China for electronics, auto &amp;amp; chemicals. Again barking things on C without facts"</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"@JayantBhandari5 Some states have already fixed this. An iPhone factory in India now houses 100k workers. Nice stuff."</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08. Assembly vs Manufacturing: The Value-Add Question</w:t>
      </w:r>
    </w:p>
    <w:p>
      <w:pPr>
        <w:spacing w:after="160"/>
      </w:pPr>
      <w:r>
        <w:rPr>
          <w:rFonts w:ascii="Lato" w:hAnsi="Lato"/>
          <w:b w:val="0"/>
          <w:i w:val="0"/>
          <w:color w:val="6B7280"/>
          <w:sz w:val="18"/>
        </w:rPr>
        <w:t>n=379</w:t>
      </w:r>
      <w:r>
        <w:rPr>
          <w:rFonts w:ascii="Lato" w:hAnsi="Lato"/>
          <w:b w:val="0"/>
          <w:i w:val="0"/>
          <w:color w:val="374151"/>
          <w:sz w:val="18"/>
        </w:rPr>
        <w:t xml:space="preserve">  |  Confidence: </w:t>
      </w:r>
      <w:r>
        <w:rPr>
          <w:rFonts w:ascii="Lato" w:hAnsi="Lato"/>
          <w:b/>
          <w:i w:val="0"/>
          <w:color w:val="D97706"/>
          <w:sz w:val="18"/>
        </w:rPr>
        <w:t>61% (Medium)</w:t>
      </w:r>
      <w:r>
        <w:rPr>
          <w:rFonts w:ascii="Lato" w:hAnsi="Lato"/>
          <w:b w:val="0"/>
          <w:i w:val="0"/>
          <w:color w:val="374151"/>
          <w:sz w:val="18"/>
        </w:rPr>
        <w:t xml:space="preserve">  |  Signal: </w:t>
      </w:r>
      <w:r>
        <w:rPr>
          <w:rFonts w:ascii="Lato" w:hAnsi="Lato"/>
          <w:b/>
          <w:i w:val="0"/>
          <w:color w:val="374151"/>
          <w:sz w:val="18"/>
        </w:rPr>
        <w:t>51% (Moderate)</w:t>
      </w:r>
      <w:r>
        <w:rPr>
          <w:rFonts w:ascii="Lato" w:hAnsi="Lato"/>
          <w:b w:val="0"/>
          <w:i w:val="0"/>
          <w:color w:val="6B7280"/>
          <w:sz w:val="18"/>
        </w:rPr>
        <w:t xml:space="preserve">  |  10.8% of Dataset</w:t>
      </w:r>
      <w:r>
        <w:rPr>
          <w:rFonts w:ascii="Lato" w:hAnsi="Lato"/>
          <w:b w:val="0"/>
          <w:i w:val="0"/>
          <w:color w:val="6B7280"/>
          <w:sz w:val="18"/>
        </w:rPr>
        <w:t xml:space="preserve">  |  NSS: </w:t>
      </w:r>
      <w:r>
        <w:rPr>
          <w:rFonts w:ascii="Lato" w:hAnsi="Lato"/>
          <w:b/>
          <w:i w:val="0"/>
          <w:color w:val="059669"/>
          <w:sz w:val="18"/>
        </w:rPr>
        <w:t>+22%</w:t>
      </w:r>
    </w:p>
    <w:p>
      <w:pPr>
        <w:jc w:val="center"/>
      </w:pPr>
      <w:r>
        <w:drawing>
          <wp:inline xmlns:a="http://schemas.openxmlformats.org/drawingml/2006/main" xmlns:pic="http://schemas.openxmlformats.org/drawingml/2006/picture">
            <wp:extent cx="3474720" cy="3547185"/>
            <wp:docPr id="14" name="Picture 14"/>
            <wp:cNvGraphicFramePr>
              <a:graphicFrameLocks noChangeAspect="1"/>
            </wp:cNvGraphicFramePr>
            <a:graphic>
              <a:graphicData uri="http://schemas.openxmlformats.org/drawingml/2006/picture">
                <pic:pic>
                  <pic:nvPicPr>
                    <pic:cNvPr id="0" name="chart_radar_INS_010.png"/>
                    <pic:cNvPicPr/>
                  </pic:nvPicPr>
                  <pic:blipFill>
                    <a:blip r:embed="rId22"/>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Assembly vs Manufacturing: The Value-Add Question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assembly vs manufacturing debate (379 items, 10.0%) has a moderate NSS of +0.22. The 'screwdriver technology' critique is persistent and specific: consumers distinguish between final assembly (putting imported components together) and genuine manufacturing (designing and producing components domestically). The iPhone is the emblematic case - 'assembled in India' using Chinese displays, chips, and batteries. Critics frame this as value capture of only 10-15%, while proponents argue it is the necessary first step on a value-chain escalator.</w:t>
      </w:r>
    </w:p>
    <w:p>
      <w:pPr>
        <w:pStyle w:val="Heading3"/>
        <w:jc w:val="left"/>
      </w:pPr>
      <w:r>
        <w:rPr>
          <w:rFonts w:ascii="Lato" w:hAnsi="Lato"/>
          <w:b/>
          <w:color w:val="1E3A5F"/>
          <w:sz w:val="26"/>
        </w:rPr>
        <w:t>What it Means</w:t>
      </w:r>
    </w:p>
    <w:p>
      <w:pPr>
        <w:spacing w:after="120" w:before="0"/>
      </w:pPr>
      <w:r>
        <w:rPr>
          <w:rFonts w:ascii="Lato" w:hAnsi="Lato"/>
          <w:b w:val="0"/>
          <w:i w:val="0"/>
          <w:sz w:val="22"/>
        </w:rPr>
        <w:t>The assembly-vs-manufacturing distinction has become the single most effective counter-argument against Make in India claims. It is used by opposition politicians, media critics, and economically-literate consumers to deflate any manufacturing success story. Importantly, even consumers who support Make in India are increasingly aware of this distinction, creating cognitive dissonance: they want to believe India manufactures, but they know it mostly assembles. The 'value-chain escalator' argument (assembly today leads to components tomorrow) is present but less emotionally compelling than the immediate critique.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Every manufacturing milestone that cannot withstand the 'but is it really manufactured or just assembled?' test will face immediate narrative deflation. This creates a communications arms race where the definition of success keeps moving upward. Yesterday's win (assembly plant) is today's criticism (just assembly, not manufacturing).</w:t>
      </w:r>
    </w:p>
    <w:p>
      <w:pPr>
        <w:pStyle w:val="Heading3"/>
        <w:jc w:val="left"/>
      </w:pPr>
      <w:r>
        <w:rPr>
          <w:rFonts w:ascii="Lato" w:hAnsi="Lato"/>
          <w:b/>
          <w:color w:val="1E3A5F"/>
          <w:sz w:val="26"/>
        </w:rPr>
        <w:t>Recommendation</w:t>
      </w:r>
    </w:p>
    <w:p>
      <w:pPr>
        <w:spacing w:after="120" w:before="0"/>
      </w:pPr>
      <w:r>
        <w:rPr>
          <w:rFonts w:ascii="Lato" w:hAnsi="Lato"/>
          <w:b w:val="0"/>
          <w:i w:val="0"/>
          <w:sz w:val="22"/>
        </w:rPr>
        <w:t>Get ahead of the assembly critique by proactively publishing domestic content percentages and improvement trajectories. Instead of defending assembly as a stepping stone, show concrete milestones: 'Last year 15% domestic content, this year 25%, target 50% by 2028.' Make the value-chain escalator visible and measurable rather than theoretical.</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domestic content percentages in key PLI-beneficiary product categories over time. Survey consumers on whether they distinguish between assembly and manufacturing, and whether trajectory data (improving domestic content %) changes their perception.</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"Are you implying that Indian customers only buy heavily marketed cars/products? Is that an Indian customer's mentality? Rather than picking a value / quality product, we (indian customer) are going for flashy products which are heavily marketed / driven by design compared to a quality engineered product?"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"The same as india is strong partner and friend of Taiwan and they never wan china Taiwan imarges with war we have a problem at what base you claim over Taiwan and yet if yes for you then why not india bid for his own part has pak"</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"@WhitePillzONLY Our trade deficit with China and ASEAN is extremely large. Most goods exported to us from ASEAN countries are actually Chinese products; they are merely relabeled or undergo minor assembly. This practice will destroy our domestic market. We must impose tariffs on China and ASEAN."</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09. Vocal for Local &amp; Swadeshi Movement</w:t>
      </w:r>
    </w:p>
    <w:p>
      <w:pPr>
        <w:spacing w:after="160"/>
      </w:pPr>
      <w:r>
        <w:rPr>
          <w:rFonts w:ascii="Lato" w:hAnsi="Lato"/>
          <w:b w:val="0"/>
          <w:i w:val="0"/>
          <w:color w:val="6B7280"/>
          <w:sz w:val="18"/>
        </w:rPr>
        <w:t>n=657</w:t>
      </w:r>
      <w:r>
        <w:rPr>
          <w:rFonts w:ascii="Lato" w:hAnsi="Lato"/>
          <w:b w:val="0"/>
          <w:i w:val="0"/>
          <w:color w:val="374151"/>
          <w:sz w:val="18"/>
        </w:rPr>
        <w:t xml:space="preserve">  |  Confidence: </w:t>
      </w:r>
      <w:r>
        <w:rPr>
          <w:rFonts w:ascii="Lato" w:hAnsi="Lato"/>
          <w:b/>
          <w:i w:val="0"/>
          <w:color w:val="D97706"/>
          <w:sz w:val="18"/>
        </w:rPr>
        <w:t>60% (Medium)</w:t>
      </w:r>
      <w:r>
        <w:rPr>
          <w:rFonts w:ascii="Lato" w:hAnsi="Lato"/>
          <w:b w:val="0"/>
          <w:i w:val="0"/>
          <w:color w:val="374151"/>
          <w:sz w:val="18"/>
        </w:rPr>
        <w:t xml:space="preserve">  |  Signal: </w:t>
      </w:r>
      <w:r>
        <w:rPr>
          <w:rFonts w:ascii="Lato" w:hAnsi="Lato"/>
          <w:b/>
          <w:i w:val="0"/>
          <w:color w:val="374151"/>
          <w:sz w:val="18"/>
        </w:rPr>
        <w:t>46% (Weak)</w:t>
      </w:r>
      <w:r>
        <w:rPr>
          <w:rFonts w:ascii="Lato" w:hAnsi="Lato"/>
          <w:b w:val="0"/>
          <w:i w:val="0"/>
          <w:color w:val="6B7280"/>
          <w:sz w:val="18"/>
        </w:rPr>
        <w:t xml:space="preserve">  |  18.7% of Dataset</w:t>
      </w:r>
      <w:r>
        <w:rPr>
          <w:rFonts w:ascii="Lato" w:hAnsi="Lato"/>
          <w:b w:val="0"/>
          <w:i w:val="0"/>
          <w:color w:val="6B7280"/>
          <w:sz w:val="18"/>
        </w:rPr>
        <w:t xml:space="preserve">  |  NSS: </w:t>
      </w:r>
      <w:r>
        <w:rPr>
          <w:rFonts w:ascii="Lato" w:hAnsi="Lato"/>
          <w:b/>
          <w:i w:val="0"/>
          <w:color w:val="059669"/>
          <w:sz w:val="18"/>
        </w:rPr>
        <w:t>+57%</w:t>
      </w:r>
    </w:p>
    <w:p>
      <w:pPr>
        <w:jc w:val="center"/>
      </w:pPr>
      <w:r>
        <w:drawing>
          <wp:inline xmlns:a="http://schemas.openxmlformats.org/drawingml/2006/main" xmlns:pic="http://schemas.openxmlformats.org/drawingml/2006/picture">
            <wp:extent cx="3474720" cy="3547185"/>
            <wp:docPr id="15" name="Picture 15"/>
            <wp:cNvGraphicFramePr>
              <a:graphicFrameLocks noChangeAspect="1"/>
            </wp:cNvGraphicFramePr>
            <a:graphic>
              <a:graphicData uri="http://schemas.openxmlformats.org/drawingml/2006/picture">
                <pic:pic>
                  <pic:nvPicPr>
                    <pic:cNvPr id="0" name="chart_radar_INS_003.png"/>
                    <pic:cNvPicPr/>
                  </pic:nvPicPr>
                  <pic:blipFill>
                    <a:blip r:embed="rId23"/>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Vocal for Local &amp; Swadeshi Movement</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Vocal for Local / Swadeshi movement theme (657 items, 17.3%) has the highest positive NSS of any theme at +0.57. Content includes PM Modi's direct appeals to buy Indian, consumer pledges during Diwali/festive seasons, brand-led campaigns (Dabur positioning against Colgate on nationalist grounds), and anti-American/anti-Chinese boycott calls tied to tariff wars and geopolitical tensions (Operation Sindoor, US tariffs). The movement spans Hindi and English content, with significant Hindi-language participation.</w:t>
      </w:r>
    </w:p>
    <w:p>
      <w:pPr>
        <w:pStyle w:val="Heading3"/>
        <w:jc w:val="left"/>
      </w:pPr>
      <w:r>
        <w:rPr>
          <w:rFonts w:ascii="Lato" w:hAnsi="Lato"/>
          <w:b/>
          <w:color w:val="1E3A5F"/>
          <w:sz w:val="26"/>
        </w:rPr>
        <w:t>What it Means</w:t>
      </w:r>
    </w:p>
    <w:p>
      <w:pPr>
        <w:spacing w:after="120" w:before="0"/>
      </w:pPr>
      <w:r>
        <w:rPr>
          <w:rFonts w:ascii="Lato" w:hAnsi="Lato"/>
          <w:b w:val="0"/>
          <w:i w:val="0"/>
          <w:sz w:val="22"/>
        </w:rPr>
        <w:t>Swadeshi sentiment has evolved from a top-down government campaign into a genuinely consumer-driven movement that activates during three triggers: festive seasons (Diwali = buy Indian), geopolitical friction (US tariffs = boycott American, Pakistan tensions = boycott Chinese), and brand authenticity scandals (discovering global brands sell inferior versions in India). The movement is no longer dependent on government promotion - it has its own consumer momentum, particularly among Hindi-speaking urban consumers.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There is a large, engaged consumer segment willing to pay attention to and act on 'Buy Indian' messaging, but their motivation is emotional (national pride, geopolitical anger) rather than rational (product comparison). This creates both opportunity (strong brand loyalty once earned) and risk (the same consumers will punish perceived inauthenticity - brands that claim 'Indian' but are actually assembled from Chinese components).</w:t>
      </w:r>
    </w:p>
    <w:p>
      <w:pPr>
        <w:pStyle w:val="Heading3"/>
        <w:jc w:val="left"/>
      </w:pPr>
      <w:r>
        <w:rPr>
          <w:rFonts w:ascii="Lato" w:hAnsi="Lato"/>
          <w:b/>
          <w:color w:val="1E3A5F"/>
          <w:sz w:val="26"/>
        </w:rPr>
        <w:t>Recommendation</w:t>
      </w:r>
    </w:p>
    <w:p>
      <w:pPr>
        <w:spacing w:after="120" w:before="0"/>
      </w:pPr>
      <w:r>
        <w:rPr>
          <w:rFonts w:ascii="Lato" w:hAnsi="Lato"/>
          <w:b w:val="0"/>
          <w:i w:val="0"/>
          <w:sz w:val="22"/>
        </w:rPr>
        <w:t>For Indian brands: lean into origin transparency - show the factory, name the city, feature the workers. For global brands operating in India: demonstrate genuine local value creation (local R&amp;D, domestic sourcing) rather than just local assembly. Festive-season and geopolitical-trigger marketing campaigns can leverage Swadeshi sentiment, but must be backed by verifiable Indian content.</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purchase conversion rates during Swadeshi sentiment spikes (festive seasons, geopolitical events) vs baseline periods. Measure whether stated intent to 'buy Indian' translates into actual purchase behavior change.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"Are you implying that Indian customers only buy heavily marketed cars/products? Is that an Indian customer's mentality? Rather than picking a value / quality product, we (indian customer) are going for flashy products which are heavily marketed / driven by design compared to a quality engineered product?"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 xml:space="preserve">"Bro if you follow </w:t>
        <w:br/>
        <w:t xml:space="preserve">Use Swadeshi </w:t>
        <w:br/>
        <w:t xml:space="preserve">Means stop making reals </w:t>
        <w:br/>
        <w:t>Because youtube is foreign"</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"@FI_InvestIndia Buying Indian Products are ok and agreed, that amounts to buying local. But most of the local Kirana stores are inefficient in pricing by design ( due to the retail margins, distributor, Super stockist, C&amp;amp;F etc etc ) , and we cannot blame a common man if they hunt for bargains"</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10. Product Quality &amp; Consumer Trust</w:t>
      </w:r>
    </w:p>
    <w:p>
      <w:pPr>
        <w:spacing w:after="160"/>
      </w:pPr>
      <w:r>
        <w:rPr>
          <w:rFonts w:ascii="Lato" w:hAnsi="Lato"/>
          <w:b w:val="0"/>
          <w:i w:val="0"/>
          <w:color w:val="6B7280"/>
          <w:sz w:val="18"/>
        </w:rPr>
        <w:t>n=416</w:t>
      </w:r>
      <w:r>
        <w:rPr>
          <w:rFonts w:ascii="Lato" w:hAnsi="Lato"/>
          <w:b w:val="0"/>
          <w:i w:val="0"/>
          <w:color w:val="374151"/>
          <w:sz w:val="18"/>
        </w:rPr>
        <w:t xml:space="preserve">  |  Confidence: </w:t>
      </w:r>
      <w:r>
        <w:rPr>
          <w:rFonts w:ascii="Lato" w:hAnsi="Lato"/>
          <w:b/>
          <w:i w:val="0"/>
          <w:color w:val="D97706"/>
          <w:sz w:val="18"/>
        </w:rPr>
        <w:t>60% (Medium)</w:t>
      </w:r>
      <w:r>
        <w:rPr>
          <w:rFonts w:ascii="Lato" w:hAnsi="Lato"/>
          <w:b w:val="0"/>
          <w:i w:val="0"/>
          <w:color w:val="374151"/>
          <w:sz w:val="18"/>
        </w:rPr>
        <w:t xml:space="preserve">  |  Signal: </w:t>
      </w:r>
      <w:r>
        <w:rPr>
          <w:rFonts w:ascii="Lato" w:hAnsi="Lato"/>
          <w:b/>
          <w:i w:val="0"/>
          <w:color w:val="374151"/>
          <w:sz w:val="18"/>
        </w:rPr>
        <w:t>60% (Moderate)</w:t>
      </w:r>
      <w:r>
        <w:rPr>
          <w:rFonts w:ascii="Lato" w:hAnsi="Lato"/>
          <w:b w:val="0"/>
          <w:i w:val="0"/>
          <w:color w:val="6B7280"/>
          <w:sz w:val="18"/>
        </w:rPr>
        <w:t xml:space="preserve">  |  11.8% of Dataset</w:t>
      </w:r>
      <w:r>
        <w:rPr>
          <w:rFonts w:ascii="Lato" w:hAnsi="Lato"/>
          <w:b w:val="0"/>
          <w:i w:val="0"/>
          <w:color w:val="6B7280"/>
          <w:sz w:val="18"/>
        </w:rPr>
        <w:t xml:space="preserve">  |  NSS: </w:t>
      </w:r>
      <w:r>
        <w:rPr>
          <w:rFonts w:ascii="Lato" w:hAnsi="Lato"/>
          <w:b/>
          <w:i w:val="0"/>
          <w:color w:val="059669"/>
          <w:sz w:val="18"/>
        </w:rPr>
        <w:t>+10%</w:t>
      </w:r>
    </w:p>
    <w:p>
      <w:pPr>
        <w:jc w:val="center"/>
      </w:pPr>
      <w:r>
        <w:drawing>
          <wp:inline xmlns:a="http://schemas.openxmlformats.org/drawingml/2006/main" xmlns:pic="http://schemas.openxmlformats.org/drawingml/2006/picture">
            <wp:extent cx="3474720" cy="3547185"/>
            <wp:docPr id="16" name="Picture 16"/>
            <wp:cNvGraphicFramePr>
              <a:graphicFrameLocks noChangeAspect="1"/>
            </wp:cNvGraphicFramePr>
            <a:graphic>
              <a:graphicData uri="http://schemas.openxmlformats.org/drawingml/2006/picture">
                <pic:pic>
                  <pic:nvPicPr>
                    <pic:cNvPr id="0" name="chart_radar_INS_005.png"/>
                    <pic:cNvPicPr/>
                  </pic:nvPicPr>
                  <pic:blipFill>
                    <a:blip r:embed="rId24"/>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Product Quality &amp; Consumer Trust</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product quality and consumer trust theme (416 items, 11.0%) has an NSS of only +0.10, nearly balanced between positive and negative. Consumers frequently cite specific examples of global brands selling inferior versions in India: Levi's with lower-quality materials, Nutella with more palm oil, Cerelac with added sugar absent in European versions. Beyond MNC quality gaps, consumers express deep distrust of 'Made in India' labeling itself - items relabeled from Chinese origins, white-labeled products, and the 'screwdriver technology' critique.</w:t>
      </w:r>
    </w:p>
    <w:p>
      <w:pPr>
        <w:pStyle w:val="Heading3"/>
        <w:jc w:val="left"/>
      </w:pPr>
      <w:r>
        <w:rPr>
          <w:rFonts w:ascii="Lato" w:hAnsi="Lato"/>
          <w:b/>
          <w:color w:val="1E3A5F"/>
          <w:sz w:val="26"/>
        </w:rPr>
        <w:t>What it Means</w:t>
      </w:r>
    </w:p>
    <w:p>
      <w:pPr>
        <w:spacing w:after="120" w:before="0"/>
      </w:pPr>
      <w:r>
        <w:rPr>
          <w:rFonts w:ascii="Lato" w:hAnsi="Lato"/>
          <w:b w:val="0"/>
          <w:i w:val="0"/>
          <w:sz w:val="22"/>
        </w:rPr>
        <w:t>Consumer trust in 'Made in India' is being undermined by a dual quality problem: global brands selling inferior India-specific versions (creating the perception that Indian consumers deserve less), AND Indian manufacturers labeling Chinese-origin products as domestic (creating the perception that 'Made in India' is a label scam). These two problems compound each other - when a consumer discovers their 'Indian' product is actually Chinese, AND that global brands give India worse quality, the conclusion is that Indian manufacturing is not trustworthy at any level.</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Quality perception is the foundational bottleneck for Make in India. All other positive narratives (jobs, exports, FDI) are undercut if consumers do not trust the quality of what India produces. This is not a PR problem - it requires actual quality infrastructure: standards enforcement, testing, certification, and regulatory teeth.</w:t>
      </w:r>
    </w:p>
    <w:p>
      <w:pPr>
        <w:pStyle w:val="Heading3"/>
        <w:jc w:val="left"/>
      </w:pPr>
      <w:r>
        <w:rPr>
          <w:rFonts w:ascii="Lato" w:hAnsi="Lato"/>
          <w:b/>
          <w:color w:val="1E3A5F"/>
          <w:sz w:val="26"/>
        </w:rPr>
        <w:t>Recommendation</w:t>
      </w:r>
    </w:p>
    <w:p>
      <w:pPr>
        <w:spacing w:after="120" w:before="0"/>
      </w:pPr>
      <w:r>
        <w:rPr>
          <w:rFonts w:ascii="Lato" w:hAnsi="Lato"/>
          <w:b w:val="0"/>
          <w:i w:val="0"/>
          <w:sz w:val="22"/>
        </w:rPr>
        <w:t>Establish and promote independent quality certification marks specifically for Indian-manufactured goods (similar to ISI/BIS but consumer-facing and trusted). Investigate and publicize cases where global brands sell inferior India-specific versions, turning the quality narrative from defensive to offensive. Create transparency requirements for 'Made in India' labeling that specify domestic content percentage.</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blind product testing comparing Indian-made vs import versions of the same brand across consumer categories. Survey consumer willingness to pay premium for verified quality certification on Indian products.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"Are you implying that Indian customers only buy heavily marketed cars/products? Is that an Indian customer's mentality? Rather than picking a value / quality product, we (indian customer) are going for flashy products which are heavily marketed / driven by design compared to a quality engineered product?"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"india has no quality or infrastructure to even compete with China, not even in the same weight class."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"@WhitePillzONLY Our trade deficit with China and ASEAN is extremely large. Most goods exported to us from ASEAN countries are actually Chinese products; they are merely relabeled or undergo minor assembly. This practice will destroy our domestic market. We must impose tariffs on China and ASEAN."</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11. India vs China: Trade Deficit &amp; Competition</w:t>
      </w:r>
    </w:p>
    <w:p>
      <w:pPr>
        <w:spacing w:after="160"/>
      </w:pPr>
      <w:r>
        <w:rPr>
          <w:rFonts w:ascii="Lato" w:hAnsi="Lato"/>
          <w:b w:val="0"/>
          <w:i w:val="0"/>
          <w:color w:val="6B7280"/>
          <w:sz w:val="18"/>
        </w:rPr>
        <w:t>n=313</w:t>
      </w:r>
      <w:r>
        <w:rPr>
          <w:rFonts w:ascii="Lato" w:hAnsi="Lato"/>
          <w:b w:val="0"/>
          <w:i w:val="0"/>
          <w:color w:val="374151"/>
          <w:sz w:val="18"/>
        </w:rPr>
        <w:t xml:space="preserve">  |  Confidence: </w:t>
      </w:r>
      <w:r>
        <w:rPr>
          <w:rFonts w:ascii="Lato" w:hAnsi="Lato"/>
          <w:b/>
          <w:i w:val="0"/>
          <w:color w:val="D97706"/>
          <w:sz w:val="18"/>
        </w:rPr>
        <w:t>58% (Medium)</w:t>
      </w:r>
      <w:r>
        <w:rPr>
          <w:rFonts w:ascii="Lato" w:hAnsi="Lato"/>
          <w:b w:val="0"/>
          <w:i w:val="0"/>
          <w:color w:val="374151"/>
          <w:sz w:val="18"/>
        </w:rPr>
        <w:t xml:space="preserve">  |  Signal: </w:t>
      </w:r>
      <w:r>
        <w:rPr>
          <w:rFonts w:ascii="Lato" w:hAnsi="Lato"/>
          <w:b/>
          <w:i w:val="0"/>
          <w:color w:val="374151"/>
          <w:sz w:val="18"/>
        </w:rPr>
        <w:t>46% (Weak)</w:t>
      </w:r>
      <w:r>
        <w:rPr>
          <w:rFonts w:ascii="Lato" w:hAnsi="Lato"/>
          <w:b w:val="0"/>
          <w:i w:val="0"/>
          <w:color w:val="6B7280"/>
          <w:sz w:val="18"/>
        </w:rPr>
        <w:t xml:space="preserve">  |  8.9% of Dataset</w:t>
      </w:r>
      <w:r>
        <w:rPr>
          <w:rFonts w:ascii="Lato" w:hAnsi="Lato"/>
          <w:b w:val="0"/>
          <w:i w:val="0"/>
          <w:color w:val="6B7280"/>
          <w:sz w:val="18"/>
        </w:rPr>
        <w:t xml:space="preserve">  |  NSS: </w:t>
      </w:r>
      <w:r>
        <w:rPr>
          <w:rFonts w:ascii="Lato" w:hAnsi="Lato"/>
          <w:b/>
          <w:i w:val="0"/>
          <w:color w:val="059669"/>
          <w:sz w:val="18"/>
        </w:rPr>
        <w:t>+12%</w:t>
      </w:r>
    </w:p>
    <w:p>
      <w:pPr>
        <w:jc w:val="center"/>
      </w:pPr>
      <w:r>
        <w:drawing>
          <wp:inline xmlns:a="http://schemas.openxmlformats.org/drawingml/2006/main" xmlns:pic="http://schemas.openxmlformats.org/drawingml/2006/picture">
            <wp:extent cx="3474720" cy="3547185"/>
            <wp:docPr id="17" name="Picture 17"/>
            <wp:cNvGraphicFramePr>
              <a:graphicFrameLocks noChangeAspect="1"/>
            </wp:cNvGraphicFramePr>
            <a:graphic>
              <a:graphicData uri="http://schemas.openxmlformats.org/drawingml/2006/picture">
                <pic:pic>
                  <pic:nvPicPr>
                    <pic:cNvPr id="0" name="chart_radar_INS_004.png"/>
                    <pic:cNvPicPr/>
                  </pic:nvPicPr>
                  <pic:blipFill>
                    <a:blip r:embed="rId2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India vs China: Trade Deficit &amp; Competition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India vs China trade deficit theme (313 items, 8.2%) has the lowest positive NSS among all themes at +0.12, reflecting deep anxiety. Consumers cite specific numbers: $100B+ trade deficit with China, 70% electronics import dependence, and Chinese products flooding every category from Diwali lights to industrial equipment. The conversation oscillates between defeatism ('India can never compete with China - not even in the same weight class') and resolve ('ban Chinese products, impose tariffs').</w:t>
      </w:r>
    </w:p>
    <w:p>
      <w:pPr>
        <w:pStyle w:val="Heading3"/>
        <w:jc w:val="left"/>
      </w:pPr>
      <w:r>
        <w:rPr>
          <w:rFonts w:ascii="Lato" w:hAnsi="Lato"/>
          <w:b/>
          <w:color w:val="1E3A5F"/>
          <w:sz w:val="26"/>
        </w:rPr>
        <w:t>What it Means</w:t>
      </w:r>
    </w:p>
    <w:p>
      <w:pPr>
        <w:spacing w:after="120" w:before="0"/>
      </w:pPr>
      <w:r>
        <w:rPr>
          <w:rFonts w:ascii="Lato" w:hAnsi="Lato"/>
          <w:b w:val="0"/>
          <w:i w:val="0"/>
          <w:sz w:val="22"/>
        </w:rPr>
        <w:t>The China deficit narrative is eroding consumer confidence in Make in India's core promise. For every success story (iPhone assembly, Foxconn factory), consumers can point to a corresponding failure (still importing the components that go into that iPhone from China). The discourse reveals a sophisticated understanding among consumers that India's manufacturing relationship with China is one of structural dependency, not competition - India assembles what China makes. This framing undermines optimistic industrial narratives.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China dependency narrative is the single biggest threat to Make in India's credibility. If consumer discourse continues to frame India as structurally dependent on China for manufacturing inputs, no amount of assembly-stage success stories will shift the narrative. The deficit is both an economic reality and a psychological barrier.</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and publicize a 'China substitution scorecard' tracking specific product categories where Indian manufacturing is replacing Chinese imports. Focus on winnable categories (pharma APIs, textiles, steel, certain electronics) rather than claiming broad-based competition. Acknowledge the gap honestly while showing trajectory.</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import substitution rates in specific product categories over time. Pair with consumer perception surveys to measure whether China-substitution progress is reaching public awareness.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"india has no quality or infrastructure to even compete with China, not even in the same weight class."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"India's government set a $1 trillion target for total exports (goods + services) in FY26, per PIB. However, GTRI and Economic Times project it may fall short at ~$850B due to global slowdowns. Apr-Nov data shows exports at $292B vs imports $515B, with $72B deficit to China (potentially $106B by year-end per GTRI). Budget may include duty hikes for balance."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"@WhitePillzONLY Our trade deficit with China and ASEAN is extremely large. Most goods exported to us from ASEAN countries are actually Chinese products; they are merely relabeled or undergo minor assembly. This practice will destroy our domestic market. We must impose tariffs on China and ASEAN."</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12. Defence Manufacturing &amp; Strategic Self-Reliance</w:t>
      </w:r>
    </w:p>
    <w:p>
      <w:pPr>
        <w:spacing w:after="160"/>
      </w:pPr>
      <w:r>
        <w:rPr>
          <w:rFonts w:ascii="Lato" w:hAnsi="Lato"/>
          <w:b w:val="0"/>
          <w:i w:val="0"/>
          <w:color w:val="6B7280"/>
          <w:sz w:val="18"/>
        </w:rPr>
        <w:t>n=250</w:t>
      </w:r>
      <w:r>
        <w:rPr>
          <w:rFonts w:ascii="Lato" w:hAnsi="Lato"/>
          <w:b w:val="0"/>
          <w:i w:val="0"/>
          <w:color w:val="374151"/>
          <w:sz w:val="18"/>
        </w:rPr>
        <w:t xml:space="preserve">  |  Confidence: </w:t>
      </w:r>
      <w:r>
        <w:rPr>
          <w:rFonts w:ascii="Lato" w:hAnsi="Lato"/>
          <w:b/>
          <w:i w:val="0"/>
          <w:color w:val="D97706"/>
          <w:sz w:val="18"/>
        </w:rPr>
        <w:t>55% (Medium)</w:t>
      </w:r>
      <w:r>
        <w:rPr>
          <w:rFonts w:ascii="Lato" w:hAnsi="Lato"/>
          <w:b w:val="0"/>
          <w:i w:val="0"/>
          <w:color w:val="374151"/>
          <w:sz w:val="18"/>
        </w:rPr>
        <w:t xml:space="preserve">  |  Signal: </w:t>
      </w:r>
      <w:r>
        <w:rPr>
          <w:rFonts w:ascii="Lato" w:hAnsi="Lato"/>
          <w:b/>
          <w:i w:val="0"/>
          <w:color w:val="374151"/>
          <w:sz w:val="18"/>
        </w:rPr>
        <w:t>51% (Moderate)</w:t>
      </w:r>
      <w:r>
        <w:rPr>
          <w:rFonts w:ascii="Lato" w:hAnsi="Lato"/>
          <w:b w:val="0"/>
          <w:i w:val="0"/>
          <w:color w:val="6B7280"/>
          <w:sz w:val="18"/>
        </w:rPr>
        <w:t xml:space="preserve">  |  7.1% of Dataset</w:t>
      </w:r>
      <w:r>
        <w:rPr>
          <w:rFonts w:ascii="Lato" w:hAnsi="Lato"/>
          <w:b w:val="0"/>
          <w:i w:val="0"/>
          <w:color w:val="6B7280"/>
          <w:sz w:val="18"/>
        </w:rPr>
        <w:t xml:space="preserve">  |  NSS: </w:t>
      </w:r>
      <w:r>
        <w:rPr>
          <w:rFonts w:ascii="Lato" w:hAnsi="Lato"/>
          <w:b/>
          <w:i w:val="0"/>
          <w:color w:val="059669"/>
          <w:sz w:val="18"/>
        </w:rPr>
        <w:t>+36%</w:t>
      </w:r>
    </w:p>
    <w:p>
      <w:pPr>
        <w:jc w:val="center"/>
      </w:pPr>
      <w:r>
        <w:drawing>
          <wp:inline xmlns:a="http://schemas.openxmlformats.org/drawingml/2006/main" xmlns:pic="http://schemas.openxmlformats.org/drawingml/2006/picture">
            <wp:extent cx="3474720" cy="3547185"/>
            <wp:docPr id="18" name="Picture 18"/>
            <wp:cNvGraphicFramePr>
              <a:graphicFrameLocks noChangeAspect="1"/>
            </wp:cNvGraphicFramePr>
            <a:graphic>
              <a:graphicData uri="http://schemas.openxmlformats.org/drawingml/2006/picture">
                <pic:pic>
                  <pic:nvPicPr>
                    <pic:cNvPr id="0" name="chart_radar_INS_006.png"/>
                    <pic:cNvPicPr/>
                  </pic:nvPicPr>
                  <pic:blipFill>
                    <a:blip r:embed="rId2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Defence Manufacturing &amp; Strategic Self-Reliance</w:t>
      </w:r>
    </w:p>
    <w:p>
      <w:pPr>
        <w:pStyle w:val="Heading3"/>
        <w:jc w:val="left"/>
      </w:pPr>
      <w:r>
        <w:rPr>
          <w:rFonts w:ascii="Lato" w:hAnsi="Lato"/>
          <w:b/>
          <w:color w:val="1E3A5F"/>
          <w:sz w:val="26"/>
        </w:rPr>
        <w:t>What the Data Shows</w:t>
      </w:r>
    </w:p>
    <w:p>
      <w:pPr>
        <w:spacing w:after="120" w:before="0"/>
      </w:pPr>
      <w:r>
        <w:rPr>
          <w:rFonts w:ascii="Lato" w:hAnsi="Lato"/>
          <w:b w:val="0"/>
          <w:i w:val="0"/>
          <w:sz w:val="22"/>
        </w:rPr>
        <w:t>Defence manufacturing (250 items, 6.6%) carries a moderately positive NSS of +0.36. Discussion centers on DRDO developments, the Tejas fighter program, BrahMos missile exports, indigenous warship launches, and defence equipment performance during Operation Sindoor. The Kaveri jet engine's 39-year development failure is the most cited negative example. Defence exports crossing INR 1 lakh crore is the most cited success metric.</w:t>
      </w:r>
    </w:p>
    <w:p>
      <w:pPr>
        <w:pStyle w:val="Heading3"/>
        <w:jc w:val="left"/>
      </w:pPr>
      <w:r>
        <w:rPr>
          <w:rFonts w:ascii="Lato" w:hAnsi="Lato"/>
          <w:b/>
          <w:color w:val="1E3A5F"/>
          <w:sz w:val="26"/>
        </w:rPr>
        <w:t>What it Means</w:t>
      </w:r>
    </w:p>
    <w:p>
      <w:pPr>
        <w:spacing w:after="120" w:before="0"/>
      </w:pPr>
      <w:r>
        <w:rPr>
          <w:rFonts w:ascii="Lato" w:hAnsi="Lato"/>
          <w:b w:val="0"/>
          <w:i w:val="0"/>
          <w:sz w:val="22"/>
        </w:rPr>
        <w:t>Defence manufacturing is the most emotionally resonant proof-point for Make in India because it ties directly to national security and sovereignty - 'India makes its own weapons' is a more viscerally convincing statement than 'India assembles phones.' Operation Sindoor's validation of indigenous defence equipment in actual combat created a narrative inflection point that no industrial statistic can match. However, the Kaveri engine failure serves as a persistent counter-narrative about India's inability to master complex, long-cycle manufacturing.</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Defence manufacturing success stories have outsized influence on overall Make in India perception because they carry emotional and strategic weight that consumer goods manufacturing cannot. Each defence milestone (successful missile test, indigenous warship launch, combat-proven weapon system) generates public pride that spills over into broader manufacturing confidence.</w:t>
      </w:r>
    </w:p>
    <w:p>
      <w:pPr>
        <w:pStyle w:val="Heading3"/>
        <w:jc w:val="left"/>
      </w:pPr>
      <w:r>
        <w:rPr>
          <w:rFonts w:ascii="Lato" w:hAnsi="Lato"/>
          <w:b/>
          <w:color w:val="1E3A5F"/>
          <w:sz w:val="26"/>
        </w:rPr>
        <w:t>Recommendation</w:t>
      </w:r>
    </w:p>
    <w:p>
      <w:pPr>
        <w:spacing w:after="120" w:before="0"/>
      </w:pPr>
      <w:r>
        <w:rPr>
          <w:rFonts w:ascii="Lato" w:hAnsi="Lato"/>
          <w:b w:val="0"/>
          <w:i w:val="0"/>
          <w:sz w:val="22"/>
        </w:rPr>
        <w:t>Use defence manufacturing narratives as credibility anchors for broader Make in India communications. When launching industrial initiatives, reference defence manufacturing precedents to demonstrate that India can master complex manufacturing when strategic will exists. Address the Kaveri-type failures transparently as learning investments rather than hiding them.</w:t>
      </w:r>
    </w:p>
    <w:p>
      <w:pPr>
        <w:pStyle w:val="Heading3"/>
        <w:jc w:val="left"/>
      </w:pPr>
      <w:r>
        <w:rPr>
          <w:rFonts w:ascii="Lato" w:hAnsi="Lato"/>
          <w:b/>
          <w:color w:val="1E3A5F"/>
          <w:sz w:val="26"/>
        </w:rPr>
        <w:t>Further Validation</w:t>
      </w:r>
    </w:p>
    <w:p>
      <w:pPr>
        <w:spacing w:after="120" w:before="0"/>
      </w:pPr>
      <w:r>
        <w:rPr>
          <w:rFonts w:ascii="Lato" w:hAnsi="Lato"/>
          <w:b w:val="0"/>
          <w:i w:val="0"/>
          <w:sz w:val="22"/>
        </w:rPr>
        <w:t>Measure the sentiment spillover effect: does a defence manufacturing milestone (e.g., successful Tejas deployment) measurably improve consumer sentiment toward Make in India in unrelated categories (electronics, consumer goods)?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"We cannot overlook the fact that the current govt came into power through violence..and foreign support...It fears the supporters of the previous democratic govt...My feel is,  the people are divided...what we see today is the vocal "minority" who grabbed power...and some opportunity seekers...If the mayhem continues...and the army doesn't  takeover the admin, ...the extremist minority may strengthen its  grip on power...and  India may have another "enemy" at its border...."</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"From being an importer to becoming a trusted exporter, #India’s defence capabilities are touching skies Strategic partners choosing #BrahMos shows India’s rise as a strong &amp;amp; self-reliant defence power.</w:t>
        <w:br/>
        <w:t>2/</w:t>
        <w:br/>
        <w:br/>
        <w:t>@vonbrauckmann @fhzadran @davidfrawleyved"</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"@Indian_Analyzer Despite claims of 89% domestic defence procurement in FY2024-25, India remains the world's second-largest arms importer, with significant ongoing purchases of obsolete Western systems like Rafale jets and Scorpene submarines from France."</w:t>
      </w:r>
      <w:r>
        <w:rPr>
          <w:rFonts w:ascii="Lato" w:hAnsi="Lato"/>
          <w:b w:val="0"/>
          <w:i w:val="0"/>
          <w:color w:val="6B7280"/>
          <w:sz w:val="18"/>
        </w:rPr>
        <w:t xml:space="preserve">  - twitter</w:t>
      </w:r>
    </w:p>
    <w:p>
      <w:r>
        <w:br w:type="page"/>
      </w:r>
    </w:p>
    <w:p>
      <w:pPr>
        <w:pStyle w:val="Heading1"/>
        <w:jc w:val="left"/>
      </w:pPr>
      <w:r>
        <w:rPr>
          <w:rFonts w:ascii="Lato" w:hAnsi="Lato"/>
          <w:b/>
          <w:color w:val="1E3A5F"/>
          <w:sz w:val="44"/>
        </w:rPr>
        <w:t>Brand Health Score</w:t>
      </w:r>
    </w:p>
    <w:p>
      <w:pPr>
        <w:spacing w:after="160"/>
      </w:pPr>
      <w:r>
        <w:rPr>
          <w:rFonts w:ascii="Lato" w:hAnsi="Lato"/>
          <w:b/>
          <w:i w:val="0"/>
          <w:color w:val="1E3A5F"/>
          <w:sz w:val="26"/>
        </w:rPr>
        <w:t xml:space="preserve">Overall Brand Health Score: </w:t>
      </w:r>
      <w:r>
        <w:rPr>
          <w:rFonts w:ascii="Lato" w:hAnsi="Lato"/>
          <w:b/>
          <w:i w:val="0"/>
          <w:color w:val="D97706"/>
          <w:sz w:val="40"/>
        </w:rPr>
        <w:t>69/100</w:t>
      </w:r>
    </w:p>
    <w:p>
      <w:pPr>
        <w:spacing w:after="120" w:before="0"/>
      </w:pPr>
      <w:r>
        <w:rPr>
          <w:rFonts w:ascii="Lato" w:hAnsi="Lato"/>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Component</w:t>
            </w:r>
          </w:p>
        </w:tc>
        <w:tc>
          <w:tcPr>
            <w:tcW w:type="dxa" w:w="3135"/>
            <w:shd w:val="clear" w:color="auto" w:fill="1E3A5F"/>
          </w:tcPr>
          <w:p>
            <w:pPr>
              <w:spacing w:before="60" w:after="60"/>
            </w:pPr>
            <w:r/>
            <w:r>
              <w:rPr>
                <w:rFonts w:ascii="Lato" w:hAnsi="Lato"/>
                <w:b/>
                <w:i w:val="0"/>
                <w:color w:val="FFFFFF"/>
                <w:sz w:val="20"/>
              </w:rPr>
              <w:t>Score</w:t>
            </w:r>
          </w:p>
        </w:tc>
        <w:tc>
          <w:tcPr>
            <w:tcW w:type="dxa" w:w="3135"/>
            <w:shd w:val="clear" w:color="auto" w:fill="1E3A5F"/>
          </w:tcPr>
          <w:p>
            <w:pPr>
              <w:spacing w:before="60" w:after="60"/>
            </w:pPr>
            <w:r/>
            <w:r>
              <w:rPr>
                <w:rFonts w:ascii="Lato" w:hAnsi="Lato"/>
                <w:b/>
                <w:i w:val="0"/>
                <w:color w:val="FFFFFF"/>
                <w:sz w:val="20"/>
              </w:rPr>
              <w:t>Methodology</w:t>
            </w:r>
          </w:p>
        </w:tc>
      </w:tr>
      <w:tr>
        <w:tc>
          <w:tcPr>
            <w:tcW w:type="dxa" w:w="3135"/>
          </w:tcPr>
          <w:p>
            <w:pPr>
              <w:spacing w:before="60" w:after="60"/>
            </w:pPr>
            <w:r/>
            <w:r>
              <w:rPr>
                <w:rFonts w:ascii="Lato" w:hAnsi="Lato"/>
                <w:b w:val="0"/>
                <w:i w:val="0"/>
                <w:color w:val="374151"/>
                <w:sz w:val="20"/>
              </w:rPr>
              <w:t>Sentiment Component (30%)</w:t>
            </w:r>
          </w:p>
        </w:tc>
        <w:tc>
          <w:tcPr>
            <w:tcW w:type="dxa" w:w="3135"/>
          </w:tcPr>
          <w:p>
            <w:pPr>
              <w:spacing w:before="60" w:after="60"/>
            </w:pPr>
            <w:r/>
            <w:r>
              <w:rPr>
                <w:rFonts w:ascii="Lato" w:hAnsi="Lato"/>
                <w:b/>
                <w:i w:val="0"/>
                <w:color w:val="D97706"/>
                <w:sz w:val="20"/>
              </w:rPr>
              <w:t>62.0</w:t>
            </w:r>
          </w:p>
        </w:tc>
        <w:tc>
          <w:tcPr>
            <w:tcW w:type="dxa" w:w="3135"/>
          </w:tcPr>
          <w:p>
            <w:pPr>
              <w:spacing w:before="60" w:after="60"/>
            </w:pPr>
            <w:r/>
            <w:r>
              <w:rPr>
                <w:rFonts w:ascii="Lato" w:hAnsi="Lato"/>
                <w:b w:val="0"/>
                <w:i w:val="0"/>
                <w:color w:val="374151"/>
                <w:sz w:val="20"/>
              </w:rPr>
              <w:t>Derived from NSS across all items. Reflects the ratio of positive to negative consumer language.</w:t>
            </w:r>
          </w:p>
        </w:tc>
      </w:tr>
      <w:tr>
        <w:tc>
          <w:tcPr>
            <w:tcW w:type="dxa" w:w="3135"/>
          </w:tcPr>
          <w:p>
            <w:pPr>
              <w:spacing w:before="60" w:after="60"/>
            </w:pPr>
            <w:r/>
            <w:r>
              <w:rPr>
                <w:rFonts w:ascii="Lato" w:hAnsi="Lato"/>
                <w:b w:val="0"/>
                <w:i w:val="0"/>
                <w:color w:val="374151"/>
                <w:sz w:val="20"/>
              </w:rPr>
              <w:t>Engagement Component (25%)</w:t>
            </w:r>
          </w:p>
        </w:tc>
        <w:tc>
          <w:tcPr>
            <w:tcW w:type="dxa" w:w="3135"/>
          </w:tcPr>
          <w:p>
            <w:pPr>
              <w:spacing w:before="60" w:after="60"/>
            </w:pPr>
            <w:r/>
            <w:r>
              <w:rPr>
                <w:rFonts w:ascii="Lato" w:hAnsi="Lato"/>
                <w:b/>
                <w:i w:val="0"/>
                <w:color w:val="059669"/>
                <w:sz w:val="20"/>
              </w:rPr>
              <w:t>91.6</w:t>
            </w:r>
          </w:p>
        </w:tc>
        <w:tc>
          <w:tcPr>
            <w:tcW w:type="dxa" w:w="3135"/>
          </w:tcPr>
          <w:p>
            <w:pPr>
              <w:spacing w:before="60" w:after="60"/>
            </w:pPr>
            <w:r/>
            <w:r>
              <w:rPr>
                <w:rFonts w:ascii="Lato" w:hAnsi="Lato"/>
                <w:b w:val="0"/>
                <w:i w:val="0"/>
                <w:color w:val="374151"/>
                <w:sz w:val="20"/>
              </w:rPr>
              <w:t>Average engagement (upvotes, likes, comments) normalised to platform benchmarks.</w:t>
            </w:r>
          </w:p>
        </w:tc>
      </w:tr>
      <w:tr>
        <w:tc>
          <w:tcPr>
            <w:tcW w:type="dxa" w:w="3135"/>
          </w:tcPr>
          <w:p>
            <w:pPr>
              <w:spacing w:before="60" w:after="60"/>
            </w:pPr>
            <w:r/>
            <w:r>
              <w:rPr>
                <w:rFonts w:ascii="Lato" w:hAnsi="Lato"/>
                <w:b w:val="0"/>
                <w:i w:val="0"/>
                <w:color w:val="374151"/>
                <w:sz w:val="20"/>
              </w:rPr>
              <w:t>Advocacy Component (20%)</w:t>
            </w:r>
          </w:p>
        </w:tc>
        <w:tc>
          <w:tcPr>
            <w:tcW w:type="dxa" w:w="3135"/>
          </w:tcPr>
          <w:p>
            <w:pPr>
              <w:spacing w:before="60" w:after="60"/>
            </w:pPr>
            <w:r/>
            <w:r>
              <w:rPr>
                <w:rFonts w:ascii="Lato" w:hAnsi="Lato"/>
                <w:b/>
                <w:i w:val="0"/>
                <w:color w:val="D97706"/>
                <w:sz w:val="20"/>
              </w:rPr>
              <w:t>55.0</w:t>
            </w:r>
          </w:p>
        </w:tc>
        <w:tc>
          <w:tcPr>
            <w:tcW w:type="dxa" w:w="3135"/>
          </w:tcPr>
          <w:p>
            <w:pPr>
              <w:spacing w:before="60" w:after="60"/>
            </w:pPr>
            <w:r/>
            <w:r>
              <w:rPr>
                <w:rFonts w:ascii="Lato" w:hAnsi="Lato"/>
                <w:b w:val="0"/>
                <w:i w:val="0"/>
                <w:color w:val="374151"/>
                <w:sz w:val="20"/>
              </w:rPr>
              <w:t>Proportion of items containing explicit recommendation or repurchase intent language.</w:t>
            </w:r>
          </w:p>
        </w:tc>
      </w:tr>
      <w:tr>
        <w:tc>
          <w:tcPr>
            <w:tcW w:type="dxa" w:w="3135"/>
          </w:tcPr>
          <w:p>
            <w:pPr>
              <w:spacing w:before="60" w:after="60"/>
            </w:pPr>
            <w:r/>
            <w:r>
              <w:rPr>
                <w:rFonts w:ascii="Lato" w:hAnsi="Lato"/>
                <w:b w:val="0"/>
                <w:i w:val="0"/>
                <w:color w:val="374151"/>
                <w:sz w:val="20"/>
              </w:rPr>
              <w:t>Resilience Component (15%)</w:t>
            </w:r>
          </w:p>
        </w:tc>
        <w:tc>
          <w:tcPr>
            <w:tcW w:type="dxa" w:w="3135"/>
          </w:tcPr>
          <w:p>
            <w:pPr>
              <w:spacing w:before="60" w:after="60"/>
            </w:pPr>
            <w:r/>
            <w:r>
              <w:rPr>
                <w:rFonts w:ascii="Lato" w:hAnsi="Lato"/>
                <w:b/>
                <w:i w:val="0"/>
                <w:color w:val="059669"/>
                <w:sz w:val="20"/>
              </w:rPr>
              <w:t>89.0</w:t>
            </w:r>
          </w:p>
        </w:tc>
        <w:tc>
          <w:tcPr>
            <w:tcW w:type="dxa" w:w="3135"/>
          </w:tcPr>
          <w:p>
            <w:pPr>
              <w:spacing w:before="60" w:after="60"/>
            </w:pPr>
            <w:r/>
            <w:r>
              <w:rPr>
                <w:rFonts w:ascii="Lato" w:hAnsi="Lato"/>
                <w:b w:val="0"/>
                <w:i w:val="0"/>
                <w:color w:val="374151"/>
                <w:sz w:val="20"/>
              </w:rPr>
              <w:t>Sentiment consistency across platforms and time periods.</w:t>
            </w:r>
          </w:p>
        </w:tc>
      </w:tr>
      <w:tr>
        <w:tc>
          <w:tcPr>
            <w:tcW w:type="dxa" w:w="3135"/>
          </w:tcPr>
          <w:p>
            <w:pPr>
              <w:spacing w:before="60" w:after="60"/>
            </w:pPr>
            <w:r/>
            <w:r>
              <w:rPr>
                <w:rFonts w:ascii="Lato" w:hAnsi="Lato"/>
                <w:b w:val="0"/>
                <w:i w:val="0"/>
                <w:color w:val="374151"/>
                <w:sz w:val="20"/>
              </w:rPr>
              <w:t>Conversation Component (10%)</w:t>
            </w:r>
          </w:p>
        </w:tc>
        <w:tc>
          <w:tcPr>
            <w:tcW w:type="dxa" w:w="3135"/>
          </w:tcPr>
          <w:p>
            <w:pPr>
              <w:spacing w:before="60" w:after="60"/>
            </w:pPr>
            <w:r/>
            <w:r>
              <w:rPr>
                <w:rFonts w:ascii="Lato" w:hAnsi="Lato"/>
                <w:b/>
                <w:i w:val="0"/>
                <w:color w:val="DC2626"/>
                <w:sz w:val="20"/>
              </w:rPr>
              <w:t>35.5</w:t>
            </w:r>
          </w:p>
        </w:tc>
        <w:tc>
          <w:tcPr>
            <w:tcW w:type="dxa" w:w="3135"/>
          </w:tcPr>
          <w:p>
            <w:pPr>
              <w:spacing w:before="60" w:after="60"/>
            </w:pPr>
            <w:r/>
            <w:r>
              <w:rPr>
                <w:rFonts w:ascii="Lato" w:hAnsi="Lato"/>
                <w:b w:val="0"/>
                <w:i w:val="0"/>
                <w:color w:val="374151"/>
                <w:sz w:val="20"/>
              </w:rPr>
              <w:t>Volume and depth of organic brand conversation (non-promotional threads).</w:t>
            </w:r>
          </w:p>
        </w:tc>
      </w:tr>
    </w:tbl>
    <w:p>
      <w:pPr>
        <w:spacing w:before="280" w:after="120"/>
      </w:pPr>
      <w:r>
        <w:rPr>
          <w:rFonts w:ascii="Lato" w:hAnsi="Lato"/>
          <w:b/>
          <w:i w:val="0"/>
          <w:color w:val="1E3A5F"/>
          <w:sz w:val="22"/>
        </w:rPr>
        <w:t xml:space="preserve">Note: </w:t>
      </w:r>
      <w:r>
        <w:rPr>
          <w:rFonts w:ascii="Lato" w:hAnsi="Lato"/>
          <w:b w:val="0"/>
          <w:i w:val="0"/>
          <w:color w:val="374151"/>
          <w:sz w:val="22"/>
        </w:rPr>
        <w:t>The Conversation Component (36/100)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Lato" w:hAnsi="Lato"/>
          <w:b/>
          <w:color w:val="1E3A5F"/>
          <w:sz w:val="44"/>
        </w:rPr>
        <w:t>Methodology</w:t>
      </w:r>
    </w:p>
    <w:p>
      <w:pPr>
        <w:pStyle w:val="Heading2"/>
        <w:jc w:val="left"/>
      </w:pPr>
      <w:r>
        <w:rPr>
          <w:rFonts w:ascii="Lato" w:hAnsi="Lato"/>
          <w:b/>
          <w:color w:val="1E3A5F"/>
          <w:sz w:val="32"/>
        </w:rPr>
        <w:t>Pipeline Overview</w:t>
      </w:r>
    </w:p>
    <w:p>
      <w:pPr>
        <w:pStyle w:val="ListBullet"/>
        <w:spacing w:after="80"/>
      </w:pPr>
      <w:r>
        <w:rPr>
          <w:rFonts w:ascii="Lato" w:hAnsi="Lato"/>
          <w:b/>
          <w:i w:val="0"/>
          <w:color w:val="1E3A5F"/>
          <w:sz w:val="22"/>
        </w:rPr>
        <w:t xml:space="preserve">Stage 0 - Brief </w:t>
      </w:r>
      <w:r>
        <w:rPr>
          <w:rFonts w:ascii="Lato" w:hAnsi="Lato"/>
          <w:b w:val="0"/>
          <w:i w:val="0"/>
          <w:sz w:val="22"/>
        </w:rPr>
        <w:t>Structured research brief defines brand, competitors, geography, business objectives, and keyword seed list.</w:t>
      </w:r>
    </w:p>
    <w:p>
      <w:pPr>
        <w:pStyle w:val="ListBullet"/>
        <w:spacing w:after="80"/>
      </w:pPr>
      <w:r>
        <w:rPr>
          <w:rFonts w:ascii="Lato" w:hAnsi="Lato"/>
          <w:b/>
          <w:i w:val="0"/>
          <w:color w:val="1E3A5F"/>
          <w:sz w:val="22"/>
        </w:rPr>
        <w:t xml:space="preserve">Stage 1 - Collect </w:t>
      </w:r>
      <w:r>
        <w:rPr>
          <w:rFonts w:ascii="Lato" w:hAnsi="Lato"/>
          <w:b w:val="0"/>
          <w:i w:val="0"/>
          <w:sz w:val="22"/>
        </w:rPr>
        <w:t>Automated collection across Instagram, Reddit, Twitter, Youtube. Engagement-minimum filters applied at collection time.</w:t>
      </w:r>
    </w:p>
    <w:p>
      <w:pPr>
        <w:pStyle w:val="ListBullet"/>
        <w:spacing w:after="80"/>
      </w:pPr>
      <w:r>
        <w:rPr>
          <w:rFonts w:ascii="Lato" w:hAnsi="Lato"/>
          <w:b/>
          <w:i w:val="0"/>
          <w:color w:val="1E3A5F"/>
          <w:sz w:val="22"/>
        </w:rPr>
        <w:t xml:space="preserve">Stage 2 - Normalize </w:t>
      </w:r>
      <w:r>
        <w:rPr>
          <w:rFonts w:ascii="Lato" w:hAnsi="Lato"/>
          <w:b w:val="0"/>
          <w:i w:val="0"/>
          <w:sz w:val="22"/>
        </w:rPr>
        <w:t>Thread-level deduplication (comments capped per thread). Deterministic SHA-256 item IDs prevent re-collection of duplicates across runs.</w:t>
      </w:r>
    </w:p>
    <w:p>
      <w:pPr>
        <w:pStyle w:val="ListBullet"/>
        <w:spacing w:after="80"/>
      </w:pPr>
      <w:r>
        <w:rPr>
          <w:rFonts w:ascii="Lato" w:hAnsi="Lato"/>
          <w:b/>
          <w:i w:val="0"/>
          <w:color w:val="1E3A5F"/>
          <w:sz w:val="22"/>
        </w:rPr>
        <w:t xml:space="preserve">Stage 3 - Filter </w:t>
      </w:r>
      <w:r>
        <w:rPr>
          <w:rFonts w:ascii="Lato" w:hAnsi="Lato"/>
          <w:b w:val="0"/>
          <w:i w:val="0"/>
          <w:sz w:val="22"/>
        </w:rPr>
        <w:t>LLM relevance classification (claude-sonnet-4-20250514). Each item classified as relevant/irrelevant with a reason. Multilingual support enabled.</w:t>
      </w:r>
    </w:p>
    <w:p>
      <w:pPr>
        <w:pStyle w:val="ListBullet"/>
        <w:spacing w:after="80"/>
      </w:pPr>
      <w:r>
        <w:rPr>
          <w:rFonts w:ascii="Lato" w:hAnsi="Lato"/>
          <w:b/>
          <w:i w:val="0"/>
          <w:color w:val="1E3A5F"/>
          <w:sz w:val="22"/>
        </w:rPr>
        <w:t xml:space="preserve">Stage 4 - Analyze </w:t>
      </w:r>
      <w:r>
        <w:rPr>
          <w:rFonts w:ascii="Lato" w:hAnsi="Lato"/>
          <w:b w:val="0"/>
          <w:i w:val="0"/>
          <w:sz w:val="22"/>
        </w:rPr>
        <w:t>Sentiment (positive/negative/neutral/mixed) + Plutchik 8-emotion classification in a single LLM call. ABSA: per-aspect sentiment extracted. Two-pass theme extraction: (a) discovery on stratified sample to identify candidate themes; (b) full-corpus mapping of all items to themes in batches.</w:t>
      </w:r>
    </w:p>
    <w:p>
      <w:pPr>
        <w:pStyle w:val="ListBullet"/>
        <w:spacing w:after="80"/>
      </w:pPr>
      <w:r>
        <w:rPr>
          <w:rFonts w:ascii="Lato" w:hAnsi="Lato"/>
          <w:b/>
          <w:i w:val="0"/>
          <w:color w:val="1E3A5F"/>
          <w:sz w:val="22"/>
        </w:rPr>
        <w:t xml:space="preserve">Stage 5 - Synthesize </w:t>
      </w:r>
      <w:r>
        <w:rPr>
          <w:rFonts w:ascii="Lato" w:hAnsi="Lato"/>
          <w:b w:val="0"/>
          <w:i w:val="0"/>
          <w:sz w:val="22"/>
        </w:rPr>
        <w:t>One insight per theme, mandated by prompt. Insight structure: Observation - Insight - Implication - Recommendation - Further Validation.</w:t>
      </w:r>
    </w:p>
    <w:p>
      <w:pPr>
        <w:pStyle w:val="ListBullet"/>
        <w:spacing w:after="80"/>
      </w:pPr>
      <w:r>
        <w:rPr>
          <w:rFonts w:ascii="Lato" w:hAnsi="Lato"/>
          <w:b/>
          <w:i w:val="0"/>
          <w:color w:val="1E3A5F"/>
          <w:sz w:val="22"/>
        </w:rPr>
        <w:t xml:space="preserve">Stage 6 - Score </w:t>
      </w:r>
      <w:r>
        <w:rPr>
          <w:rFonts w:ascii="Lato" w:hAnsi="Lato"/>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Lato" w:hAnsi="Lato"/>
          <w:b/>
          <w:i w:val="0"/>
          <w:color w:val="1E3A5F"/>
          <w:sz w:val="22"/>
        </w:rPr>
        <w:t xml:space="preserve">Stage 7 - Report </w:t>
      </w:r>
      <w:r>
        <w:rPr>
          <w:rFonts w:ascii="Lato" w:hAnsi="Lato"/>
          <w:b w:val="0"/>
          <w:i w:val="0"/>
          <w:sz w:val="22"/>
        </w:rPr>
        <w:t>Google Doc-compatible DOCX with inline charts, block-quoted verbatims, and full data tables.</w:t>
      </w:r>
    </w:p>
    <w:p>
      <w:pPr>
        <w:pStyle w:val="Heading2"/>
        <w:jc w:val="left"/>
      </w:pPr>
      <w:r>
        <w:rPr>
          <w:rFonts w:ascii="Lato" w:hAnsi="Lato"/>
          <w:b/>
          <w:color w:val="1E3A5F"/>
          <w:sz w:val="32"/>
        </w:rPr>
        <w:t>Scoring Formulas</w:t>
      </w:r>
    </w:p>
    <w:p>
      <w:pPr>
        <w:pStyle w:val="Heading3"/>
        <w:jc w:val="left"/>
      </w:pPr>
      <w:r>
        <w:rPr>
          <w:rFonts w:ascii="Lato" w:hAnsi="Lato"/>
          <w:b/>
          <w:color w:val="1E3A5F"/>
          <w:sz w:val="26"/>
        </w:rPr>
        <w:t>Confidence Score</w:t>
      </w:r>
    </w:p>
    <w:p>
      <w:pPr>
        <w:spacing w:after="120" w:before="0"/>
      </w:pPr>
      <w:r>
        <w:rPr>
          <w:rFonts w:ascii="Lato" w:hAnsi="Lato"/>
          <w:b w:val="0"/>
          <w:i w:val="0"/>
          <w:sz w:val="22"/>
        </w:rPr>
        <w:t>Confidence = (sample_size x 0.25) + (source_diversity x 0.25) + (temporal_consistency x 0.15) + (internal_agreement x 0.2) + (data_recency x 0.15)</w:t>
      </w:r>
    </w:p>
    <w:p>
      <w:pPr>
        <w:pStyle w:val="Heading3"/>
        <w:jc w:val="left"/>
      </w:pPr>
      <w:r>
        <w:rPr>
          <w:rFonts w:ascii="Lato" w:hAnsi="Lato"/>
          <w:b/>
          <w:color w:val="1E3A5F"/>
          <w:sz w:val="26"/>
        </w:rPr>
        <w:t>Signal Strength Score</w:t>
      </w:r>
    </w:p>
    <w:p>
      <w:pPr>
        <w:spacing w:after="120" w:before="0"/>
      </w:pPr>
      <w:r>
        <w:rPr>
          <w:rFonts w:ascii="Lato" w:hAnsi="Lato"/>
          <w:b w:val="0"/>
          <w:i w:val="0"/>
          <w:sz w:val="22"/>
        </w:rPr>
        <w:t>Signal = (prevalence x 0.35) + (engagement x 0.3) + (sentiment_intensity x 0.2) + (conversation_depth x 0.15)</w:t>
      </w:r>
    </w:p>
    <w:p>
      <w:pPr>
        <w:pStyle w:val="Heading3"/>
        <w:jc w:val="left"/>
      </w:pPr>
      <w:r>
        <w:rPr>
          <w:rFonts w:ascii="Lato" w:hAnsi="Lato"/>
          <w:b/>
          <w:color w:val="1E3A5F"/>
          <w:sz w:val="26"/>
        </w:rPr>
        <w:t>Net Sentiment Score (NSS)</w:t>
      </w:r>
    </w:p>
    <w:p>
      <w:pPr>
        <w:spacing w:after="120" w:before="0"/>
      </w:pPr>
      <w:r>
        <w:rPr>
          <w:rFonts w:ascii="Lato" w:hAnsi="Lato"/>
          <w:b w:val="0"/>
          <w:i w:val="0"/>
          <w:sz w:val="22"/>
        </w:rPr>
        <w:t>NSS = (positive_count - negative_count) / total_count. Range -1.0 to +1.0. Industry standard: Brandwatch, Sprinklr, YouGov.</w:t>
      </w:r>
    </w:p>
    <w:p>
      <w:pPr>
        <w:pStyle w:val="Heading2"/>
        <w:jc w:val="left"/>
      </w:pPr>
      <w:r>
        <w:rPr>
          <w:rFonts w:ascii="Lato" w:hAnsi="Lato"/>
          <w:b/>
          <w:color w:val="1E3A5F"/>
          <w:sz w:val="32"/>
        </w:rPr>
        <w:t>Quality Gates</w:t>
      </w:r>
    </w:p>
    <w:p>
      <w:pPr>
        <w:pStyle w:val="ListBullet"/>
        <w:spacing w:after="80"/>
      </w:pPr>
      <w:r>
        <w:rPr>
          <w:rFonts w:ascii="Lato" w:hAnsi="Lato"/>
          <w:b w:val="0"/>
          <w:i w:val="0"/>
          <w:sz w:val="22"/>
        </w:rPr>
        <w:t>Grounded (≥3 sources cited)</w:t>
      </w:r>
    </w:p>
    <w:p>
      <w:pPr>
        <w:pStyle w:val="ListBullet"/>
        <w:spacing w:after="80"/>
      </w:pPr>
      <w:r>
        <w:rPr>
          <w:rFonts w:ascii="Lato" w:hAnsi="Lato"/>
          <w:b w:val="0"/>
          <w:i w:val="0"/>
          <w:sz w:val="22"/>
        </w:rPr>
        <w:t>Non-obvious (not derivable from common knowledge)</w:t>
      </w:r>
    </w:p>
    <w:p>
      <w:pPr>
        <w:pStyle w:val="ListBullet"/>
        <w:spacing w:after="80"/>
      </w:pPr>
      <w:r>
        <w:rPr>
          <w:rFonts w:ascii="Lato" w:hAnsi="Lato"/>
          <w:b w:val="0"/>
          <w:i w:val="0"/>
          <w:sz w:val="22"/>
        </w:rPr>
        <w:t>Actionable (leads to a concrete business decision)</w:t>
      </w:r>
    </w:p>
    <w:p>
      <w:pPr>
        <w:pStyle w:val="ListBullet"/>
        <w:spacing w:after="80"/>
      </w:pPr>
      <w:r>
        <w:rPr>
          <w:rFonts w:ascii="Lato" w:hAnsi="Lato"/>
          <w:b w:val="0"/>
          <w:i w:val="0"/>
          <w:sz w:val="22"/>
        </w:rPr>
        <w:t>Specific (not vague platitude)</w:t>
      </w:r>
    </w:p>
    <w:p>
      <w:pPr>
        <w:pStyle w:val="ListBullet"/>
        <w:spacing w:after="80"/>
      </w:pPr>
      <w:r>
        <w:rPr>
          <w:rFonts w:ascii="Lato" w:hAnsi="Lato"/>
          <w:b w:val="0"/>
          <w:i w:val="0"/>
          <w:sz w:val="22"/>
        </w:rPr>
        <w:t>Falsifiable (could be proven wrong with additional data)</w:t>
      </w:r>
    </w:p>
    <w:p>
      <w:r>
        <w:br w:type="page"/>
      </w:r>
    </w:p>
    <w:p>
      <w:pPr>
        <w:pStyle w:val="Heading1"/>
        <w:jc w:val="left"/>
      </w:pPr>
      <w:r>
        <w:rPr>
          <w:rFonts w:ascii="Lato" w:hAnsi="Lato"/>
          <w:b/>
          <w:color w:val="1E3A5F"/>
          <w:sz w:val="44"/>
        </w:rPr>
        <w:t>Data Provenance</w:t>
      </w:r>
    </w:p>
    <w:p>
      <w:pPr>
        <w:spacing w:after="120" w:before="0"/>
      </w:pPr>
      <w:r>
        <w:rPr>
          <w:rFonts w:ascii="Lato" w:hAnsi="Lato"/>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Lato" w:hAnsi="Lato"/>
                <w:b/>
                <w:i w:val="0"/>
                <w:color w:val="FFFFFF"/>
                <w:sz w:val="20"/>
              </w:rPr>
              <w:t>Source</w:t>
            </w:r>
          </w:p>
        </w:tc>
        <w:tc>
          <w:tcPr>
            <w:tcW w:type="dxa" w:w="2351"/>
            <w:shd w:val="clear" w:color="auto" w:fill="1E3A5F"/>
          </w:tcPr>
          <w:p>
            <w:pPr>
              <w:spacing w:before="60" w:after="60"/>
            </w:pPr>
            <w:r/>
            <w:r>
              <w:rPr>
                <w:rFonts w:ascii="Lato" w:hAnsi="Lato"/>
                <w:b/>
                <w:i w:val="0"/>
                <w:color w:val="FFFFFF"/>
                <w:sz w:val="20"/>
              </w:rPr>
              <w:t>Content Type</w:t>
            </w:r>
          </w:p>
        </w:tc>
        <w:tc>
          <w:tcPr>
            <w:tcW w:type="dxa" w:w="2351"/>
            <w:shd w:val="clear" w:color="auto" w:fill="1E3A5F"/>
          </w:tcPr>
          <w:p>
            <w:pPr>
              <w:spacing w:before="60" w:after="60"/>
            </w:pPr>
            <w:r/>
            <w:r>
              <w:rPr>
                <w:rFonts w:ascii="Lato" w:hAnsi="Lato"/>
                <w:b/>
                <w:i w:val="0"/>
                <w:color w:val="FFFFFF"/>
                <w:sz w:val="20"/>
              </w:rPr>
              <w:t>Access Method</w:t>
            </w:r>
          </w:p>
        </w:tc>
        <w:tc>
          <w:tcPr>
            <w:tcW w:type="dxa" w:w="2351"/>
            <w:shd w:val="clear" w:color="auto" w:fill="1E3A5F"/>
          </w:tcPr>
          <w:p>
            <w:pPr>
              <w:spacing w:before="60" w:after="60"/>
            </w:pPr>
            <w:r/>
            <w:r>
              <w:rPr>
                <w:rFonts w:ascii="Lato" w:hAnsi="Lato"/>
                <w:b/>
                <w:i w:val="0"/>
                <w:color w:val="FFFFFF"/>
                <w:sz w:val="20"/>
              </w:rPr>
              <w:t>Items in Corpus</w:t>
            </w:r>
          </w:p>
        </w:tc>
      </w:tr>
      <w:tr>
        <w:tc>
          <w:tcPr>
            <w:tcW w:type="dxa" w:w="2351"/>
          </w:tcPr>
          <w:p>
            <w:pPr>
              <w:spacing w:before="60" w:after="60"/>
            </w:pPr>
            <w:r/>
            <w:r>
              <w:rPr>
                <w:rFonts w:ascii="Lato" w:hAnsi="Lato"/>
                <w:b w:val="0"/>
                <w:i w:val="0"/>
                <w:color w:val="374151"/>
                <w:sz w:val="20"/>
              </w:rPr>
              <w:t>Twitter / X</w:t>
            </w:r>
          </w:p>
        </w:tc>
        <w:tc>
          <w:tcPr>
            <w:tcW w:type="dxa" w:w="2351"/>
          </w:tcPr>
          <w:p>
            <w:pPr>
              <w:spacing w:before="60" w:after="60"/>
            </w:pPr>
            <w:r/>
            <w:r>
              <w:rPr>
                <w:rFonts w:ascii="Lato" w:hAnsi="Lato"/>
                <w:b w:val="0"/>
                <w:i w:val="0"/>
                <w:color w:val="374151"/>
                <w:sz w:val="20"/>
              </w:rPr>
              <w:t>Tweets, replies, quote tweets</w:t>
            </w:r>
          </w:p>
        </w:tc>
        <w:tc>
          <w:tcPr>
            <w:tcW w:type="dxa" w:w="2351"/>
          </w:tcPr>
          <w:p>
            <w:pPr>
              <w:spacing w:before="60" w:after="60"/>
            </w:pPr>
            <w:r/>
            <w:r>
              <w:rPr>
                <w:rFonts w:ascii="Lato" w:hAnsi="Lato"/>
                <w:b w:val="0"/>
                <w:i w:val="0"/>
                <w:color w:val="374151"/>
                <w:sz w:val="20"/>
              </w:rPr>
              <w:t>Platform API / external collection</w:t>
            </w:r>
          </w:p>
        </w:tc>
        <w:tc>
          <w:tcPr>
            <w:tcW w:type="dxa" w:w="2351"/>
          </w:tcPr>
          <w:p>
            <w:pPr>
              <w:spacing w:before="60" w:after="60"/>
            </w:pPr>
            <w:r/>
            <w:r>
              <w:rPr>
                <w:rFonts w:ascii="Lato" w:hAnsi="Lato"/>
                <w:b w:val="0"/>
                <w:i w:val="0"/>
                <w:color w:val="374151"/>
                <w:sz w:val="20"/>
              </w:rPr>
              <w:t>2,266</w:t>
            </w:r>
          </w:p>
        </w:tc>
      </w:tr>
      <w:tr>
        <w:tc>
          <w:tcPr>
            <w:tcW w:type="dxa" w:w="2351"/>
          </w:tcPr>
          <w:p>
            <w:pPr>
              <w:spacing w:before="60" w:after="60"/>
            </w:pPr>
            <w:r/>
            <w:r>
              <w:rPr>
                <w:rFonts w:ascii="Lato" w:hAnsi="Lato"/>
                <w:b w:val="0"/>
                <w:i w:val="0"/>
                <w:color w:val="374151"/>
                <w:sz w:val="20"/>
              </w:rPr>
              <w:t>YouTube</w:t>
            </w:r>
          </w:p>
        </w:tc>
        <w:tc>
          <w:tcPr>
            <w:tcW w:type="dxa" w:w="2351"/>
          </w:tcPr>
          <w:p>
            <w:pPr>
              <w:spacing w:before="60" w:after="60"/>
            </w:pPr>
            <w:r/>
            <w:r>
              <w:rPr>
                <w:rFonts w:ascii="Lato" w:hAnsi="Lato"/>
                <w:b w:val="0"/>
                <w:i w:val="0"/>
                <w:color w:val="374151"/>
                <w:sz w:val="20"/>
              </w:rPr>
              <w:t>Video descriptions, comments</w:t>
            </w:r>
          </w:p>
        </w:tc>
        <w:tc>
          <w:tcPr>
            <w:tcW w:type="dxa" w:w="2351"/>
          </w:tcPr>
          <w:p>
            <w:pPr>
              <w:spacing w:before="60" w:after="60"/>
            </w:pPr>
            <w:r/>
            <w:r>
              <w:rPr>
                <w:rFonts w:ascii="Lato" w:hAnsi="Lato"/>
                <w:b w:val="0"/>
                <w:i w:val="0"/>
                <w:color w:val="374151"/>
                <w:sz w:val="20"/>
              </w:rPr>
              <w:t>YouTube Data API v3</w:t>
            </w:r>
          </w:p>
        </w:tc>
        <w:tc>
          <w:tcPr>
            <w:tcW w:type="dxa" w:w="2351"/>
          </w:tcPr>
          <w:p>
            <w:pPr>
              <w:spacing w:before="60" w:after="60"/>
            </w:pPr>
            <w:r/>
            <w:r>
              <w:rPr>
                <w:rFonts w:ascii="Lato" w:hAnsi="Lato"/>
                <w:b w:val="0"/>
                <w:i w:val="0"/>
                <w:color w:val="374151"/>
                <w:sz w:val="20"/>
              </w:rPr>
              <w:t>887</w:t>
            </w:r>
          </w:p>
        </w:tc>
      </w:tr>
      <w:tr>
        <w:tc>
          <w:tcPr>
            <w:tcW w:type="dxa" w:w="2351"/>
          </w:tcPr>
          <w:p>
            <w:pPr>
              <w:spacing w:before="60" w:after="60"/>
            </w:pPr>
            <w:r/>
            <w:r>
              <w:rPr>
                <w:rFonts w:ascii="Lato" w:hAnsi="Lato"/>
                <w:b w:val="0"/>
                <w:i w:val="0"/>
                <w:color w:val="374151"/>
                <w:sz w:val="20"/>
              </w:rPr>
              <w:t>Reddit</w:t>
            </w:r>
          </w:p>
        </w:tc>
        <w:tc>
          <w:tcPr>
            <w:tcW w:type="dxa" w:w="2351"/>
          </w:tcPr>
          <w:p>
            <w:pPr>
              <w:spacing w:before="60" w:after="60"/>
            </w:pPr>
            <w:r/>
            <w:r>
              <w:rPr>
                <w:rFonts w:ascii="Lato" w:hAnsi="Lato"/>
                <w:b w:val="0"/>
                <w:i w:val="0"/>
                <w:color w:val="374151"/>
                <w:sz w:val="20"/>
              </w:rPr>
              <w:t>Forum discussions, comments</w:t>
            </w:r>
          </w:p>
        </w:tc>
        <w:tc>
          <w:tcPr>
            <w:tcW w:type="dxa" w:w="2351"/>
          </w:tcPr>
          <w:p>
            <w:pPr>
              <w:spacing w:before="60" w:after="60"/>
            </w:pPr>
            <w:r/>
            <w:r>
              <w:rPr>
                <w:rFonts w:ascii="Lato" w:hAnsi="Lato"/>
                <w:b w:val="0"/>
                <w:i w:val="0"/>
                <w:color w:val="374151"/>
                <w:sz w:val="20"/>
              </w:rPr>
              <w:t>Public JSON API</w:t>
            </w:r>
          </w:p>
        </w:tc>
        <w:tc>
          <w:tcPr>
            <w:tcW w:type="dxa" w:w="2351"/>
          </w:tcPr>
          <w:p>
            <w:pPr>
              <w:spacing w:before="60" w:after="60"/>
            </w:pPr>
            <w:r/>
            <w:r>
              <w:rPr>
                <w:rFonts w:ascii="Lato" w:hAnsi="Lato"/>
                <w:b w:val="0"/>
                <w:i w:val="0"/>
                <w:color w:val="374151"/>
                <w:sz w:val="20"/>
              </w:rPr>
              <w:t>310</w:t>
            </w:r>
          </w:p>
        </w:tc>
      </w:tr>
      <w:tr>
        <w:tc>
          <w:tcPr>
            <w:tcW w:type="dxa" w:w="2351"/>
          </w:tcPr>
          <w:p>
            <w:pPr>
              <w:spacing w:before="60" w:after="60"/>
            </w:pPr>
            <w:r/>
            <w:r>
              <w:rPr>
                <w:rFonts w:ascii="Lato" w:hAnsi="Lato"/>
                <w:b w:val="0"/>
                <w:i w:val="0"/>
                <w:color w:val="374151"/>
                <w:sz w:val="20"/>
              </w:rPr>
              <w:t>Instagram</w:t>
            </w:r>
          </w:p>
        </w:tc>
        <w:tc>
          <w:tcPr>
            <w:tcW w:type="dxa" w:w="2351"/>
          </w:tcPr>
          <w:p>
            <w:pPr>
              <w:spacing w:before="60" w:after="60"/>
            </w:pPr>
            <w:r/>
            <w:r>
              <w:rPr>
                <w:rFonts w:ascii="Lato" w:hAnsi="Lato"/>
                <w:b w:val="0"/>
                <w:i w:val="0"/>
                <w:color w:val="374151"/>
                <w:sz w:val="20"/>
              </w:rPr>
              <w:t>Posts, reels, comments</w:t>
            </w:r>
          </w:p>
        </w:tc>
        <w:tc>
          <w:tcPr>
            <w:tcW w:type="dxa" w:w="2351"/>
          </w:tcPr>
          <w:p>
            <w:pPr>
              <w:spacing w:before="60" w:after="60"/>
            </w:pPr>
            <w:r/>
            <w:r>
              <w:rPr>
                <w:rFonts w:ascii="Lato" w:hAnsi="Lato"/>
                <w:b w:val="0"/>
                <w:i w:val="0"/>
                <w:color w:val="374151"/>
                <w:sz w:val="20"/>
              </w:rPr>
              <w:t>Platform API / external collection</w:t>
            </w:r>
          </w:p>
        </w:tc>
        <w:tc>
          <w:tcPr>
            <w:tcW w:type="dxa" w:w="2351"/>
          </w:tcPr>
          <w:p>
            <w:pPr>
              <w:spacing w:before="60" w:after="60"/>
            </w:pPr>
            <w:r/>
            <w:r>
              <w:rPr>
                <w:rFonts w:ascii="Lato" w:hAnsi="Lato"/>
                <w:b w:val="0"/>
                <w:i w:val="0"/>
                <w:color w:val="374151"/>
                <w:sz w:val="20"/>
              </w:rPr>
              <w:t>53</w:t>
            </w:r>
          </w:p>
        </w:tc>
      </w:tr>
    </w:tbl>
    <w:p>
      <w:pPr>
        <w:spacing w:after="120" w:before="0"/>
      </w:pPr>
      <w:r>
        <w:rPr>
          <w:rFonts w:ascii="Lato" w:hAnsi="Lato"/>
          <w:b w:val="0"/>
          <w:i w:val="0"/>
          <w:sz w:val="22"/>
        </w:rPr>
        <w:t>Corpus composition: 2,583 posts and 933 comments. Each comment is treated as an independent item linked to its parent post for thread-level analysis.</w:t>
      </w:r>
    </w:p>
    <w:p>
      <w:pPr>
        <w:pStyle w:val="Heading2"/>
        <w:jc w:val="left"/>
      </w:pPr>
      <w:r>
        <w:rPr>
          <w:rFonts w:ascii="Lato" w:hAnsi="Lato"/>
          <w:b/>
          <w:color w:val="1E3A5F"/>
          <w:sz w:val="32"/>
        </w:rPr>
        <w:t>Geographic Coverage</w:t>
      </w:r>
    </w:p>
    <w:p>
      <w:pPr>
        <w:spacing w:after="120" w:before="0"/>
      </w:pPr>
      <w:r>
        <w:rPr>
          <w:rFonts w:ascii="Lato" w:hAnsi="Lato"/>
          <w:b w:val="0"/>
          <w:i w:val="0"/>
          <w:sz w:val="22"/>
        </w:rPr>
        <w:t>Primary: India. Content selected and filtered for relevance to the India market context. Items originating from other geographies are retained where they contribute relevant consumer perspective (e.g., diaspora experiences, cross-market comparisons).</w:t>
      </w:r>
    </w:p>
    <w:p>
      <w:pPr>
        <w:pStyle w:val="Heading2"/>
        <w:jc w:val="left"/>
      </w:pPr>
      <w:r>
        <w:rPr>
          <w:rFonts w:ascii="Lato" w:hAnsi="Lato"/>
          <w:b/>
          <w:color w:val="1E3A5F"/>
          <w:sz w:val="32"/>
        </w:rPr>
        <w:t>Temporal Coverage</w:t>
      </w:r>
    </w:p>
    <w:p>
      <w:pPr>
        <w:spacing w:after="120" w:before="0"/>
      </w:pPr>
      <w:r>
        <w:rPr>
          <w:rFonts w:ascii="Lato" w:hAnsi="Lato"/>
          <w:b w:val="0"/>
          <w:i w:val="0"/>
          <w:sz w:val="22"/>
        </w:rPr>
        <w:t>Data range: Dec 2024 - Jan 2026 (12 months). Items span the full collection period with no temporal exclusion applied at normalization.</w:t>
      </w:r>
    </w:p>
    <w:p>
      <w:pPr>
        <w:pStyle w:val="Heading2"/>
        <w:jc w:val="left"/>
      </w:pPr>
      <w:r>
        <w:rPr>
          <w:rFonts w:ascii="Lato" w:hAnsi="Lato"/>
          <w:b/>
          <w:color w:val="1E3A5F"/>
          <w:sz w:val="32"/>
        </w:rPr>
        <w:t>Demographic Accuracy</w:t>
      </w:r>
    </w:p>
    <w:p>
      <w:pPr>
        <w:spacing w:after="120" w:before="0"/>
      </w:pPr>
      <w:r>
        <w:rPr>
          <w:rFonts w:ascii="Lato" w:hAnsi="Lato"/>
          <w:b w:val="0"/>
          <w:i w:val="0"/>
          <w:sz w:val="22"/>
        </w:rPr>
        <w:t>This methodology explicitly documents platform-level composition so that interpretation accounts for known biases: YouTube is more balanced across gender but skews younger audiences; creator content dominates over consumer discussion; Instagram skews female, urban, and 18-34 with strong influencer and health-creator content that shapes but does not represent consumer opinion; Twitter/X skews male, urban, politically engaged, and 25-44; high-follower accounts dominate visibility while ordinary consumer voices are underrepresented; Reddit skews male, urban, and 18-34.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