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India Hair Colour</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7,688</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Jun 2016 -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11</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+25.4%</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059669"/>
                <w:sz w:val="26"/>
              </w:rPr>
              <w:t>73/100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5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75,964 raw data points collected across all sources, 18,153 remained after deduplication and quality filtering, and 7,688 passed LLM relevance classification (10.1% of total collected). These 7,688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75,964</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18,153</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7,688</w:t>
            </w:r>
          </w:p>
        </w:tc>
        <w:tc>
          <w:tcPr>
            <w:tcW w:type="dxa" w:w="3135"/>
          </w:tcPr>
          <w:p>
            <w:pPr>
              <w:spacing w:before="60" w:after="60"/>
            </w:pPr>
            <w:r/>
            <w:r>
              <w:rPr>
                <w:rFonts w:ascii="Lato" w:hAnsi="Lato"/>
                <w:b w:val="0"/>
                <w:i w:val="0"/>
                <w:color w:val="374151"/>
                <w:sz w:val="20"/>
              </w:rPr>
              <w:t>LLM relevance filter — 10.1%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Twitter</w:t>
            </w:r>
          </w:p>
        </w:tc>
        <w:tc>
          <w:tcPr>
            <w:tcW w:type="dxa" w:w="3135"/>
          </w:tcPr>
          <w:p>
            <w:pPr>
              <w:spacing w:before="60" w:after="60"/>
            </w:pPr>
            <w:r/>
            <w:r>
              <w:rPr>
                <w:rFonts w:ascii="Lato" w:hAnsi="Lato"/>
                <w:b w:val="0"/>
                <w:i w:val="0"/>
                <w:color w:val="374151"/>
                <w:sz w:val="20"/>
              </w:rPr>
              <w:t>3223</w:t>
            </w:r>
          </w:p>
        </w:tc>
        <w:tc>
          <w:tcPr>
            <w:tcW w:type="dxa" w:w="3135"/>
          </w:tcPr>
          <w:p>
            <w:pPr>
              <w:spacing w:before="60" w:after="60"/>
            </w:pPr>
            <w:r/>
            <w:r>
              <w:rPr>
                <w:rFonts w:ascii="Lato" w:hAnsi="Lato"/>
                <w:b w:val="0"/>
                <w:i w:val="0"/>
                <w:color w:val="374151"/>
                <w:sz w:val="20"/>
              </w:rPr>
              <w:t>41.9%</w:t>
            </w:r>
          </w:p>
        </w:tc>
      </w:tr>
      <w:tr>
        <w:tc>
          <w:tcPr>
            <w:tcW w:type="dxa" w:w="3135"/>
          </w:tcPr>
          <w:p>
            <w:pPr>
              <w:spacing w:before="60" w:after="60"/>
            </w:pPr>
            <w:r/>
            <w:r>
              <w:rPr>
                <w:rFonts w:ascii="Lato" w:hAnsi="Lato"/>
                <w:b w:val="0"/>
                <w:i w:val="0"/>
                <w:color w:val="374151"/>
                <w:sz w:val="20"/>
              </w:rPr>
              <w:t>Amazon</w:t>
            </w:r>
          </w:p>
        </w:tc>
        <w:tc>
          <w:tcPr>
            <w:tcW w:type="dxa" w:w="3135"/>
          </w:tcPr>
          <w:p>
            <w:pPr>
              <w:spacing w:before="60" w:after="60"/>
            </w:pPr>
            <w:r/>
            <w:r>
              <w:rPr>
                <w:rFonts w:ascii="Lato" w:hAnsi="Lato"/>
                <w:b w:val="0"/>
                <w:i w:val="0"/>
                <w:color w:val="374151"/>
                <w:sz w:val="20"/>
              </w:rPr>
              <w:t>2023</w:t>
            </w:r>
          </w:p>
        </w:tc>
        <w:tc>
          <w:tcPr>
            <w:tcW w:type="dxa" w:w="3135"/>
          </w:tcPr>
          <w:p>
            <w:pPr>
              <w:spacing w:before="60" w:after="60"/>
            </w:pPr>
            <w:r/>
            <w:r>
              <w:rPr>
                <w:rFonts w:ascii="Lato" w:hAnsi="Lato"/>
                <w:b w:val="0"/>
                <w:i w:val="0"/>
                <w:color w:val="374151"/>
                <w:sz w:val="20"/>
              </w:rPr>
              <w:t>26.3%</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1656</w:t>
            </w:r>
          </w:p>
        </w:tc>
        <w:tc>
          <w:tcPr>
            <w:tcW w:type="dxa" w:w="3135"/>
          </w:tcPr>
          <w:p>
            <w:pPr>
              <w:spacing w:before="60" w:after="60"/>
            </w:pPr>
            <w:r/>
            <w:r>
              <w:rPr>
                <w:rFonts w:ascii="Lato" w:hAnsi="Lato"/>
                <w:b w:val="0"/>
                <w:i w:val="0"/>
                <w:color w:val="374151"/>
                <w:sz w:val="20"/>
              </w:rPr>
              <w:t>21.5%</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607</w:t>
            </w:r>
          </w:p>
        </w:tc>
        <w:tc>
          <w:tcPr>
            <w:tcW w:type="dxa" w:w="3135"/>
          </w:tcPr>
          <w:p>
            <w:pPr>
              <w:spacing w:before="60" w:after="60"/>
            </w:pPr>
            <w:r/>
            <w:r>
              <w:rPr>
                <w:rFonts w:ascii="Lato" w:hAnsi="Lato"/>
                <w:b w:val="0"/>
                <w:i w:val="0"/>
                <w:color w:val="374151"/>
                <w:sz w:val="20"/>
              </w:rPr>
              <w:t>7.9%</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179</w:t>
            </w:r>
          </w:p>
        </w:tc>
        <w:tc>
          <w:tcPr>
            <w:tcW w:type="dxa" w:w="3135"/>
          </w:tcPr>
          <w:p>
            <w:pPr>
              <w:spacing w:before="60" w:after="60"/>
            </w:pPr>
            <w:r/>
            <w:r>
              <w:rPr>
                <w:rFonts w:ascii="Lato" w:hAnsi="Lato"/>
                <w:b w:val="0"/>
                <w:i w:val="0"/>
                <w:color w:val="374151"/>
                <w:sz w:val="20"/>
              </w:rPr>
              <w:t>2.3%</w:t>
            </w:r>
          </w:p>
        </w:tc>
      </w:tr>
    </w:tbl>
    <w:p>
      <w:pPr>
        <w:jc w:val="center"/>
      </w:pPr>
      <w:r>
        <w:drawing>
          <wp:inline xmlns:a="http://schemas.openxmlformats.org/drawingml/2006/main" xmlns:pic="http://schemas.openxmlformats.org/drawingml/2006/picture">
            <wp:extent cx="4114800" cy="1409821"/>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9821"/>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+25.4%  |  Positive: 2938 (38.2%)  |  Negative: 989 (12.9%)  |  Neutral: 3498 (45.5%)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7,688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5542</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713</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463</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364</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180</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152</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135</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90</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49</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Ease Of Use</w:t>
            </w:r>
          </w:p>
        </w:tc>
        <w:tc>
          <w:tcPr>
            <w:tcW w:type="dxa" w:w="1881"/>
          </w:tcPr>
          <w:p>
            <w:pPr>
              <w:spacing w:before="60" w:after="60"/>
            </w:pPr>
            <w:r/>
            <w:r>
              <w:rPr>
                <w:rFonts w:ascii="Lato" w:hAnsi="Lato"/>
                <w:b w:val="0"/>
                <w:i w:val="0"/>
                <w:color w:val="374151"/>
                <w:sz w:val="20"/>
              </w:rPr>
              <w:t>4198</w:t>
            </w:r>
          </w:p>
        </w:tc>
        <w:tc>
          <w:tcPr>
            <w:tcW w:type="dxa" w:w="1881"/>
          </w:tcPr>
          <w:p>
            <w:pPr>
              <w:spacing w:before="60" w:after="60"/>
            </w:pPr>
            <w:r/>
            <w:r>
              <w:rPr>
                <w:rFonts w:ascii="Lato" w:hAnsi="Lato"/>
                <w:b w:val="0"/>
                <w:i w:val="0"/>
                <w:color w:val="374151"/>
                <w:sz w:val="20"/>
              </w:rPr>
              <w:t>970</w:t>
            </w:r>
          </w:p>
        </w:tc>
        <w:tc>
          <w:tcPr>
            <w:tcW w:type="dxa" w:w="1881"/>
          </w:tcPr>
          <w:p>
            <w:pPr>
              <w:spacing w:before="60" w:after="60"/>
            </w:pPr>
            <w:r/>
            <w:r>
              <w:rPr>
                <w:rFonts w:ascii="Lato" w:hAnsi="Lato"/>
                <w:b w:val="0"/>
                <w:i w:val="0"/>
                <w:color w:val="374151"/>
                <w:sz w:val="20"/>
              </w:rPr>
              <w:t>144</w:t>
            </w:r>
          </w:p>
        </w:tc>
        <w:tc>
          <w:tcPr>
            <w:tcW w:type="dxa" w:w="1881"/>
          </w:tcPr>
          <w:p>
            <w:pPr>
              <w:spacing w:before="60" w:after="60"/>
            </w:pPr>
            <w:r/>
            <w:r>
              <w:rPr>
                <w:rFonts w:ascii="Lato" w:hAnsi="Lato"/>
                <w:b w:val="0"/>
                <w:i w:val="0"/>
                <w:color w:val="374151"/>
                <w:sz w:val="20"/>
              </w:rPr>
              <w:t>+20%</w:t>
            </w:r>
          </w:p>
        </w:tc>
      </w:tr>
      <w:tr>
        <w:tc>
          <w:tcPr>
            <w:tcW w:type="dxa" w:w="1881"/>
          </w:tcPr>
          <w:p>
            <w:pPr>
              <w:spacing w:before="60" w:after="60"/>
            </w:pPr>
            <w:r/>
            <w:r>
              <w:rPr>
                <w:rFonts w:ascii="Lato" w:hAnsi="Lato"/>
                <w:b w:val="0"/>
                <w:i w:val="0"/>
                <w:color w:val="374151"/>
                <w:sz w:val="20"/>
              </w:rPr>
              <w:t>Colour Quality</w:t>
            </w:r>
          </w:p>
        </w:tc>
        <w:tc>
          <w:tcPr>
            <w:tcW w:type="dxa" w:w="1881"/>
          </w:tcPr>
          <w:p>
            <w:pPr>
              <w:spacing w:before="60" w:after="60"/>
            </w:pPr>
            <w:r/>
            <w:r>
              <w:rPr>
                <w:rFonts w:ascii="Lato" w:hAnsi="Lato"/>
                <w:b w:val="0"/>
                <w:i w:val="0"/>
                <w:color w:val="374151"/>
                <w:sz w:val="20"/>
              </w:rPr>
              <w:t>3988</w:t>
            </w:r>
          </w:p>
        </w:tc>
        <w:tc>
          <w:tcPr>
            <w:tcW w:type="dxa" w:w="1881"/>
          </w:tcPr>
          <w:p>
            <w:pPr>
              <w:spacing w:before="60" w:after="60"/>
            </w:pPr>
            <w:r/>
            <w:r>
              <w:rPr>
                <w:rFonts w:ascii="Lato" w:hAnsi="Lato"/>
                <w:b w:val="0"/>
                <w:i w:val="0"/>
                <w:color w:val="374151"/>
                <w:sz w:val="20"/>
              </w:rPr>
              <w:t>1055</w:t>
            </w:r>
          </w:p>
        </w:tc>
        <w:tc>
          <w:tcPr>
            <w:tcW w:type="dxa" w:w="1881"/>
          </w:tcPr>
          <w:p>
            <w:pPr>
              <w:spacing w:before="60" w:after="60"/>
            </w:pPr>
            <w:r/>
            <w:r>
              <w:rPr>
                <w:rFonts w:ascii="Lato" w:hAnsi="Lato"/>
                <w:b w:val="0"/>
                <w:i w:val="0"/>
                <w:color w:val="374151"/>
                <w:sz w:val="20"/>
              </w:rPr>
              <w:t>200</w:t>
            </w:r>
          </w:p>
        </w:tc>
        <w:tc>
          <w:tcPr>
            <w:tcW w:type="dxa" w:w="1881"/>
          </w:tcPr>
          <w:p>
            <w:pPr>
              <w:spacing w:before="60" w:after="60"/>
            </w:pPr>
            <w:r/>
            <w:r>
              <w:rPr>
                <w:rFonts w:ascii="Lato" w:hAnsi="Lato"/>
                <w:b w:val="0"/>
                <w:i w:val="0"/>
                <w:color w:val="374151"/>
                <w:sz w:val="20"/>
              </w:rPr>
              <w:t>+21%</w:t>
            </w:r>
          </w:p>
        </w:tc>
      </w:tr>
      <w:tr>
        <w:tc>
          <w:tcPr>
            <w:tcW w:type="dxa" w:w="1881"/>
          </w:tcPr>
          <w:p>
            <w:pPr>
              <w:spacing w:before="60" w:after="60"/>
            </w:pPr>
            <w:r/>
            <w:r>
              <w:rPr>
                <w:rFonts w:ascii="Lato" w:hAnsi="Lato"/>
                <w:b w:val="0"/>
                <w:i w:val="0"/>
                <w:color w:val="374151"/>
                <w:sz w:val="20"/>
              </w:rPr>
              <w:t>Longevity</w:t>
            </w:r>
          </w:p>
        </w:tc>
        <w:tc>
          <w:tcPr>
            <w:tcW w:type="dxa" w:w="1881"/>
          </w:tcPr>
          <w:p>
            <w:pPr>
              <w:spacing w:before="60" w:after="60"/>
            </w:pPr>
            <w:r/>
            <w:r>
              <w:rPr>
                <w:rFonts w:ascii="Lato" w:hAnsi="Lato"/>
                <w:b w:val="0"/>
                <w:i w:val="0"/>
                <w:color w:val="374151"/>
                <w:sz w:val="20"/>
              </w:rPr>
              <w:t>3482</w:t>
            </w:r>
          </w:p>
        </w:tc>
        <w:tc>
          <w:tcPr>
            <w:tcW w:type="dxa" w:w="1881"/>
          </w:tcPr>
          <w:p>
            <w:pPr>
              <w:spacing w:before="60" w:after="60"/>
            </w:pPr>
            <w:r/>
            <w:r>
              <w:rPr>
                <w:rFonts w:ascii="Lato" w:hAnsi="Lato"/>
                <w:b w:val="0"/>
                <w:i w:val="0"/>
                <w:color w:val="374151"/>
                <w:sz w:val="20"/>
              </w:rPr>
              <w:t>763</w:t>
            </w:r>
          </w:p>
        </w:tc>
        <w:tc>
          <w:tcPr>
            <w:tcW w:type="dxa" w:w="1881"/>
          </w:tcPr>
          <w:p>
            <w:pPr>
              <w:spacing w:before="60" w:after="60"/>
            </w:pPr>
            <w:r/>
            <w:r>
              <w:rPr>
                <w:rFonts w:ascii="Lato" w:hAnsi="Lato"/>
                <w:b w:val="0"/>
                <w:i w:val="0"/>
                <w:color w:val="374151"/>
                <w:sz w:val="20"/>
              </w:rPr>
              <w:t>257</w:t>
            </w:r>
          </w:p>
        </w:tc>
        <w:tc>
          <w:tcPr>
            <w:tcW w:type="dxa" w:w="1881"/>
          </w:tcPr>
          <w:p>
            <w:pPr>
              <w:spacing w:before="60" w:after="60"/>
            </w:pPr>
            <w:r/>
            <w:r>
              <w:rPr>
                <w:rFonts w:ascii="Lato" w:hAnsi="Lato"/>
                <w:b w:val="0"/>
                <w:i w:val="0"/>
                <w:color w:val="374151"/>
                <w:sz w:val="20"/>
              </w:rPr>
              <w:t>+15%</w:t>
            </w:r>
          </w:p>
        </w:tc>
      </w:tr>
      <w:tr>
        <w:tc>
          <w:tcPr>
            <w:tcW w:type="dxa" w:w="1881"/>
          </w:tcPr>
          <w:p>
            <w:pPr>
              <w:spacing w:before="60" w:after="60"/>
            </w:pPr>
            <w:r/>
            <w:r>
              <w:rPr>
                <w:rFonts w:ascii="Lato" w:hAnsi="Lato"/>
                <w:b w:val="0"/>
                <w:i w:val="0"/>
                <w:color w:val="374151"/>
                <w:sz w:val="20"/>
              </w:rPr>
              <w:t>Safety</w:t>
            </w:r>
          </w:p>
        </w:tc>
        <w:tc>
          <w:tcPr>
            <w:tcW w:type="dxa" w:w="1881"/>
          </w:tcPr>
          <w:p>
            <w:pPr>
              <w:spacing w:before="60" w:after="60"/>
            </w:pPr>
            <w:r/>
            <w:r>
              <w:rPr>
                <w:rFonts w:ascii="Lato" w:hAnsi="Lato"/>
                <w:b w:val="0"/>
                <w:i w:val="0"/>
                <w:color w:val="374151"/>
                <w:sz w:val="20"/>
              </w:rPr>
              <w:t>2782</w:t>
            </w:r>
          </w:p>
        </w:tc>
        <w:tc>
          <w:tcPr>
            <w:tcW w:type="dxa" w:w="1881"/>
          </w:tcPr>
          <w:p>
            <w:pPr>
              <w:spacing w:before="60" w:after="60"/>
            </w:pPr>
            <w:r/>
            <w:r>
              <w:rPr>
                <w:rFonts w:ascii="Lato" w:hAnsi="Lato"/>
                <w:b w:val="0"/>
                <w:i w:val="0"/>
                <w:color w:val="374151"/>
                <w:sz w:val="20"/>
              </w:rPr>
              <w:t>760</w:t>
            </w:r>
          </w:p>
        </w:tc>
        <w:tc>
          <w:tcPr>
            <w:tcW w:type="dxa" w:w="1881"/>
          </w:tcPr>
          <w:p>
            <w:pPr>
              <w:spacing w:before="60" w:after="60"/>
            </w:pPr>
            <w:r/>
            <w:r>
              <w:rPr>
                <w:rFonts w:ascii="Lato" w:hAnsi="Lato"/>
                <w:b w:val="0"/>
                <w:i w:val="0"/>
                <w:color w:val="374151"/>
                <w:sz w:val="20"/>
              </w:rPr>
              <w:t>200</w:t>
            </w:r>
          </w:p>
        </w:tc>
        <w:tc>
          <w:tcPr>
            <w:tcW w:type="dxa" w:w="1881"/>
          </w:tcPr>
          <w:p>
            <w:pPr>
              <w:spacing w:before="60" w:after="60"/>
            </w:pPr>
            <w:r/>
            <w:r>
              <w:rPr>
                <w:rFonts w:ascii="Lato" w:hAnsi="Lato"/>
                <w:b w:val="0"/>
                <w:i w:val="0"/>
                <w:color w:val="374151"/>
                <w:sz w:val="20"/>
              </w:rPr>
              <w:t>+20%</w:t>
            </w:r>
          </w:p>
        </w:tc>
      </w:tr>
      <w:tr>
        <w:tc>
          <w:tcPr>
            <w:tcW w:type="dxa" w:w="1881"/>
          </w:tcPr>
          <w:p>
            <w:pPr>
              <w:spacing w:before="60" w:after="60"/>
            </w:pPr>
            <w:r/>
            <w:r>
              <w:rPr>
                <w:rFonts w:ascii="Lato" w:hAnsi="Lato"/>
                <w:b w:val="0"/>
                <w:i w:val="0"/>
                <w:color w:val="374151"/>
                <w:sz w:val="20"/>
              </w:rPr>
              <w:t>Value</w:t>
            </w:r>
          </w:p>
        </w:tc>
        <w:tc>
          <w:tcPr>
            <w:tcW w:type="dxa" w:w="1881"/>
          </w:tcPr>
          <w:p>
            <w:pPr>
              <w:spacing w:before="60" w:after="60"/>
            </w:pPr>
            <w:r/>
            <w:r>
              <w:rPr>
                <w:rFonts w:ascii="Lato" w:hAnsi="Lato"/>
                <w:b w:val="0"/>
                <w:i w:val="0"/>
                <w:color w:val="374151"/>
                <w:sz w:val="20"/>
              </w:rPr>
              <w:t>1662</w:t>
            </w:r>
          </w:p>
        </w:tc>
        <w:tc>
          <w:tcPr>
            <w:tcW w:type="dxa" w:w="1881"/>
          </w:tcPr>
          <w:p>
            <w:pPr>
              <w:spacing w:before="60" w:after="60"/>
            </w:pPr>
            <w:r/>
            <w:r>
              <w:rPr>
                <w:rFonts w:ascii="Lato" w:hAnsi="Lato"/>
                <w:b w:val="0"/>
                <w:i w:val="0"/>
                <w:color w:val="374151"/>
                <w:sz w:val="20"/>
              </w:rPr>
              <w:t>468</w:t>
            </w:r>
          </w:p>
        </w:tc>
        <w:tc>
          <w:tcPr>
            <w:tcW w:type="dxa" w:w="1881"/>
          </w:tcPr>
          <w:p>
            <w:pPr>
              <w:spacing w:before="60" w:after="60"/>
            </w:pPr>
            <w:r/>
            <w:r>
              <w:rPr>
                <w:rFonts w:ascii="Lato" w:hAnsi="Lato"/>
                <w:b w:val="0"/>
                <w:i w:val="0"/>
                <w:color w:val="374151"/>
                <w:sz w:val="20"/>
              </w:rPr>
              <w:t>202</w:t>
            </w:r>
          </w:p>
        </w:tc>
        <w:tc>
          <w:tcPr>
            <w:tcW w:type="dxa" w:w="1881"/>
          </w:tcPr>
          <w:p>
            <w:pPr>
              <w:spacing w:before="60" w:after="60"/>
            </w:pPr>
            <w:r/>
            <w:r>
              <w:rPr>
                <w:rFonts w:ascii="Lato" w:hAnsi="Lato"/>
                <w:b w:val="0"/>
                <w:i w:val="0"/>
                <w:color w:val="374151"/>
                <w:sz w:val="20"/>
              </w:rPr>
              <w:t>+16%</w:t>
            </w:r>
          </w:p>
        </w:tc>
      </w:tr>
      <w:tr>
        <w:tc>
          <w:tcPr>
            <w:tcW w:type="dxa" w:w="1881"/>
          </w:tcPr>
          <w:p>
            <w:pPr>
              <w:spacing w:before="60" w:after="60"/>
            </w:pPr>
            <w:r/>
            <w:r>
              <w:rPr>
                <w:rFonts w:ascii="Lato" w:hAnsi="Lato"/>
                <w:b w:val="0"/>
                <w:i w:val="0"/>
                <w:color w:val="374151"/>
                <w:sz w:val="20"/>
              </w:rPr>
              <w:t>Damage</w:t>
            </w:r>
          </w:p>
        </w:tc>
        <w:tc>
          <w:tcPr>
            <w:tcW w:type="dxa" w:w="1881"/>
          </w:tcPr>
          <w:p>
            <w:pPr>
              <w:spacing w:before="60" w:after="60"/>
            </w:pPr>
            <w:r/>
            <w:r>
              <w:rPr>
                <w:rFonts w:ascii="Lato" w:hAnsi="Lato"/>
                <w:b w:val="0"/>
                <w:i w:val="0"/>
                <w:color w:val="374151"/>
                <w:sz w:val="20"/>
              </w:rPr>
              <w:t>1642</w:t>
            </w:r>
          </w:p>
        </w:tc>
        <w:tc>
          <w:tcPr>
            <w:tcW w:type="dxa" w:w="1881"/>
          </w:tcPr>
          <w:p>
            <w:pPr>
              <w:spacing w:before="60" w:after="60"/>
            </w:pPr>
            <w:r/>
            <w:r>
              <w:rPr>
                <w:rFonts w:ascii="Lato" w:hAnsi="Lato"/>
                <w:b w:val="0"/>
                <w:i w:val="0"/>
                <w:color w:val="374151"/>
                <w:sz w:val="20"/>
              </w:rPr>
              <w:t>376</w:t>
            </w:r>
          </w:p>
        </w:tc>
        <w:tc>
          <w:tcPr>
            <w:tcW w:type="dxa" w:w="1881"/>
          </w:tcPr>
          <w:p>
            <w:pPr>
              <w:spacing w:before="60" w:after="60"/>
            </w:pPr>
            <w:r/>
            <w:r>
              <w:rPr>
                <w:rFonts w:ascii="Lato" w:hAnsi="Lato"/>
                <w:b w:val="0"/>
                <w:i w:val="0"/>
                <w:color w:val="374151"/>
                <w:sz w:val="20"/>
              </w:rPr>
              <w:t>260</w:t>
            </w:r>
          </w:p>
        </w:tc>
        <w:tc>
          <w:tcPr>
            <w:tcW w:type="dxa" w:w="1881"/>
          </w:tcPr>
          <w:p>
            <w:pPr>
              <w:spacing w:before="60" w:after="60"/>
            </w:pPr>
            <w:r/>
            <w:r>
              <w:rPr>
                <w:rFonts w:ascii="Lato" w:hAnsi="Lato"/>
                <w:b w:val="0"/>
                <w:i w:val="0"/>
                <w:color w:val="374151"/>
                <w:sz w:val="20"/>
              </w:rPr>
              <w:t>+7%</w:t>
            </w:r>
          </w:p>
        </w:tc>
      </w:tr>
      <w:tr>
        <w:tc>
          <w:tcPr>
            <w:tcW w:type="dxa" w:w="1881"/>
          </w:tcPr>
          <w:p>
            <w:pPr>
              <w:spacing w:before="60" w:after="60"/>
            </w:pPr>
            <w:r/>
            <w:r>
              <w:rPr>
                <w:rFonts w:ascii="Lato" w:hAnsi="Lato"/>
                <w:b w:val="0"/>
                <w:i w:val="0"/>
                <w:color w:val="374151"/>
                <w:sz w:val="20"/>
              </w:rPr>
              <w:t>Brand Trust</w:t>
            </w:r>
          </w:p>
        </w:tc>
        <w:tc>
          <w:tcPr>
            <w:tcW w:type="dxa" w:w="1881"/>
          </w:tcPr>
          <w:p>
            <w:pPr>
              <w:spacing w:before="60" w:after="60"/>
            </w:pPr>
            <w:r/>
            <w:r>
              <w:rPr>
                <w:rFonts w:ascii="Lato" w:hAnsi="Lato"/>
                <w:b w:val="0"/>
                <w:i w:val="0"/>
                <w:color w:val="374151"/>
                <w:sz w:val="20"/>
              </w:rPr>
              <w:t>1198</w:t>
            </w:r>
          </w:p>
        </w:tc>
        <w:tc>
          <w:tcPr>
            <w:tcW w:type="dxa" w:w="1881"/>
          </w:tcPr>
          <w:p>
            <w:pPr>
              <w:spacing w:before="60" w:after="60"/>
            </w:pPr>
            <w:r/>
            <w:r>
              <w:rPr>
                <w:rFonts w:ascii="Lato" w:hAnsi="Lato"/>
                <w:b w:val="0"/>
                <w:i w:val="0"/>
                <w:color w:val="374151"/>
                <w:sz w:val="20"/>
              </w:rPr>
              <w:t>349</w:t>
            </w:r>
          </w:p>
        </w:tc>
        <w:tc>
          <w:tcPr>
            <w:tcW w:type="dxa" w:w="1881"/>
          </w:tcPr>
          <w:p>
            <w:pPr>
              <w:spacing w:before="60" w:after="60"/>
            </w:pPr>
            <w:r/>
            <w:r>
              <w:rPr>
                <w:rFonts w:ascii="Lato" w:hAnsi="Lato"/>
                <w:b w:val="0"/>
                <w:i w:val="0"/>
                <w:color w:val="374151"/>
                <w:sz w:val="20"/>
              </w:rPr>
              <w:t>142</w:t>
            </w:r>
          </w:p>
        </w:tc>
        <w:tc>
          <w:tcPr>
            <w:tcW w:type="dxa" w:w="1881"/>
          </w:tcPr>
          <w:p>
            <w:pPr>
              <w:spacing w:before="60" w:after="60"/>
            </w:pPr>
            <w:r/>
            <w:r>
              <w:rPr>
                <w:rFonts w:ascii="Lato" w:hAnsi="Lato"/>
                <w:b w:val="0"/>
                <w:i w:val="0"/>
                <w:color w:val="374151"/>
                <w:sz w:val="20"/>
              </w:rPr>
              <w:t>+17%</w:t>
            </w:r>
          </w:p>
        </w:tc>
      </w:tr>
      <w:tr>
        <w:tc>
          <w:tcPr>
            <w:tcW w:type="dxa" w:w="1881"/>
          </w:tcPr>
          <w:p>
            <w:pPr>
              <w:spacing w:before="60" w:after="60"/>
            </w:pPr>
            <w:r/>
            <w:r>
              <w:rPr>
                <w:rFonts w:ascii="Lato" w:hAnsi="Lato"/>
                <w:b w:val="0"/>
                <w:i w:val="0"/>
                <w:color w:val="374151"/>
                <w:sz w:val="20"/>
              </w:rPr>
              <w:t>Texture</w:t>
            </w:r>
          </w:p>
        </w:tc>
        <w:tc>
          <w:tcPr>
            <w:tcW w:type="dxa" w:w="1881"/>
          </w:tcPr>
          <w:p>
            <w:pPr>
              <w:spacing w:before="60" w:after="60"/>
            </w:pPr>
            <w:r/>
            <w:r>
              <w:rPr>
                <w:rFonts w:ascii="Lato" w:hAnsi="Lato"/>
                <w:b w:val="0"/>
                <w:i w:val="0"/>
                <w:color w:val="374151"/>
                <w:sz w:val="20"/>
              </w:rPr>
              <w:t>652</w:t>
            </w:r>
          </w:p>
        </w:tc>
        <w:tc>
          <w:tcPr>
            <w:tcW w:type="dxa" w:w="1881"/>
          </w:tcPr>
          <w:p>
            <w:pPr>
              <w:spacing w:before="60" w:after="60"/>
            </w:pPr>
            <w:r/>
            <w:r>
              <w:rPr>
                <w:rFonts w:ascii="Lato" w:hAnsi="Lato"/>
                <w:b w:val="0"/>
                <w:i w:val="0"/>
                <w:color w:val="374151"/>
                <w:sz w:val="20"/>
              </w:rPr>
              <w:t>276</w:t>
            </w:r>
          </w:p>
        </w:tc>
        <w:tc>
          <w:tcPr>
            <w:tcW w:type="dxa" w:w="1881"/>
          </w:tcPr>
          <w:p>
            <w:pPr>
              <w:spacing w:before="60" w:after="60"/>
            </w:pPr>
            <w:r/>
            <w:r>
              <w:rPr>
                <w:rFonts w:ascii="Lato" w:hAnsi="Lato"/>
                <w:b w:val="0"/>
                <w:i w:val="0"/>
                <w:color w:val="374151"/>
                <w:sz w:val="20"/>
              </w:rPr>
              <w:t>21</w:t>
            </w:r>
          </w:p>
        </w:tc>
        <w:tc>
          <w:tcPr>
            <w:tcW w:type="dxa" w:w="1881"/>
          </w:tcPr>
          <w:p>
            <w:pPr>
              <w:spacing w:before="60" w:after="60"/>
            </w:pPr>
            <w:r/>
            <w:r>
              <w:rPr>
                <w:rFonts w:ascii="Lato" w:hAnsi="Lato"/>
                <w:b w:val="0"/>
                <w:i w:val="0"/>
                <w:color w:val="374151"/>
                <w:sz w:val="20"/>
              </w:rPr>
              <w:t>+39%</w:t>
            </w:r>
          </w:p>
        </w:tc>
      </w:tr>
      <w:tr>
        <w:tc>
          <w:tcPr>
            <w:tcW w:type="dxa" w:w="1881"/>
          </w:tcPr>
          <w:p>
            <w:pPr>
              <w:spacing w:before="60" w:after="60"/>
            </w:pPr>
            <w:r/>
            <w:r>
              <w:rPr>
                <w:rFonts w:ascii="Lato" w:hAnsi="Lato"/>
                <w:b w:val="0"/>
                <w:i w:val="0"/>
                <w:color w:val="374151"/>
                <w:sz w:val="20"/>
              </w:rPr>
              <w:t>Coverage</w:t>
            </w:r>
          </w:p>
        </w:tc>
        <w:tc>
          <w:tcPr>
            <w:tcW w:type="dxa" w:w="1881"/>
          </w:tcPr>
          <w:p>
            <w:pPr>
              <w:spacing w:before="60" w:after="60"/>
            </w:pPr>
            <w:r/>
            <w:r>
              <w:rPr>
                <w:rFonts w:ascii="Lato" w:hAnsi="Lato"/>
                <w:b w:val="0"/>
                <w:i w:val="0"/>
                <w:color w:val="374151"/>
                <w:sz w:val="20"/>
              </w:rPr>
              <w:t>648</w:t>
            </w:r>
          </w:p>
        </w:tc>
        <w:tc>
          <w:tcPr>
            <w:tcW w:type="dxa" w:w="1881"/>
          </w:tcPr>
          <w:p>
            <w:pPr>
              <w:spacing w:before="60" w:after="60"/>
            </w:pPr>
            <w:r/>
            <w:r>
              <w:rPr>
                <w:rFonts w:ascii="Lato" w:hAnsi="Lato"/>
                <w:b w:val="0"/>
                <w:i w:val="0"/>
                <w:color w:val="374151"/>
                <w:sz w:val="20"/>
              </w:rPr>
              <w:t>225</w:t>
            </w:r>
          </w:p>
        </w:tc>
        <w:tc>
          <w:tcPr>
            <w:tcW w:type="dxa" w:w="1881"/>
          </w:tcPr>
          <w:p>
            <w:pPr>
              <w:spacing w:before="60" w:after="60"/>
            </w:pPr>
            <w:r/>
            <w:r>
              <w:rPr>
                <w:rFonts w:ascii="Lato" w:hAnsi="Lato"/>
                <w:b w:val="0"/>
                <w:i w:val="0"/>
                <w:color w:val="374151"/>
                <w:sz w:val="20"/>
              </w:rPr>
              <w:t>35</w:t>
            </w:r>
          </w:p>
        </w:tc>
        <w:tc>
          <w:tcPr>
            <w:tcW w:type="dxa" w:w="1881"/>
          </w:tcPr>
          <w:p>
            <w:pPr>
              <w:spacing w:before="60" w:after="60"/>
            </w:pPr>
            <w:r/>
            <w:r>
              <w:rPr>
                <w:rFonts w:ascii="Lato" w:hAnsi="Lato"/>
                <w:b w:val="0"/>
                <w:i w:val="0"/>
                <w:color w:val="374151"/>
                <w:sz w:val="20"/>
              </w:rPr>
              <w:t>+29%</w:t>
            </w:r>
          </w:p>
        </w:tc>
      </w:tr>
      <w:tr>
        <w:tc>
          <w:tcPr>
            <w:tcW w:type="dxa" w:w="1881"/>
          </w:tcPr>
          <w:p>
            <w:pPr>
              <w:spacing w:before="60" w:after="60"/>
            </w:pPr>
            <w:r/>
            <w:r>
              <w:rPr>
                <w:rFonts w:ascii="Lato" w:hAnsi="Lato"/>
                <w:b w:val="0"/>
                <w:i w:val="0"/>
                <w:color w:val="374151"/>
                <w:sz w:val="20"/>
              </w:rPr>
              <w:t>Smell</w:t>
            </w:r>
          </w:p>
        </w:tc>
        <w:tc>
          <w:tcPr>
            <w:tcW w:type="dxa" w:w="1881"/>
          </w:tcPr>
          <w:p>
            <w:pPr>
              <w:spacing w:before="60" w:after="60"/>
            </w:pPr>
            <w:r/>
            <w:r>
              <w:rPr>
                <w:rFonts w:ascii="Lato" w:hAnsi="Lato"/>
                <w:b w:val="0"/>
                <w:i w:val="0"/>
                <w:color w:val="374151"/>
                <w:sz w:val="20"/>
              </w:rPr>
              <w:t>268</w:t>
            </w:r>
          </w:p>
        </w:tc>
        <w:tc>
          <w:tcPr>
            <w:tcW w:type="dxa" w:w="1881"/>
          </w:tcPr>
          <w:p>
            <w:pPr>
              <w:spacing w:before="60" w:after="60"/>
            </w:pPr>
            <w:r/>
            <w:r>
              <w:rPr>
                <w:rFonts w:ascii="Lato" w:hAnsi="Lato"/>
                <w:b w:val="0"/>
                <w:i w:val="0"/>
                <w:color w:val="374151"/>
                <w:sz w:val="20"/>
              </w:rPr>
              <w:t>97</w:t>
            </w:r>
          </w:p>
        </w:tc>
        <w:tc>
          <w:tcPr>
            <w:tcW w:type="dxa" w:w="1881"/>
          </w:tcPr>
          <w:p>
            <w:pPr>
              <w:spacing w:before="60" w:after="60"/>
            </w:pPr>
            <w:r/>
            <w:r>
              <w:rPr>
                <w:rFonts w:ascii="Lato" w:hAnsi="Lato"/>
                <w:b w:val="0"/>
                <w:i w:val="0"/>
                <w:color w:val="374151"/>
                <w:sz w:val="20"/>
              </w:rPr>
              <w:t>25</w:t>
            </w:r>
          </w:p>
        </w:tc>
        <w:tc>
          <w:tcPr>
            <w:tcW w:type="dxa" w:w="1881"/>
          </w:tcPr>
          <w:p>
            <w:pPr>
              <w:spacing w:before="60" w:after="60"/>
            </w:pPr>
            <w:r/>
            <w:r>
              <w:rPr>
                <w:rFonts w:ascii="Lato" w:hAnsi="Lato"/>
                <w:b w:val="0"/>
                <w:i w:val="0"/>
                <w:color w:val="374151"/>
                <w:sz w:val="20"/>
              </w:rPr>
              <w:t>+27%</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3322940"/>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3322940"/>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11 insights were identified from 7,688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DIY Home Colouring Experience</w:t>
            </w:r>
          </w:p>
        </w:tc>
        <w:tc>
          <w:tcPr>
            <w:tcW w:type="dxa" w:w="1568"/>
          </w:tcPr>
          <w:p>
            <w:pPr>
              <w:spacing w:before="60" w:after="60"/>
            </w:pPr>
            <w:r/>
            <w:r>
              <w:rPr>
                <w:rFonts w:ascii="Lato" w:hAnsi="Lato"/>
                <w:b w:val="0"/>
                <w:i w:val="0"/>
                <w:color w:val="374151"/>
                <w:sz w:val="20"/>
              </w:rPr>
              <w:t>3081</w:t>
            </w:r>
          </w:p>
        </w:tc>
        <w:tc>
          <w:tcPr>
            <w:tcW w:type="dxa" w:w="1568"/>
          </w:tcPr>
          <w:p>
            <w:pPr>
              <w:spacing w:before="60" w:after="60"/>
            </w:pPr>
            <w:r/>
            <w:r>
              <w:rPr>
                <w:rFonts w:ascii="Lato" w:hAnsi="Lato"/>
                <w:b w:val="0"/>
                <w:i w:val="0"/>
                <w:color w:val="374151"/>
                <w:sz w:val="20"/>
              </w:rPr>
              <w:t>40.1%</w:t>
            </w:r>
          </w:p>
        </w:tc>
        <w:tc>
          <w:tcPr>
            <w:tcW w:type="dxa" w:w="1568"/>
          </w:tcPr>
          <w:p>
            <w:pPr>
              <w:spacing w:before="60" w:after="60"/>
            </w:pPr>
            <w:r/>
            <w:r>
              <w:rPr>
                <w:rFonts w:ascii="Lato" w:hAnsi="Lato"/>
                <w:b w:val="0"/>
                <w:i w:val="0"/>
                <w:color w:val="374151"/>
                <w:sz w:val="20"/>
              </w:rPr>
              <w:t>70% (Moderate)</w:t>
            </w:r>
          </w:p>
        </w:tc>
        <w:tc>
          <w:tcPr>
            <w:tcW w:type="dxa" w:w="1568"/>
          </w:tcPr>
          <w:p>
            <w:pPr>
              <w:spacing w:before="60" w:after="60"/>
            </w:pPr>
            <w:r/>
            <w:r>
              <w:rPr>
                <w:rFonts w:ascii="Lato" w:hAnsi="Lato"/>
                <w:b w:val="0"/>
                <w:i w:val="0"/>
                <w:color w:val="374151"/>
                <w:sz w:val="20"/>
              </w:rPr>
              <w:t>58% (Medium)</w:t>
            </w:r>
          </w:p>
        </w:tc>
        <w:tc>
          <w:tcPr>
            <w:tcW w:type="dxa" w:w="1568"/>
          </w:tcPr>
          <w:p>
            <w:pPr>
              <w:spacing w:before="60" w:after="60"/>
            </w:pPr>
            <w:r/>
            <w:r>
              <w:rPr>
                <w:rFonts w:ascii="Lato" w:hAnsi="Lato"/>
                <w:b w:val="0"/>
                <w:i w:val="0"/>
                <w:color w:val="374151"/>
                <w:sz w:val="20"/>
              </w:rPr>
              <w:t>+27%</w:t>
            </w:r>
          </w:p>
        </w:tc>
      </w:tr>
      <w:tr>
        <w:tc>
          <w:tcPr>
            <w:tcW w:type="dxa" w:w="1568"/>
          </w:tcPr>
          <w:p>
            <w:pPr>
              <w:spacing w:before="60" w:after="60"/>
            </w:pPr>
            <w:r/>
            <w:r>
              <w:rPr>
                <w:rFonts w:ascii="Lato" w:hAnsi="Lato"/>
                <w:b w:val="0"/>
                <w:i w:val="0"/>
                <w:color w:val="374151"/>
                <w:sz w:val="20"/>
              </w:rPr>
              <w:t>Shade Selection &amp; Colour Quality</w:t>
            </w:r>
          </w:p>
        </w:tc>
        <w:tc>
          <w:tcPr>
            <w:tcW w:type="dxa" w:w="1568"/>
          </w:tcPr>
          <w:p>
            <w:pPr>
              <w:spacing w:before="60" w:after="60"/>
            </w:pPr>
            <w:r/>
            <w:r>
              <w:rPr>
                <w:rFonts w:ascii="Lato" w:hAnsi="Lato"/>
                <w:b w:val="0"/>
                <w:i w:val="0"/>
                <w:color w:val="374151"/>
                <w:sz w:val="20"/>
              </w:rPr>
              <w:t>2716</w:t>
            </w:r>
          </w:p>
        </w:tc>
        <w:tc>
          <w:tcPr>
            <w:tcW w:type="dxa" w:w="1568"/>
          </w:tcPr>
          <w:p>
            <w:pPr>
              <w:spacing w:before="60" w:after="60"/>
            </w:pPr>
            <w:r/>
            <w:r>
              <w:rPr>
                <w:rFonts w:ascii="Lato" w:hAnsi="Lato"/>
                <w:b w:val="0"/>
                <w:i w:val="0"/>
                <w:color w:val="374151"/>
                <w:sz w:val="20"/>
              </w:rPr>
              <w:t>35.3%</w:t>
            </w:r>
          </w:p>
        </w:tc>
        <w:tc>
          <w:tcPr>
            <w:tcW w:type="dxa" w:w="1568"/>
          </w:tcPr>
          <w:p>
            <w:pPr>
              <w:spacing w:before="60" w:after="60"/>
            </w:pPr>
            <w:r/>
            <w:r>
              <w:rPr>
                <w:rFonts w:ascii="Lato" w:hAnsi="Lato"/>
                <w:b w:val="0"/>
                <w:i w:val="0"/>
                <w:color w:val="374151"/>
                <w:sz w:val="20"/>
              </w:rPr>
              <w:t>68% (Moderate)</w:t>
            </w:r>
          </w:p>
        </w:tc>
        <w:tc>
          <w:tcPr>
            <w:tcW w:type="dxa" w:w="1568"/>
          </w:tcPr>
          <w:p>
            <w:pPr>
              <w:spacing w:before="60" w:after="60"/>
            </w:pPr>
            <w:r/>
            <w:r>
              <w:rPr>
                <w:rFonts w:ascii="Lato" w:hAnsi="Lato"/>
                <w:b w:val="0"/>
                <w:i w:val="0"/>
                <w:color w:val="374151"/>
                <w:sz w:val="20"/>
              </w:rPr>
              <w:t>59% (Medium)</w:t>
            </w:r>
          </w:p>
        </w:tc>
        <w:tc>
          <w:tcPr>
            <w:tcW w:type="dxa" w:w="1568"/>
          </w:tcPr>
          <w:p>
            <w:pPr>
              <w:spacing w:before="60" w:after="60"/>
            </w:pPr>
            <w:r/>
            <w:r>
              <w:rPr>
                <w:rFonts w:ascii="Lato" w:hAnsi="Lato"/>
                <w:b w:val="0"/>
                <w:i w:val="0"/>
                <w:color w:val="374151"/>
                <w:sz w:val="20"/>
              </w:rPr>
              <w:t>+45%</w:t>
            </w:r>
          </w:p>
        </w:tc>
      </w:tr>
      <w:tr>
        <w:tc>
          <w:tcPr>
            <w:tcW w:type="dxa" w:w="1568"/>
          </w:tcPr>
          <w:p>
            <w:pPr>
              <w:spacing w:before="60" w:after="60"/>
            </w:pPr>
            <w:r/>
            <w:r>
              <w:rPr>
                <w:rFonts w:ascii="Lato" w:hAnsi="Lato"/>
                <w:b w:val="0"/>
                <w:i w:val="0"/>
                <w:color w:val="374151"/>
                <w:sz w:val="20"/>
              </w:rPr>
              <w:t>Colour Longevity &amp; Fading</w:t>
            </w:r>
          </w:p>
        </w:tc>
        <w:tc>
          <w:tcPr>
            <w:tcW w:type="dxa" w:w="1568"/>
          </w:tcPr>
          <w:p>
            <w:pPr>
              <w:spacing w:before="60" w:after="60"/>
            </w:pPr>
            <w:r/>
            <w:r>
              <w:rPr>
                <w:rFonts w:ascii="Lato" w:hAnsi="Lato"/>
                <w:b w:val="0"/>
                <w:i w:val="0"/>
                <w:color w:val="374151"/>
                <w:sz w:val="20"/>
              </w:rPr>
              <w:t>1431</w:t>
            </w:r>
          </w:p>
        </w:tc>
        <w:tc>
          <w:tcPr>
            <w:tcW w:type="dxa" w:w="1568"/>
          </w:tcPr>
          <w:p>
            <w:pPr>
              <w:spacing w:before="60" w:after="60"/>
            </w:pPr>
            <w:r/>
            <w:r>
              <w:rPr>
                <w:rFonts w:ascii="Lato" w:hAnsi="Lato"/>
                <w:b w:val="0"/>
                <w:i w:val="0"/>
                <w:color w:val="374151"/>
                <w:sz w:val="20"/>
              </w:rPr>
              <w:t>18.6%</w:t>
            </w:r>
          </w:p>
        </w:tc>
        <w:tc>
          <w:tcPr>
            <w:tcW w:type="dxa" w:w="1568"/>
          </w:tcPr>
          <w:p>
            <w:pPr>
              <w:spacing w:before="60" w:after="60"/>
            </w:pPr>
            <w:r/>
            <w:r>
              <w:rPr>
                <w:rFonts w:ascii="Lato" w:hAnsi="Lato"/>
                <w:b w:val="0"/>
                <w:i w:val="0"/>
                <w:color w:val="374151"/>
                <w:sz w:val="20"/>
              </w:rPr>
              <w:t>59% (Moderate)</w:t>
            </w:r>
          </w:p>
        </w:tc>
        <w:tc>
          <w:tcPr>
            <w:tcW w:type="dxa" w:w="1568"/>
          </w:tcPr>
          <w:p>
            <w:pPr>
              <w:spacing w:before="60" w:after="60"/>
            </w:pPr>
            <w:r/>
            <w:r>
              <w:rPr>
                <w:rFonts w:ascii="Lato" w:hAnsi="Lato"/>
                <w:b w:val="0"/>
                <w:i w:val="0"/>
                <w:color w:val="374151"/>
                <w:sz w:val="20"/>
              </w:rPr>
              <w:t>53% (Medium)</w:t>
            </w:r>
          </w:p>
        </w:tc>
        <w:tc>
          <w:tcPr>
            <w:tcW w:type="dxa" w:w="1568"/>
          </w:tcPr>
          <w:p>
            <w:pPr>
              <w:spacing w:before="60" w:after="60"/>
            </w:pPr>
            <w:r/>
            <w:r>
              <w:rPr>
                <w:rFonts w:ascii="Lato" w:hAnsi="Lato"/>
                <w:b w:val="0"/>
                <w:i w:val="0"/>
                <w:color w:val="374151"/>
                <w:sz w:val="20"/>
              </w:rPr>
              <w:t>+25%</w:t>
            </w:r>
          </w:p>
        </w:tc>
      </w:tr>
      <w:tr>
        <w:tc>
          <w:tcPr>
            <w:tcW w:type="dxa" w:w="1568"/>
          </w:tcPr>
          <w:p>
            <w:pPr>
              <w:spacing w:before="60" w:after="60"/>
            </w:pPr>
            <w:r/>
            <w:r>
              <w:rPr>
                <w:rFonts w:ascii="Lato" w:hAnsi="Lato"/>
                <w:b w:val="0"/>
                <w:i w:val="0"/>
                <w:color w:val="374151"/>
                <w:sz w:val="20"/>
              </w:rPr>
              <w:t>Grey Coverage &amp; Root Touch-Up</w:t>
            </w:r>
          </w:p>
        </w:tc>
        <w:tc>
          <w:tcPr>
            <w:tcW w:type="dxa" w:w="1568"/>
          </w:tcPr>
          <w:p>
            <w:pPr>
              <w:spacing w:before="60" w:after="60"/>
            </w:pPr>
            <w:r/>
            <w:r>
              <w:rPr>
                <w:rFonts w:ascii="Lato" w:hAnsi="Lato"/>
                <w:b w:val="0"/>
                <w:i w:val="0"/>
                <w:color w:val="374151"/>
                <w:sz w:val="20"/>
              </w:rPr>
              <w:t>1137</w:t>
            </w:r>
          </w:p>
        </w:tc>
        <w:tc>
          <w:tcPr>
            <w:tcW w:type="dxa" w:w="1568"/>
          </w:tcPr>
          <w:p>
            <w:pPr>
              <w:spacing w:before="60" w:after="60"/>
            </w:pPr>
            <w:r/>
            <w:r>
              <w:rPr>
                <w:rFonts w:ascii="Lato" w:hAnsi="Lato"/>
                <w:b w:val="0"/>
                <w:i w:val="0"/>
                <w:color w:val="374151"/>
                <w:sz w:val="20"/>
              </w:rPr>
              <w:t>14.8%</w:t>
            </w:r>
          </w:p>
        </w:tc>
        <w:tc>
          <w:tcPr>
            <w:tcW w:type="dxa" w:w="1568"/>
          </w:tcPr>
          <w:p>
            <w:pPr>
              <w:spacing w:before="60" w:after="60"/>
            </w:pPr>
            <w:r/>
            <w:r>
              <w:rPr>
                <w:rFonts w:ascii="Lato" w:hAnsi="Lato"/>
                <w:b w:val="0"/>
                <w:i w:val="0"/>
                <w:color w:val="374151"/>
                <w:sz w:val="20"/>
              </w:rPr>
              <w:t>55% (Moderate)</w:t>
            </w:r>
          </w:p>
        </w:tc>
        <w:tc>
          <w:tcPr>
            <w:tcW w:type="dxa" w:w="1568"/>
          </w:tcPr>
          <w:p>
            <w:pPr>
              <w:spacing w:before="60" w:after="60"/>
            </w:pPr>
            <w:r/>
            <w:r>
              <w:rPr>
                <w:rFonts w:ascii="Lato" w:hAnsi="Lato"/>
                <w:b w:val="0"/>
                <w:i w:val="0"/>
                <w:color w:val="374151"/>
                <w:sz w:val="20"/>
              </w:rPr>
              <w:t>54% (Medium)</w:t>
            </w:r>
          </w:p>
        </w:tc>
        <w:tc>
          <w:tcPr>
            <w:tcW w:type="dxa" w:w="1568"/>
          </w:tcPr>
          <w:p>
            <w:pPr>
              <w:spacing w:before="60" w:after="60"/>
            </w:pPr>
            <w:r/>
            <w:r>
              <w:rPr>
                <w:rFonts w:ascii="Lato" w:hAnsi="Lato"/>
                <w:b w:val="0"/>
                <w:i w:val="0"/>
                <w:color w:val="374151"/>
                <w:sz w:val="20"/>
              </w:rPr>
              <w:t>+35%</w:t>
            </w:r>
          </w:p>
        </w:tc>
      </w:tr>
      <w:tr>
        <w:tc>
          <w:tcPr>
            <w:tcW w:type="dxa" w:w="1568"/>
          </w:tcPr>
          <w:p>
            <w:pPr>
              <w:spacing w:before="60" w:after="60"/>
            </w:pPr>
            <w:r/>
            <w:r>
              <w:rPr>
                <w:rFonts w:ascii="Lato" w:hAnsi="Lato"/>
                <w:b w:val="0"/>
                <w:i w:val="0"/>
                <w:color w:val="374151"/>
                <w:sz w:val="20"/>
              </w:rPr>
              <w:t>Safety Concerns &amp; Chemical Sensitivity</w:t>
            </w:r>
          </w:p>
        </w:tc>
        <w:tc>
          <w:tcPr>
            <w:tcW w:type="dxa" w:w="1568"/>
          </w:tcPr>
          <w:p>
            <w:pPr>
              <w:spacing w:before="60" w:after="60"/>
            </w:pPr>
            <w:r/>
            <w:r>
              <w:rPr>
                <w:rFonts w:ascii="Lato" w:hAnsi="Lato"/>
                <w:b w:val="0"/>
                <w:i w:val="0"/>
                <w:color w:val="374151"/>
                <w:sz w:val="20"/>
              </w:rPr>
              <w:t>937</w:t>
            </w:r>
          </w:p>
        </w:tc>
        <w:tc>
          <w:tcPr>
            <w:tcW w:type="dxa" w:w="1568"/>
          </w:tcPr>
          <w:p>
            <w:pPr>
              <w:spacing w:before="60" w:after="60"/>
            </w:pPr>
            <w:r/>
            <w:r>
              <w:rPr>
                <w:rFonts w:ascii="Lato" w:hAnsi="Lato"/>
                <w:b w:val="0"/>
                <w:i w:val="0"/>
                <w:color w:val="374151"/>
                <w:sz w:val="20"/>
              </w:rPr>
              <w:t>12.2%</w:t>
            </w:r>
          </w:p>
        </w:tc>
        <w:tc>
          <w:tcPr>
            <w:tcW w:type="dxa" w:w="1568"/>
          </w:tcPr>
          <w:p>
            <w:pPr>
              <w:spacing w:before="60" w:after="60"/>
            </w:pPr>
            <w:r/>
            <w:r>
              <w:rPr>
                <w:rFonts w:ascii="Lato" w:hAnsi="Lato"/>
                <w:b w:val="0"/>
                <w:i w:val="0"/>
                <w:color w:val="374151"/>
                <w:sz w:val="20"/>
              </w:rPr>
              <w:t>55% (Moderate)</w:t>
            </w:r>
          </w:p>
        </w:tc>
        <w:tc>
          <w:tcPr>
            <w:tcW w:type="dxa" w:w="1568"/>
          </w:tcPr>
          <w:p>
            <w:pPr>
              <w:spacing w:before="60" w:after="60"/>
            </w:pPr>
            <w:r/>
            <w:r>
              <w:rPr>
                <w:rFonts w:ascii="Lato" w:hAnsi="Lato"/>
                <w:b w:val="0"/>
                <w:i w:val="0"/>
                <w:color w:val="374151"/>
                <w:sz w:val="20"/>
              </w:rPr>
              <w:t>50% (Medium)</w:t>
            </w:r>
          </w:p>
        </w:tc>
        <w:tc>
          <w:tcPr>
            <w:tcW w:type="dxa" w:w="1568"/>
          </w:tcPr>
          <w:p>
            <w:pPr>
              <w:spacing w:before="60" w:after="60"/>
            </w:pPr>
            <w:r/>
            <w:r>
              <w:rPr>
                <w:rFonts w:ascii="Lato" w:hAnsi="Lato"/>
                <w:b w:val="0"/>
                <w:i w:val="0"/>
                <w:color w:val="374151"/>
                <w:sz w:val="20"/>
              </w:rPr>
              <w:t>-10%</w:t>
            </w:r>
          </w:p>
        </w:tc>
      </w:tr>
      <w:tr>
        <w:tc>
          <w:tcPr>
            <w:tcW w:type="dxa" w:w="1568"/>
          </w:tcPr>
          <w:p>
            <w:pPr>
              <w:spacing w:before="60" w:after="60"/>
            </w:pPr>
            <w:r/>
            <w:r>
              <w:rPr>
                <w:rFonts w:ascii="Lato" w:hAnsi="Lato"/>
                <w:b w:val="0"/>
                <w:i w:val="0"/>
                <w:color w:val="374151"/>
                <w:sz w:val="20"/>
              </w:rPr>
              <w:t>Natural &amp; Herbal Hair Colour</w:t>
            </w:r>
          </w:p>
        </w:tc>
        <w:tc>
          <w:tcPr>
            <w:tcW w:type="dxa" w:w="1568"/>
          </w:tcPr>
          <w:p>
            <w:pPr>
              <w:spacing w:before="60" w:after="60"/>
            </w:pPr>
            <w:r/>
            <w:r>
              <w:rPr>
                <w:rFonts w:ascii="Lato" w:hAnsi="Lato"/>
                <w:b w:val="0"/>
                <w:i w:val="0"/>
                <w:color w:val="374151"/>
                <w:sz w:val="20"/>
              </w:rPr>
              <w:t>910</w:t>
            </w:r>
          </w:p>
        </w:tc>
        <w:tc>
          <w:tcPr>
            <w:tcW w:type="dxa" w:w="1568"/>
          </w:tcPr>
          <w:p>
            <w:pPr>
              <w:spacing w:before="60" w:after="60"/>
            </w:pPr>
            <w:r/>
            <w:r>
              <w:rPr>
                <w:rFonts w:ascii="Lato" w:hAnsi="Lato"/>
                <w:b w:val="0"/>
                <w:i w:val="0"/>
                <w:color w:val="374151"/>
                <w:sz w:val="20"/>
              </w:rPr>
              <w:t>11.8%</w:t>
            </w:r>
          </w:p>
        </w:tc>
        <w:tc>
          <w:tcPr>
            <w:tcW w:type="dxa" w:w="1568"/>
          </w:tcPr>
          <w:p>
            <w:pPr>
              <w:spacing w:before="60" w:after="60"/>
            </w:pPr>
            <w:r/>
            <w:r>
              <w:rPr>
                <w:rFonts w:ascii="Lato" w:hAnsi="Lato"/>
                <w:b w:val="0"/>
                <w:i w:val="0"/>
                <w:color w:val="374151"/>
                <w:sz w:val="20"/>
              </w:rPr>
              <w:t>59% (Moderate)</w:t>
            </w:r>
          </w:p>
        </w:tc>
        <w:tc>
          <w:tcPr>
            <w:tcW w:type="dxa" w:w="1568"/>
          </w:tcPr>
          <w:p>
            <w:pPr>
              <w:spacing w:before="60" w:after="60"/>
            </w:pPr>
            <w:r/>
            <w:r>
              <w:rPr>
                <w:rFonts w:ascii="Lato" w:hAnsi="Lato"/>
                <w:b w:val="0"/>
                <w:i w:val="0"/>
                <w:color w:val="374151"/>
                <w:sz w:val="20"/>
              </w:rPr>
              <w:t>53% (Medium)</w:t>
            </w:r>
          </w:p>
        </w:tc>
        <w:tc>
          <w:tcPr>
            <w:tcW w:type="dxa" w:w="1568"/>
          </w:tcPr>
          <w:p>
            <w:pPr>
              <w:spacing w:before="60" w:after="60"/>
            </w:pPr>
            <w:r/>
            <w:r>
              <w:rPr>
                <w:rFonts w:ascii="Lato" w:hAnsi="Lato"/>
                <w:b w:val="0"/>
                <w:i w:val="0"/>
                <w:color w:val="374151"/>
                <w:sz w:val="20"/>
              </w:rPr>
              <w:t>+37%</w:t>
            </w:r>
          </w:p>
        </w:tc>
      </w:tr>
      <w:tr>
        <w:tc>
          <w:tcPr>
            <w:tcW w:type="dxa" w:w="1568"/>
          </w:tcPr>
          <w:p>
            <w:pPr>
              <w:spacing w:before="60" w:after="60"/>
            </w:pPr>
            <w:r/>
            <w:r>
              <w:rPr>
                <w:rFonts w:ascii="Lato" w:hAnsi="Lato"/>
                <w:b w:val="0"/>
                <w:i w:val="0"/>
                <w:color w:val="374151"/>
                <w:sz w:val="20"/>
              </w:rPr>
              <w:t>Trending Colours &amp; Fashion Influence</w:t>
            </w:r>
          </w:p>
        </w:tc>
        <w:tc>
          <w:tcPr>
            <w:tcW w:type="dxa" w:w="1568"/>
          </w:tcPr>
          <w:p>
            <w:pPr>
              <w:spacing w:before="60" w:after="60"/>
            </w:pPr>
            <w:r/>
            <w:r>
              <w:rPr>
                <w:rFonts w:ascii="Lato" w:hAnsi="Lato"/>
                <w:b w:val="0"/>
                <w:i w:val="0"/>
                <w:color w:val="374151"/>
                <w:sz w:val="20"/>
              </w:rPr>
              <w:t>817</w:t>
            </w:r>
          </w:p>
        </w:tc>
        <w:tc>
          <w:tcPr>
            <w:tcW w:type="dxa" w:w="1568"/>
          </w:tcPr>
          <w:p>
            <w:pPr>
              <w:spacing w:before="60" w:after="60"/>
            </w:pPr>
            <w:r/>
            <w:r>
              <w:rPr>
                <w:rFonts w:ascii="Lato" w:hAnsi="Lato"/>
                <w:b w:val="0"/>
                <w:i w:val="0"/>
                <w:color w:val="374151"/>
                <w:sz w:val="20"/>
              </w:rPr>
              <w:t>10.6%</w:t>
            </w:r>
          </w:p>
        </w:tc>
        <w:tc>
          <w:tcPr>
            <w:tcW w:type="dxa" w:w="1568"/>
          </w:tcPr>
          <w:p>
            <w:pPr>
              <w:spacing w:before="60" w:after="60"/>
            </w:pPr>
            <w:r/>
            <w:r>
              <w:rPr>
                <w:rFonts w:ascii="Lato" w:hAnsi="Lato"/>
                <w:b w:val="0"/>
                <w:i w:val="0"/>
                <w:color w:val="374151"/>
                <w:sz w:val="20"/>
              </w:rPr>
              <w:t>63% (Moderate)</w:t>
            </w:r>
          </w:p>
        </w:tc>
        <w:tc>
          <w:tcPr>
            <w:tcW w:type="dxa" w:w="1568"/>
          </w:tcPr>
          <w:p>
            <w:pPr>
              <w:spacing w:before="60" w:after="60"/>
            </w:pPr>
            <w:r/>
            <w:r>
              <w:rPr>
                <w:rFonts w:ascii="Lato" w:hAnsi="Lato"/>
                <w:b w:val="0"/>
                <w:i w:val="0"/>
                <w:color w:val="374151"/>
                <w:sz w:val="20"/>
              </w:rPr>
              <w:t>50% (Medium)</w:t>
            </w:r>
          </w:p>
        </w:tc>
        <w:tc>
          <w:tcPr>
            <w:tcW w:type="dxa" w:w="1568"/>
          </w:tcPr>
          <w:p>
            <w:pPr>
              <w:spacing w:before="60" w:after="60"/>
            </w:pPr>
            <w:r/>
            <w:r>
              <w:rPr>
                <w:rFonts w:ascii="Lato" w:hAnsi="Lato"/>
                <w:b w:val="0"/>
                <w:i w:val="0"/>
                <w:color w:val="374151"/>
                <w:sz w:val="20"/>
              </w:rPr>
              <w:t>+24%</w:t>
            </w:r>
          </w:p>
        </w:tc>
      </w:tr>
      <w:tr>
        <w:tc>
          <w:tcPr>
            <w:tcW w:type="dxa" w:w="1568"/>
          </w:tcPr>
          <w:p>
            <w:pPr>
              <w:spacing w:before="60" w:after="60"/>
            </w:pPr>
            <w:r/>
            <w:r>
              <w:rPr>
                <w:rFonts w:ascii="Lato" w:hAnsi="Lato"/>
                <w:b w:val="0"/>
                <w:i w:val="0"/>
                <w:color w:val="374151"/>
                <w:sz w:val="20"/>
              </w:rPr>
              <w:t>Self-Expression &amp; Identity Through Hair Colour</w:t>
            </w:r>
          </w:p>
        </w:tc>
        <w:tc>
          <w:tcPr>
            <w:tcW w:type="dxa" w:w="1568"/>
          </w:tcPr>
          <w:p>
            <w:pPr>
              <w:spacing w:before="60" w:after="60"/>
            </w:pPr>
            <w:r/>
            <w:r>
              <w:rPr>
                <w:rFonts w:ascii="Lato" w:hAnsi="Lato"/>
                <w:b w:val="0"/>
                <w:i w:val="0"/>
                <w:color w:val="374151"/>
                <w:sz w:val="20"/>
              </w:rPr>
              <w:t>692</w:t>
            </w:r>
          </w:p>
        </w:tc>
        <w:tc>
          <w:tcPr>
            <w:tcW w:type="dxa" w:w="1568"/>
          </w:tcPr>
          <w:p>
            <w:pPr>
              <w:spacing w:before="60" w:after="60"/>
            </w:pPr>
            <w:r/>
            <w:r>
              <w:rPr>
                <w:rFonts w:ascii="Lato" w:hAnsi="Lato"/>
                <w:b w:val="0"/>
                <w:i w:val="0"/>
                <w:color w:val="374151"/>
                <w:sz w:val="20"/>
              </w:rPr>
              <w:t>9.0%</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50% (Directional)</w:t>
            </w:r>
          </w:p>
        </w:tc>
        <w:tc>
          <w:tcPr>
            <w:tcW w:type="dxa" w:w="1568"/>
          </w:tcPr>
          <w:p>
            <w:pPr>
              <w:spacing w:before="60" w:after="60"/>
            </w:pPr>
            <w:r/>
            <w:r>
              <w:rPr>
                <w:rFonts w:ascii="Lato" w:hAnsi="Lato"/>
                <w:b w:val="0"/>
                <w:i w:val="0"/>
                <w:color w:val="374151"/>
                <w:sz w:val="20"/>
              </w:rPr>
              <w:t>+35%</w:t>
            </w:r>
          </w:p>
        </w:tc>
      </w:tr>
      <w:tr>
        <w:tc>
          <w:tcPr>
            <w:tcW w:type="dxa" w:w="1568"/>
          </w:tcPr>
          <w:p>
            <w:pPr>
              <w:spacing w:before="60" w:after="60"/>
            </w:pPr>
            <w:r/>
            <w:r>
              <w:rPr>
                <w:rFonts w:ascii="Lato" w:hAnsi="Lato"/>
                <w:b w:val="0"/>
                <w:i w:val="0"/>
                <w:color w:val="374151"/>
                <w:sz w:val="20"/>
              </w:rPr>
              <w:t>Brand Comparisons &amp; Recommendations</w:t>
            </w:r>
          </w:p>
        </w:tc>
        <w:tc>
          <w:tcPr>
            <w:tcW w:type="dxa" w:w="1568"/>
          </w:tcPr>
          <w:p>
            <w:pPr>
              <w:spacing w:before="60" w:after="60"/>
            </w:pPr>
            <w:r/>
            <w:r>
              <w:rPr>
                <w:rFonts w:ascii="Lato" w:hAnsi="Lato"/>
                <w:b w:val="0"/>
                <w:i w:val="0"/>
                <w:color w:val="374151"/>
                <w:sz w:val="20"/>
              </w:rPr>
              <w:t>640</w:t>
            </w:r>
          </w:p>
        </w:tc>
        <w:tc>
          <w:tcPr>
            <w:tcW w:type="dxa" w:w="1568"/>
          </w:tcPr>
          <w:p>
            <w:pPr>
              <w:spacing w:before="60" w:after="60"/>
            </w:pPr>
            <w:r/>
            <w:r>
              <w:rPr>
                <w:rFonts w:ascii="Lato" w:hAnsi="Lato"/>
                <w:b w:val="0"/>
                <w:i w:val="0"/>
                <w:color w:val="374151"/>
                <w:sz w:val="20"/>
              </w:rPr>
              <w:t>8.3%</w:t>
            </w:r>
          </w:p>
        </w:tc>
        <w:tc>
          <w:tcPr>
            <w:tcW w:type="dxa" w:w="1568"/>
          </w:tcPr>
          <w:p>
            <w:pPr>
              <w:spacing w:before="60" w:after="60"/>
            </w:pPr>
            <w:r/>
            <w:r>
              <w:rPr>
                <w:rFonts w:ascii="Lato" w:hAnsi="Lato"/>
                <w:b w:val="0"/>
                <w:i w:val="0"/>
                <w:color w:val="374151"/>
                <w:sz w:val="20"/>
              </w:rPr>
              <w:t>56% (Moderate)</w:t>
            </w:r>
          </w:p>
        </w:tc>
        <w:tc>
          <w:tcPr>
            <w:tcW w:type="dxa" w:w="1568"/>
          </w:tcPr>
          <w:p>
            <w:pPr>
              <w:spacing w:before="60" w:after="60"/>
            </w:pPr>
            <w:r/>
            <w:r>
              <w:rPr>
                <w:rFonts w:ascii="Lato" w:hAnsi="Lato"/>
                <w:b w:val="0"/>
                <w:i w:val="0"/>
                <w:color w:val="374151"/>
                <w:sz w:val="20"/>
              </w:rPr>
              <w:t>50% (Directional)</w:t>
            </w:r>
          </w:p>
        </w:tc>
        <w:tc>
          <w:tcPr>
            <w:tcW w:type="dxa" w:w="1568"/>
          </w:tcPr>
          <w:p>
            <w:pPr>
              <w:spacing w:before="60" w:after="60"/>
            </w:pPr>
            <w:r/>
            <w:r>
              <w:rPr>
                <w:rFonts w:ascii="Lato" w:hAnsi="Lato"/>
                <w:b w:val="0"/>
                <w:i w:val="0"/>
                <w:color w:val="374151"/>
                <w:sz w:val="20"/>
              </w:rPr>
              <w:t>+39%</w:t>
            </w:r>
          </w:p>
        </w:tc>
      </w:tr>
      <w:tr>
        <w:tc>
          <w:tcPr>
            <w:tcW w:type="dxa" w:w="1568"/>
          </w:tcPr>
          <w:p>
            <w:pPr>
              <w:spacing w:before="60" w:after="60"/>
            </w:pPr>
            <w:r/>
            <w:r>
              <w:rPr>
                <w:rFonts w:ascii="Lato" w:hAnsi="Lato"/>
                <w:b w:val="0"/>
                <w:i w:val="0"/>
                <w:color w:val="374151"/>
                <w:sz w:val="20"/>
              </w:rPr>
              <w:t>Value &amp; Affordability</w:t>
            </w:r>
          </w:p>
        </w:tc>
        <w:tc>
          <w:tcPr>
            <w:tcW w:type="dxa" w:w="1568"/>
          </w:tcPr>
          <w:p>
            <w:pPr>
              <w:spacing w:before="60" w:after="60"/>
            </w:pPr>
            <w:r/>
            <w:r>
              <w:rPr>
                <w:rFonts w:ascii="Lato" w:hAnsi="Lato"/>
                <w:b w:val="0"/>
                <w:i w:val="0"/>
                <w:color w:val="374151"/>
                <w:sz w:val="20"/>
              </w:rPr>
              <w:t>594</w:t>
            </w:r>
          </w:p>
        </w:tc>
        <w:tc>
          <w:tcPr>
            <w:tcW w:type="dxa" w:w="1568"/>
          </w:tcPr>
          <w:p>
            <w:pPr>
              <w:spacing w:before="60" w:after="60"/>
            </w:pPr>
            <w:r/>
            <w:r>
              <w:rPr>
                <w:rFonts w:ascii="Lato" w:hAnsi="Lato"/>
                <w:b w:val="0"/>
                <w:i w:val="0"/>
                <w:color w:val="374151"/>
                <w:sz w:val="20"/>
              </w:rPr>
              <w:t>7.7%</w:t>
            </w:r>
          </w:p>
        </w:tc>
        <w:tc>
          <w:tcPr>
            <w:tcW w:type="dxa" w:w="1568"/>
          </w:tcPr>
          <w:p>
            <w:pPr>
              <w:spacing w:before="60" w:after="60"/>
            </w:pPr>
            <w:r/>
            <w:r>
              <w:rPr>
                <w:rFonts w:ascii="Lato" w:hAnsi="Lato"/>
                <w:b w:val="0"/>
                <w:i w:val="0"/>
                <w:color w:val="374151"/>
                <w:sz w:val="20"/>
              </w:rPr>
              <w:t>50% (Moderate)</w:t>
            </w:r>
          </w:p>
        </w:tc>
        <w:tc>
          <w:tcPr>
            <w:tcW w:type="dxa" w:w="1568"/>
          </w:tcPr>
          <w:p>
            <w:pPr>
              <w:spacing w:before="60" w:after="60"/>
            </w:pPr>
            <w:r/>
            <w:r>
              <w:rPr>
                <w:rFonts w:ascii="Lato" w:hAnsi="Lato"/>
                <w:b w:val="0"/>
                <w:i w:val="0"/>
                <w:color w:val="374151"/>
                <w:sz w:val="20"/>
              </w:rPr>
              <w:t>50% (Medium)</w:t>
            </w:r>
          </w:p>
        </w:tc>
        <w:tc>
          <w:tcPr>
            <w:tcW w:type="dxa" w:w="1568"/>
          </w:tcPr>
          <w:p>
            <w:pPr>
              <w:spacing w:before="60" w:after="60"/>
            </w:pPr>
            <w:r/>
            <w:r>
              <w:rPr>
                <w:rFonts w:ascii="Lato" w:hAnsi="Lato"/>
                <w:b w:val="0"/>
                <w:i w:val="0"/>
                <w:color w:val="374151"/>
                <w:sz w:val="20"/>
              </w:rPr>
              <w:t>+48%</w:t>
            </w:r>
          </w:p>
        </w:tc>
      </w:tr>
      <w:tr>
        <w:tc>
          <w:tcPr>
            <w:tcW w:type="dxa" w:w="1568"/>
          </w:tcPr>
          <w:p>
            <w:pPr>
              <w:spacing w:before="60" w:after="60"/>
            </w:pPr>
            <w:r/>
            <w:r>
              <w:rPr>
                <w:rFonts w:ascii="Lato" w:hAnsi="Lato"/>
                <w:b w:val="0"/>
                <w:i w:val="0"/>
                <w:color w:val="374151"/>
                <w:sz w:val="20"/>
              </w:rPr>
              <w:t>Salon vs. Home Colouring Debate</w:t>
            </w:r>
          </w:p>
        </w:tc>
        <w:tc>
          <w:tcPr>
            <w:tcW w:type="dxa" w:w="1568"/>
          </w:tcPr>
          <w:p>
            <w:pPr>
              <w:spacing w:before="60" w:after="60"/>
            </w:pPr>
            <w:r/>
            <w:r>
              <w:rPr>
                <w:rFonts w:ascii="Lato" w:hAnsi="Lato"/>
                <w:b w:val="0"/>
                <w:i w:val="0"/>
                <w:color w:val="374151"/>
                <w:sz w:val="20"/>
              </w:rPr>
              <w:t>508</w:t>
            </w:r>
          </w:p>
        </w:tc>
        <w:tc>
          <w:tcPr>
            <w:tcW w:type="dxa" w:w="1568"/>
          </w:tcPr>
          <w:p>
            <w:pPr>
              <w:spacing w:before="60" w:after="60"/>
            </w:pPr>
            <w:r/>
            <w:r>
              <w:rPr>
                <w:rFonts w:ascii="Lato" w:hAnsi="Lato"/>
                <w:b w:val="0"/>
                <w:i w:val="0"/>
                <w:color w:val="374151"/>
                <w:sz w:val="20"/>
              </w:rPr>
              <w:t>6.6%</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49% (Directional)</w:t>
            </w:r>
          </w:p>
        </w:tc>
        <w:tc>
          <w:tcPr>
            <w:tcW w:type="dxa" w:w="1568"/>
          </w:tcPr>
          <w:p>
            <w:pPr>
              <w:spacing w:before="60" w:after="60"/>
            </w:pPr>
            <w:r/>
            <w:r>
              <w:rPr>
                <w:rFonts w:ascii="Lato" w:hAnsi="Lato"/>
                <w:b w:val="0"/>
                <w:i w:val="0"/>
                <w:color w:val="374151"/>
                <w:sz w:val="20"/>
              </w:rPr>
              <w:t>+44%</w:t>
            </w:r>
          </w:p>
        </w:tc>
      </w:tr>
    </w:tbl>
    <w:p>
      <w:pPr>
        <w:jc w:val="center"/>
      </w:pPr>
      <w:r>
        <w:drawing>
          <wp:inline xmlns:a="http://schemas.openxmlformats.org/drawingml/2006/main" xmlns:pic="http://schemas.openxmlformats.org/drawingml/2006/picture">
            <wp:extent cx="5029200" cy="3444047"/>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444047"/>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Shade Selection &amp; Colour Quality</w:t>
      </w:r>
    </w:p>
    <w:p>
      <w:pPr>
        <w:spacing w:after="160"/>
      </w:pPr>
      <w:r>
        <w:rPr>
          <w:rFonts w:ascii="Lato" w:hAnsi="Lato"/>
          <w:b w:val="0"/>
          <w:i w:val="0"/>
          <w:color w:val="6B7280"/>
          <w:sz w:val="18"/>
        </w:rPr>
        <w:t>n=2716</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35.3% of Dataset</w:t>
      </w:r>
      <w:r>
        <w:rPr>
          <w:rFonts w:ascii="Lato" w:hAnsi="Lato"/>
          <w:b w:val="0"/>
          <w:i w:val="0"/>
          <w:color w:val="6B7280"/>
          <w:sz w:val="18"/>
        </w:rPr>
        <w:t xml:space="preserve">  |  NSS: </w:t>
      </w:r>
      <w:r>
        <w:rPr>
          <w:rFonts w:ascii="Lato" w:hAnsi="Lato"/>
          <w:b/>
          <w:i w:val="0"/>
          <w:color w:val="059669"/>
          <w:sz w:val="18"/>
        </w:rPr>
        <w:t>+45%</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6.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Shade Selection &amp; Colour Quality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2,716 consumer mentions (35.3% prevalence) discuss shade preferences, colour vibrancy, naturalness of results, and shade accuracy. Natural black and brown shades dominate Indian conversations, but burgundy is the most popular fashion shade. Consumers frequently report that actual colour results differ from shade cards and packaging photos. NSS of +0.21 reflects generally positive colour quality experiences tempered by shade mismatch frustrations.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a paradoxical relationship with shade selection - they overwhelmingly buy natural black and brown shades to look natural while simultaneously being drawn to burgundy and auburn for self-expression. The shade that makes them feel most confident is not the one they find most exciting. This tension means that the shade card is the single most influential touchpoint in the purchase journey, and when the delivered shade does not match, the sense of betrayal is acute because colour is the primary reason for purchase.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Shade accuracy is a differentiator that most brands underinvest in. Current shade cards show idealised results on virgin light hair, which bears no resemblance to application on Indian dark hair. Brands that show realistic before/after results on Indian hair types will build trust faster than competitors with broader shade ranges but unrealistic expectations.</w:t>
      </w:r>
    </w:p>
    <w:p>
      <w:pPr>
        <w:pStyle w:val="Heading3"/>
        <w:jc w:val="left"/>
      </w:pPr>
      <w:r>
        <w:rPr>
          <w:rFonts w:ascii="Lato" w:hAnsi="Lato"/>
          <w:b/>
          <w:color w:val="1E3A5F"/>
          <w:sz w:val="26"/>
        </w:rPr>
        <w:t>Recommendation</w:t>
      </w:r>
    </w:p>
    <w:p>
      <w:pPr>
        <w:spacing w:after="120" w:before="0"/>
      </w:pPr>
      <w:r>
        <w:rPr>
          <w:rFonts w:ascii="Lato" w:hAnsi="Lato"/>
          <w:b w:val="0"/>
          <w:i w:val="0"/>
          <w:sz w:val="22"/>
        </w:rPr>
        <w:t>Redesign shade communication to show realistic results on Indian hair - dark base, different textures, with and without prior colouring. Create a digital shade try-on tool specifically calibrated for Indian skin tones and hair types. For the burgundy segment, develop a range of burgundy sub-shades (wine, cherry, plum, mahogany) that acknowledge this is India's gateway fashion shade.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shade perception study showing Indian consumers actual results on Indian hair vs. current shade card imagery. Measure whether realistic representation increases or decreases purchase intent.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"Hi! I used to use igora royal 4-65 which I LOVED, but was discontinued 😢. I started using 4-60 and it covered my grey/silver well, but looks flat and wig-like.  Do you have a recommendation for a replacement? I picked up Ion from sally in 4G which has the same name as the 4-65 (medium chocolate gold) but the roots turned yellow metallic gold. Unsure what to do. Wondering if I could mix igora royal 4-6 and another shade to recreate the beautiful 4-65."</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"Need to improve a bit: Pros - Good coverage for short Greys. Cons - The black crayon falls off from the tube easily so you have to be very careful while opening the tube. Secondly, it is not transfer-proof. The colour will transfer to your fingers if you touch it after applying."</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"@kathadtheworld ty i thought about doing that but i wanted it to stay for awhile. Also can i just say i used the shade "jade" and my hair turned bright neon blue everywhere that it was white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DIY Home Colouring Experience</w:t>
      </w:r>
    </w:p>
    <w:p>
      <w:pPr>
        <w:spacing w:after="160"/>
      </w:pPr>
      <w:r>
        <w:rPr>
          <w:rFonts w:ascii="Lato" w:hAnsi="Lato"/>
          <w:b w:val="0"/>
          <w:i w:val="0"/>
          <w:color w:val="6B7280"/>
          <w:sz w:val="18"/>
        </w:rPr>
        <w:t>n=3081</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40.1% of Dataset</w:t>
      </w:r>
      <w:r>
        <w:rPr>
          <w:rFonts w:ascii="Lato" w:hAnsi="Lato"/>
          <w:b w:val="0"/>
          <w:i w:val="0"/>
          <w:color w:val="6B7280"/>
          <w:sz w:val="18"/>
        </w:rPr>
        <w:t xml:space="preserve">  |  NSS: </w:t>
      </w:r>
      <w:r>
        <w:rPr>
          <w:rFonts w:ascii="Lato" w:hAnsi="Lato"/>
          <w:b/>
          <w:i w:val="0"/>
          <w:color w:val="059669"/>
          <w:sz w:val="18"/>
        </w:rPr>
        <w:t>+27%</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4.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DIY Home Colouring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3,081 consumer mentions (40.1% prevalence) - the largest theme - discuss home hair colouring experiences. Conversations cover application tutorials, ease-of-use reviews, shampoo-based hair colour popularity, mess management, and comparisons between different product formats (cream, shampoo, powder, spray, wax). Indian consumers show strong interest in 5-10 minute shampoo hair colours for convenience. NSS of +0.27 shows positive sentiment overall, with negatives concentrated around messy application and skin staining.</w:t>
      </w:r>
    </w:p>
    <w:p>
      <w:pPr>
        <w:pStyle w:val="Heading3"/>
        <w:jc w:val="left"/>
      </w:pPr>
      <w:r>
        <w:rPr>
          <w:rFonts w:ascii="Lato" w:hAnsi="Lato"/>
          <w:b/>
          <w:color w:val="1E3A5F"/>
          <w:sz w:val="26"/>
        </w:rPr>
        <w:t>What it Means</w:t>
      </w:r>
    </w:p>
    <w:p>
      <w:pPr>
        <w:spacing w:after="120" w:before="0"/>
      </w:pPr>
      <w:r>
        <w:rPr>
          <w:rFonts w:ascii="Lato" w:hAnsi="Lato"/>
          <w:b w:val="0"/>
          <w:i w:val="0"/>
          <w:sz w:val="22"/>
        </w:rPr>
        <w:t>The home colouring market in India is undergoing a format revolution - shampoo-based hair colours that promise salon results in 5-10 minutes are rapidly displacing traditional cream-based box dyes. The primary driver is not cost savings over salon visits but time efficiency and the desire to colour hair as casually as shampooing. Indian consumers, especially men covering grey hair, want colouring to feel like a routine hygiene step rather than a deliberate beauty procedure.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Product format is becoming as important as colour quality in driving purchase decisions. The brands winning in this conversation - BBlunt, Kokila, Nisha, Indica - are all shampoo-format products. Traditional cream-based hair colours risk losing market share not on colour quality but on friction. The 5-minute promise has reset consumer expectations for application time.</w:t>
      </w:r>
    </w:p>
    <w:p>
      <w:pPr>
        <w:pStyle w:val="Heading3"/>
        <w:jc w:val="left"/>
      </w:pPr>
      <w:r>
        <w:rPr>
          <w:rFonts w:ascii="Lato" w:hAnsi="Lato"/>
          <w:b/>
          <w:color w:val="1E3A5F"/>
          <w:sz w:val="26"/>
        </w:rPr>
        <w:t>Recommendation</w:t>
      </w:r>
    </w:p>
    <w:p>
      <w:pPr>
        <w:spacing w:after="120" w:before="0"/>
      </w:pPr>
      <w:r>
        <w:rPr>
          <w:rFonts w:ascii="Lato" w:hAnsi="Lato"/>
          <w:b w:val="0"/>
          <w:i w:val="0"/>
          <w:sz w:val="22"/>
        </w:rPr>
        <w:t>Accelerate development of shampoo-based and instant-format hair colours that deliver professional-grade coverage in under 10 minutes. Invest in packaging innovation that eliminates mixing, reduces mess, and enables single-hand application. For cream-based products, create comparison content showing equivalent results to position them as the premium-quality option for consumers willing to invest more time.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format mix shift in Indian hair colour sales data - shampoo vs. cream vs. powder vs. spray. Conduct a usage-and-attitude study to understand whether format preference varies by gender, age, and urban/rural segments.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"Im 63 long curly hair and i want a long shag. Will it work? I like the kinda messy look and I think i can pull it off."</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"Instant hair color: Fantastically color the hair without putting any effort loving this"</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"@aisherth If women have rules, then men shouldn’t get a free pass either. Government officers keeping long hair or messy beards it is gross &amp;amp; unprofessional at govt officers it should be neatly trimmed, uniformed"</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Grey Coverage &amp; Root Touch-Up</w:t>
      </w:r>
    </w:p>
    <w:p>
      <w:pPr>
        <w:spacing w:after="160"/>
      </w:pPr>
      <w:r>
        <w:rPr>
          <w:rFonts w:ascii="Lato" w:hAnsi="Lato"/>
          <w:b w:val="0"/>
          <w:i w:val="0"/>
          <w:color w:val="6B7280"/>
          <w:sz w:val="18"/>
        </w:rPr>
        <w:t>n=1137</w:t>
      </w:r>
      <w:r>
        <w:rPr>
          <w:rFonts w:ascii="Lato" w:hAnsi="Lato"/>
          <w:b w:val="0"/>
          <w:i w:val="0"/>
          <w:color w:val="374151"/>
          <w:sz w:val="18"/>
        </w:rPr>
        <w:t xml:space="preserve">  |  Confidence: </w:t>
      </w:r>
      <w:r>
        <w:rPr>
          <w:rFonts w:ascii="Lato" w:hAnsi="Lato"/>
          <w:b/>
          <w:i w:val="0"/>
          <w:color w:val="D97706"/>
          <w:sz w:val="18"/>
        </w:rPr>
        <w:t>54% (Medium)</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14.8% of Dataset</w:t>
      </w:r>
      <w:r>
        <w:rPr>
          <w:rFonts w:ascii="Lato" w:hAnsi="Lato"/>
          <w:b w:val="0"/>
          <w:i w:val="0"/>
          <w:color w:val="6B7280"/>
          <w:sz w:val="18"/>
        </w:rPr>
        <w:t xml:space="preserve">  |  NSS: </w:t>
      </w:r>
      <w:r>
        <w:rPr>
          <w:rFonts w:ascii="Lato" w:hAnsi="Lato"/>
          <w:b/>
          <w:i w:val="0"/>
          <w:color w:val="059669"/>
          <w:sz w:val="18"/>
        </w:rPr>
        <w:t>+35%</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Grey Coverage &amp; Root Touch-Up</w:t>
      </w:r>
    </w:p>
    <w:p>
      <w:pPr>
        <w:pStyle w:val="Heading3"/>
        <w:jc w:val="left"/>
      </w:pPr>
      <w:r>
        <w:rPr>
          <w:rFonts w:ascii="Lato" w:hAnsi="Lato"/>
          <w:b/>
          <w:color w:val="1E3A5F"/>
          <w:sz w:val="26"/>
        </w:rPr>
        <w:t>What the Data Shows</w:t>
      </w:r>
    </w:p>
    <w:p>
      <w:pPr>
        <w:spacing w:after="120" w:before="0"/>
      </w:pPr>
      <w:r>
        <w:rPr>
          <w:rFonts w:ascii="Lato" w:hAnsi="Lato"/>
          <w:b w:val="0"/>
          <w:i w:val="0"/>
          <w:sz w:val="22"/>
        </w:rPr>
        <w:t>1,137 consumer mentions (14.8% prevalence) across all 5 platforms discuss grey hair coverage as a primary need. Premature greying in the 20s-30s is a recurring concern in Indian consumers. Conversations span product reviews of instant grey cover solutions, emotional discussions about ageing acceptance, and viral misinformation about natural grey reversal. NSS of +0.18 indicates mild positive sentiment, with significant negative experiences around incomplete coverage and colour fading after washes.</w:t>
      </w:r>
    </w:p>
    <w:p>
      <w:pPr>
        <w:pStyle w:val="Heading3"/>
        <w:jc w:val="left"/>
      </w:pPr>
      <w:r>
        <w:rPr>
          <w:rFonts w:ascii="Lato" w:hAnsi="Lato"/>
          <w:b/>
          <w:color w:val="1E3A5F"/>
          <w:sz w:val="26"/>
        </w:rPr>
        <w:t>What it Means</w:t>
      </w:r>
    </w:p>
    <w:p>
      <w:pPr>
        <w:spacing w:after="120" w:before="0"/>
      </w:pPr>
      <w:r>
        <w:rPr>
          <w:rFonts w:ascii="Lato" w:hAnsi="Lato"/>
          <w:b w:val="0"/>
          <w:i w:val="0"/>
          <w:sz w:val="22"/>
        </w:rPr>
        <w:t>Grey coverage is not just a cosmetic need but an emotional one - consumers associate visible grey hair with premature ageing and social judgement, creating urgency that drives impulse purchases of quick-fix solutions. The tension between wanting to cover grey and fearing chemical damage creates a market for ammonia-free, natural grey coverage products.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grey coverage segment represents a high-frequency, repeat-purchase opportunity with strong emotional drivers. Consumers cycle through products quickly because no solution fully satisfies the triangle of coverage quality, hair safety, and longevity. Brands that credibly address all three will capture loyalty in this restless segment.</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grey coverage sub-line with three distinct promises: instant touch-up (powder/spray for daily use), gentle full coverage (ammonia-free cream for monthly use), and progressive coverage (shampoo-based for gradual darkening). Each product should clearly communicate its duration and safety profile to reduce purchase anxiety.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among Indian consumers aged 25-45 to measure the relative importance of coverage completeness vs. hair safety vs. longevity. Test whether consumers would pay a 30-50% premium for a clinically proven ammonia-free formula with guaranteed grey coverage lasting 4+ weeks.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"I’m 46 and have decided to just go grey naturally. I haven’t dyed my hair in years and it’s just so much healthier now. Fingers crossed I look as cool as her later (I only have a few strands of white for now)!"</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"Need to improve a bit: Pros - Good coverage for short Greys. Cons - The black crayon falls off from the tube easily so you have to be very careful while opening the tube. Secondly, it is not transfer-proof. The colour will transfer to your fingers if you touch it after applying."</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"@kathadtheworld ty i thought about doing that but i wanted it to stay for awhile. Also can i just say i used the shade "jade" and my hair turned bright neon blue everywhere that it was white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04. Natural &amp; Herbal Hair Colour</w:t>
      </w:r>
    </w:p>
    <w:p>
      <w:pPr>
        <w:spacing w:after="160"/>
      </w:pPr>
      <w:r>
        <w:rPr>
          <w:rFonts w:ascii="Lato" w:hAnsi="Lato"/>
          <w:b w:val="0"/>
          <w:i w:val="0"/>
          <w:color w:val="6B7280"/>
          <w:sz w:val="18"/>
        </w:rPr>
        <w:t>n=910</w:t>
      </w:r>
      <w:r>
        <w:rPr>
          <w:rFonts w:ascii="Lato" w:hAnsi="Lato"/>
          <w:b w:val="0"/>
          <w:i w:val="0"/>
          <w:color w:val="374151"/>
          <w:sz w:val="18"/>
        </w:rPr>
        <w:t xml:space="preserve">  |  Confidence: </w:t>
      </w:r>
      <w:r>
        <w:rPr>
          <w:rFonts w:ascii="Lato" w:hAnsi="Lato"/>
          <w:b/>
          <w:i w:val="0"/>
          <w:color w:val="D97706"/>
          <w:sz w:val="18"/>
        </w:rPr>
        <w:t>53%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11.8%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2.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&amp; Herbal Hair Colour</w:t>
      </w:r>
    </w:p>
    <w:p>
      <w:pPr>
        <w:pStyle w:val="Heading3"/>
        <w:jc w:val="left"/>
      </w:pPr>
      <w:r>
        <w:rPr>
          <w:rFonts w:ascii="Lato" w:hAnsi="Lato"/>
          <w:b/>
          <w:color w:val="1E3A5F"/>
          <w:sz w:val="26"/>
        </w:rPr>
        <w:t>What the Data Shows</w:t>
      </w:r>
    </w:p>
    <w:p>
      <w:pPr>
        <w:spacing w:after="120" w:before="0"/>
      </w:pPr>
      <w:r>
        <w:rPr>
          <w:rFonts w:ascii="Lato" w:hAnsi="Lato"/>
          <w:b w:val="0"/>
          <w:i w:val="0"/>
          <w:sz w:val="22"/>
        </w:rPr>
        <w:t>910 consumer mentions (11.8% prevalence) express strong interest in natural, herbal, and chemical-free hair colouring. Henna and mehendi dominate this conversation, with consumers sharing DIY recipes mixing amla, indigo, beetroot, and other botanicals. Indian consumers show particularly high awareness of traditional dyeing methods passed down through generations. NSS of +0.25 shows moderately positive sentiment, though concerns about limited shade range and messy application process persist.</w:t>
      </w:r>
    </w:p>
    <w:p>
      <w:pPr>
        <w:pStyle w:val="Heading3"/>
        <w:jc w:val="left"/>
      </w:pPr>
      <w:r>
        <w:rPr>
          <w:rFonts w:ascii="Lato" w:hAnsi="Lato"/>
          <w:b/>
          <w:color w:val="1E3A5F"/>
          <w:sz w:val="26"/>
        </w:rPr>
        <w:t>What it Means</w:t>
      </w:r>
    </w:p>
    <w:p>
      <w:pPr>
        <w:spacing w:after="120" w:before="0"/>
      </w:pPr>
      <w:r>
        <w:rPr>
          <w:rFonts w:ascii="Lato" w:hAnsi="Lato"/>
          <w:b w:val="0"/>
          <w:i w:val="0"/>
          <w:sz w:val="22"/>
        </w:rPr>
        <w:t>The natural hair colour preference is driven by a dual fear - fear of chemical damage from synthetic dyes AND a cultural confidence in ayurvedic and traditional Indian remedies. Consumers are not just choosing natural for safety but asserting a cultural identity that values traditional knowledge over Western cosmetic chemistry. However, they are frustrated by the gap between the convenience of modern products and the perceived purity of natural alternatives.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There is a significant white space for brands that can bridge traditional Indian hair care wisdom with modern product convenience. The market is currently split between pure henna (authentic but messy and limited in shades) and branded herbal products (convenient but distrusted for containing hidden chemicals). A brand that achieves genuine transparency about ingredients while delivering modern convenience could own this growing segment.</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herbal hair colour range that explicitly names every ingredient with its ayurvedic purpose, uses transparent packaging showing the actual plant-based formulation, and offers application convenience comparable to synthetic dyes. Partner with ayurvedic practitioners or dermatologists to validate claims. Consider India-first positioning that celebrates traditional hair care knowledge.</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the concept of a transparent-ingredient herbal hair colour line with Indian women aged 30-55 through concept testing. Measure willingness to pay and whether certification from an ayurvedic body increases purchase intent vs. a dermatologist endorsement.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"Natural Color: Color looks natural, covered greys fully, no strong smell, hair feels soft after use, easy instructions, lasted weeks well enough."</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"Clear skin सपोर्ट हेतु Planet Ayurveda का Gleaming Skin Hair Nails Formula Capsules त्वचा पोषण में सहायक है।"</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"Pls don't dye your hair. I'm telling you this from my experience hair dye made my hair more grey 😭 ik people say that it is a myth so I went ahead and dyed my hair and now I have more grey hair than before. F</w:t>
        <w:br/>
        <w:t>I have been applying henna and that works for me. You can try indigo after henna but pls don't dye your hair."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05. Colour Longevity &amp; Fading</w:t>
      </w:r>
    </w:p>
    <w:p>
      <w:pPr>
        <w:spacing w:after="160"/>
      </w:pPr>
      <w:r>
        <w:rPr>
          <w:rFonts w:ascii="Lato" w:hAnsi="Lato"/>
          <w:b w:val="0"/>
          <w:i w:val="0"/>
          <w:color w:val="6B7280"/>
          <w:sz w:val="18"/>
        </w:rPr>
        <w:t>n=1431</w:t>
      </w:r>
      <w:r>
        <w:rPr>
          <w:rFonts w:ascii="Lato" w:hAnsi="Lato"/>
          <w:b w:val="0"/>
          <w:i w:val="0"/>
          <w:color w:val="374151"/>
          <w:sz w:val="18"/>
        </w:rPr>
        <w:t xml:space="preserve">  |  Confidence: </w:t>
      </w:r>
      <w:r>
        <w:rPr>
          <w:rFonts w:ascii="Lato" w:hAnsi="Lato"/>
          <w:b/>
          <w:i w:val="0"/>
          <w:color w:val="D97706"/>
          <w:sz w:val="18"/>
        </w:rPr>
        <w:t>53%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18.6%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5.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Colour Longevity &amp; Fading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1,431 consumer mentions (18.6% prevalence) discuss colour longevity - how long it lasts, fading patterns, and maintenance requirements. The distinction between permanent, semi-permanent, and temporary colour is a major source of confusion. Amazon reviews frequently complain about colour washing out after 2-3 washes despite product claims. NSS of +0.13 reflects significant dissatisfaction with colour durability alongside positive experiences with longer-lasting formulations.</w:t>
      </w:r>
    </w:p>
    <w:p>
      <w:pPr>
        <w:pStyle w:val="Heading3"/>
        <w:jc w:val="left"/>
      </w:pPr>
      <w:r>
        <w:rPr>
          <w:rFonts w:ascii="Lato" w:hAnsi="Lato"/>
          <w:b/>
          <w:color w:val="1E3A5F"/>
          <w:sz w:val="26"/>
        </w:rPr>
        <w:t>What it Means</w:t>
      </w:r>
    </w:p>
    <w:p>
      <w:pPr>
        <w:spacing w:after="120" w:before="0"/>
      </w:pPr>
      <w:r>
        <w:rPr>
          <w:rFonts w:ascii="Lato" w:hAnsi="Lato"/>
          <w:b w:val="0"/>
          <w:i w:val="0"/>
          <w:sz w:val="22"/>
        </w:rPr>
        <w:t>Colour longevity is the most common source of post-purchase disappointment in the Indian hair colour market. Consumers routinely report that products marketed as long-lasting fade within days, creating a trust deficit that affects the entire category. The gap between marketing claims and actual performance is wider in India's climate - heat, humidity, and frequent hair oiling accelerate fading in ways that products designed for Western conditions do not account for.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Longevity claims are a credibility minefield. Overpromising on duration erodes brand trust faster than any other factor. There is an opportunity for a brand to differentiate by providing honest, condition-specific longevity guidance - telling consumers exactly how many washes their colour will last based on their hair type, water quality, and maintenance routine rather than a generic weeks-long claim.</w:t>
      </w:r>
    </w:p>
    <w:p>
      <w:pPr>
        <w:pStyle w:val="Heading3"/>
        <w:jc w:val="left"/>
      </w:pPr>
      <w:r>
        <w:rPr>
          <w:rFonts w:ascii="Lato" w:hAnsi="Lato"/>
          <w:b/>
          <w:color w:val="1E3A5F"/>
          <w:sz w:val="26"/>
        </w:rPr>
        <w:t>Recommendation</w:t>
      </w:r>
    </w:p>
    <w:p>
      <w:pPr>
        <w:spacing w:after="120" w:before="0"/>
      </w:pPr>
      <w:r>
        <w:rPr>
          <w:rFonts w:ascii="Lato" w:hAnsi="Lato"/>
          <w:b w:val="0"/>
          <w:i w:val="0"/>
          <w:sz w:val="22"/>
        </w:rPr>
        <w:t>Replace generic longevity claims with a conditional promise system - for example, a Colour Duration Calculator on packaging or an app that estimates fade timeline based on wash frequency, water type, and hair oiling habits. Develop a colour-lock post-wash serum that extends colour life and creates a consumable aftermarket product opportunity.</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controlled longevity study testing top-selling Indian hair colours under Indian conditions - hard water, coconut oil pre-wash, daily hair oiling, high humidity. Publish transparent results to build category credibility.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"Very good: Works. Better than any other instant hair color touch up available in the market. Doesn’t make hair sticky and gives a natural look. Stays till you wash your hair"</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"Fantastic video, I haven't coloured my hair at home in years.  I used to put semi permanent hair colour in when I was at schools, so it wasn't to much of a hair colour change. Great video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should as it creates a coating. They use demi permanent for grey blending as well. Otherwise you can also opt for semi permanent colour which is also less damaging. I think a consultation at a good salon should give you the best info according to the result you want"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06. Safety Concerns &amp; Chemical Sensitivity</w:t>
      </w:r>
    </w:p>
    <w:p>
      <w:pPr>
        <w:spacing w:after="160"/>
      </w:pPr>
      <w:r>
        <w:rPr>
          <w:rFonts w:ascii="Lato" w:hAnsi="Lato"/>
          <w:b w:val="0"/>
          <w:i w:val="0"/>
          <w:color w:val="6B7280"/>
          <w:sz w:val="18"/>
        </w:rPr>
        <w:t>n=937</w:t>
      </w:r>
      <w:r>
        <w:rPr>
          <w:rFonts w:ascii="Lato" w:hAnsi="Lato"/>
          <w:b w:val="0"/>
          <w:i w:val="0"/>
          <w:color w:val="374151"/>
          <w:sz w:val="18"/>
        </w:rPr>
        <w:t xml:space="preserve">  |  Confidence: </w:t>
      </w:r>
      <w:r>
        <w:rPr>
          <w:rFonts w:ascii="Lato" w:hAnsi="Lato"/>
          <w:b/>
          <w:i w:val="0"/>
          <w:color w:val="D97706"/>
          <w:sz w:val="18"/>
        </w:rPr>
        <w:t>50% (Medium)</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12.2% of Dataset</w:t>
      </w:r>
      <w:r>
        <w:rPr>
          <w:rFonts w:ascii="Lato" w:hAnsi="Lato"/>
          <w:b w:val="0"/>
          <w:i w:val="0"/>
          <w:color w:val="6B7280"/>
          <w:sz w:val="18"/>
        </w:rPr>
        <w:t xml:space="preserve">  |  NSS: </w:t>
      </w:r>
      <w:r>
        <w:rPr>
          <w:rFonts w:ascii="Lato" w:hAnsi="Lato"/>
          <w:b/>
          <w:i w:val="0"/>
          <w:color w:val="DC2626"/>
          <w:sz w:val="18"/>
        </w:rPr>
        <w:t>-10%</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3.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Safety Concerns &amp; Chemical Sensitivity</w:t>
      </w:r>
    </w:p>
    <w:p>
      <w:pPr>
        <w:pStyle w:val="Heading3"/>
        <w:jc w:val="left"/>
      </w:pPr>
      <w:r>
        <w:rPr>
          <w:rFonts w:ascii="Lato" w:hAnsi="Lato"/>
          <w:b/>
          <w:color w:val="1E3A5F"/>
          <w:sz w:val="26"/>
        </w:rPr>
        <w:t>What the Data Shows</w:t>
      </w:r>
    </w:p>
    <w:p>
      <w:pPr>
        <w:spacing w:after="120" w:before="0"/>
      </w:pPr>
      <w:r>
        <w:rPr>
          <w:rFonts w:ascii="Lato" w:hAnsi="Lato"/>
          <w:b w:val="0"/>
          <w:i w:val="0"/>
          <w:sz w:val="22"/>
        </w:rPr>
        <w:t>937 consumer mentions (12.2% prevalence) discuss safety worries about hair colour products - allergic reactions, scalp irritation, PPD sensitivity, ammonia damage, hair fall, and long-term health effects. Amazon reviews frequently report post-colouring hair fall and scalp burning. The conversation is emotionally charged, with fear being the dominant emotion. NSS of +0.08 is nearly neutral, reflecting a split between consumers who found safe products and those who suffered adverse reactions.</w:t>
      </w:r>
    </w:p>
    <w:p>
      <w:pPr>
        <w:pStyle w:val="Heading3"/>
        <w:jc w:val="left"/>
      </w:pPr>
      <w:r>
        <w:rPr>
          <w:rFonts w:ascii="Lato" w:hAnsi="Lato"/>
          <w:b/>
          <w:color w:val="1E3A5F"/>
          <w:sz w:val="26"/>
        </w:rPr>
        <w:t>What it Means</w:t>
      </w:r>
    </w:p>
    <w:p>
      <w:pPr>
        <w:spacing w:after="120" w:before="0"/>
      </w:pPr>
      <w:r>
        <w:rPr>
          <w:rFonts w:ascii="Lato" w:hAnsi="Lato"/>
          <w:b w:val="0"/>
          <w:i w:val="0"/>
          <w:sz w:val="22"/>
        </w:rPr>
        <w:t>Safety anxiety is the single biggest barrier to hair colour adoption and repeat purchase in India. Consumers who experience even one adverse reaction - scalp burning, excessive hair fall, or allergic response - permanently switch to natural alternatives or stop colouring entirely. The Indian consumer's safety threshold is lower than Western markets because hair health is culturally central to beauty standards, and hair loss carries greater social stigma.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Safety is not a feature - it is the foundation of brand trust in Indian hair colour. Current marketing emphasises colour results and shade range, but consumer conversations reveal that safety reassurance drives the actual purchase decision. Brands with documented safety profiles and gentle formulations will disproportionately benefit from word-of-mouth in a market where negative experiences spread rapidly through social networks.</w:t>
      </w:r>
    </w:p>
    <w:p>
      <w:pPr>
        <w:pStyle w:val="Heading3"/>
        <w:jc w:val="left"/>
      </w:pPr>
      <w:r>
        <w:rPr>
          <w:rFonts w:ascii="Lato" w:hAnsi="Lato"/>
          <w:b/>
          <w:color w:val="1E3A5F"/>
          <w:sz w:val="26"/>
        </w:rPr>
        <w:t>Recommendation</w:t>
      </w:r>
    </w:p>
    <w:p>
      <w:pPr>
        <w:spacing w:after="120" w:before="0"/>
      </w:pPr>
      <w:r>
        <w:rPr>
          <w:rFonts w:ascii="Lato" w:hAnsi="Lato"/>
          <w:b w:val="0"/>
          <w:i w:val="0"/>
          <w:sz w:val="22"/>
        </w:rPr>
        <w:t>Make safety the lead marketing message rather than a footnote. Introduce a visible safety certification on packaging, include a free patch test kit in every box, and create a transparent adverse reaction reporting system. Develop a post-colouring hair care protocol included with every product to reduce the hair-fall-after-colouring anxiety that drives consumer churn.</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conjoint analysis to measure the trade-off Indian consumers make between shade variety, price, and safety credentials. Quantify the lifetime value impact of a single adverse reaction on brand switching behaviour.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"Really covered my black hair: Really works on my hairs No side effects Really covered my black hair"</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"Nahi vo chemical treatment vala damage koi bhi shampoo akele treat ni karskta uske liye proper routine hota hai, hair mask, shampoo and oiling ya serums me se kuch bhi use karskte ho jiske liye ap comfortable ho"</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"@ziyu_zp I hope Ziyu will consider wearing a wig instead of coloring her hair often, Bcs if dye your hair too often it will damage hair (such as causing prolonged hair loss)🥹🙏🏻"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07. Value &amp; Affordability</w:t>
      </w:r>
    </w:p>
    <w:p>
      <w:pPr>
        <w:spacing w:after="160"/>
      </w:pPr>
      <w:r>
        <w:rPr>
          <w:rFonts w:ascii="Lato" w:hAnsi="Lato"/>
          <w:b w:val="0"/>
          <w:i w:val="0"/>
          <w:color w:val="6B7280"/>
          <w:sz w:val="18"/>
        </w:rPr>
        <w:t>n=594</w:t>
      </w:r>
      <w:r>
        <w:rPr>
          <w:rFonts w:ascii="Lato" w:hAnsi="Lato"/>
          <w:b w:val="0"/>
          <w:i w:val="0"/>
          <w:color w:val="374151"/>
          <w:sz w:val="18"/>
        </w:rPr>
        <w:t xml:space="preserve">  |  Confidence: </w:t>
      </w:r>
      <w:r>
        <w:rPr>
          <w:rFonts w:ascii="Lato" w:hAnsi="Lato"/>
          <w:b/>
          <w:i w:val="0"/>
          <w:color w:val="D97706"/>
          <w:sz w:val="18"/>
        </w:rPr>
        <w:t>50% (Medium)</w:t>
      </w:r>
      <w:r>
        <w:rPr>
          <w:rFonts w:ascii="Lato" w:hAnsi="Lato"/>
          <w:b w:val="0"/>
          <w:i w:val="0"/>
          <w:color w:val="374151"/>
          <w:sz w:val="18"/>
        </w:rPr>
        <w:t xml:space="preserve">  |  Signal: </w:t>
      </w:r>
      <w:r>
        <w:rPr>
          <w:rFonts w:ascii="Lato" w:hAnsi="Lato"/>
          <w:b/>
          <w:i w:val="0"/>
          <w:color w:val="374151"/>
          <w:sz w:val="18"/>
        </w:rPr>
        <w:t>50% (Moderate)</w:t>
      </w:r>
      <w:r>
        <w:rPr>
          <w:rFonts w:ascii="Lato" w:hAnsi="Lato"/>
          <w:b w:val="0"/>
          <w:i w:val="0"/>
          <w:color w:val="6B7280"/>
          <w:sz w:val="18"/>
        </w:rPr>
        <w:t xml:space="preserve">  |  7.7%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9.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Value &amp; Affordability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594 consumer mentions (7.7% prevalence) discuss price sensitivity, salon vs. home cost comparisons, and value-for-money assessments. Indian consumers actively compare the cost of home colouring (Rs 40-500) vs. salon visits (Rs 500-3000+). Deal-seeking behaviour is prominent, with Twitter threads sharing discount codes and sale prices. NSS of +0.15 reflects mixed sentiment - positive when consumers find good value, negative when premium prices feel unjustified.</w:t>
      </w:r>
    </w:p>
    <w:p>
      <w:pPr>
        <w:pStyle w:val="Heading3"/>
        <w:jc w:val="left"/>
      </w:pPr>
      <w:r>
        <w:rPr>
          <w:rFonts w:ascii="Lato" w:hAnsi="Lato"/>
          <w:b/>
          <w:color w:val="1E3A5F"/>
          <w:sz w:val="26"/>
        </w:rPr>
        <w:t>What it Means</w:t>
      </w:r>
    </w:p>
    <w:p>
      <w:pPr>
        <w:spacing w:after="120" w:before="0"/>
      </w:pPr>
      <w:r>
        <w:rPr>
          <w:rFonts w:ascii="Lato" w:hAnsi="Lato"/>
          <w:b w:val="0"/>
          <w:i w:val="0"/>
          <w:sz w:val="22"/>
        </w:rPr>
        <w:t>Price is not the primary purchase driver for Indian hair colour consumers - value perception is. Consumers will pay more for products they believe are safer, longer-lasting, or deliver salon-quality results. The value conversation reveals that Indian consumers mentally calculate a cost-per-use metric, comparing price against longevity and coverage quality. A Rs 500 product that lasts 6 weeks is perceived as better value than a Rs 100 product that fades in 3 days, even though the absolute price is 5x higher.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Pricing strategy should be communicated through a value-per-use framework rather than absolute price points. Products that demonstrate longer colour retention and better coverage justify premium pricing in the Indian market. The Rs 40-100 sachet/shampoo format is winning on accessibility, not on value perception - there is room for premium products that clearly articulate their cost-per-week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Reframe pricing communication around cost-per-week or cost-per-application rather than per-box. Create bundle offers that include aftercare products (colour-lock shampoo, touch-up sticks) to increase basket size while improving perceived value. For the price-sensitive segment, offer multi-pack sachets that reduce per-unit cost while building repeat purchase habits.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price sensitivity analysis (Van Westendorp or Gabor-Granger) for the top 3 product formats in the Indian market. Test whether cost-per-week messaging changes willingness to pay vs. absolute price communication.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"Very useful product: Really happy with this purchase! The product arrived on time and was well packed. Quality is very good and it works exactly as described. Easy to use and gives a neat, natural finish. Totally worth the price. I would definitely recommend this to others and will repurchase if needed."</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"I did my legs, complete brazilian including scrotum, and armpits. I noticed a reduction in regrowth after the first treatment, and approx 60% reduction after 6 treatments. The pain is tolerable for the most part, but spots that hurt getting waxed also hurt getting lasered. I now have a Tria home laser and an epilator to keep myself smooth.</w:t>
        <w:br/>
        <w:br/>
        <w:t>It's not cheap, but if you've got the right skin/hair colour and are willing to spend the money, it's a great option for reducing hair."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"Third class product... High price n Bad Results... Not covered white hair, short time stay, 1st wash colour fade... Hair condition become rough n Hair fall increase most n most please don't buy😢😢"</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08. Trending Colours &amp; Fashion Influence</w:t>
      </w:r>
    </w:p>
    <w:p>
      <w:pPr>
        <w:spacing w:after="160"/>
      </w:pPr>
      <w:r>
        <w:rPr>
          <w:rFonts w:ascii="Lato" w:hAnsi="Lato"/>
          <w:b w:val="0"/>
          <w:i w:val="0"/>
          <w:color w:val="6B7280"/>
          <w:sz w:val="18"/>
        </w:rPr>
        <w:t>n=817</w:t>
      </w:r>
      <w:r>
        <w:rPr>
          <w:rFonts w:ascii="Lato" w:hAnsi="Lato"/>
          <w:b w:val="0"/>
          <w:i w:val="0"/>
          <w:color w:val="374151"/>
          <w:sz w:val="18"/>
        </w:rPr>
        <w:t xml:space="preserve">  |  Confidence: </w:t>
      </w:r>
      <w:r>
        <w:rPr>
          <w:rFonts w:ascii="Lato" w:hAnsi="Lato"/>
          <w:b/>
          <w:i w:val="0"/>
          <w:color w:val="D97706"/>
          <w:sz w:val="18"/>
        </w:rPr>
        <w:t>50%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10.6%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1.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Trending Colours &amp; Fashion Influence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817 consumer mentions (10.6% prevalence) discuss trend-driven colour choices influenced by celebrities, K-pop, social media, and fashion. Unconventional colours (pink, blue, purple, silver, teal, platinum) drive excitement and social sharing. K-pop influence is notable, with fans wanting to replicate idol hair colours. Indian celebrities like Alia Bhatt also drive trend interest. NSS of +0.30 reflects high enthusiasm in this conversation.</w:t>
      </w:r>
    </w:p>
    <w:p>
      <w:pPr>
        <w:pStyle w:val="Heading3"/>
        <w:jc w:val="left"/>
      </w:pPr>
      <w:r>
        <w:rPr>
          <w:rFonts w:ascii="Lato" w:hAnsi="Lato"/>
          <w:b/>
          <w:color w:val="1E3A5F"/>
          <w:sz w:val="26"/>
        </w:rPr>
        <w:t>What it Means</w:t>
      </w:r>
    </w:p>
    <w:p>
      <w:pPr>
        <w:spacing w:after="120" w:before="0"/>
      </w:pPr>
      <w:r>
        <w:rPr>
          <w:rFonts w:ascii="Lato" w:hAnsi="Lato"/>
          <w:b w:val="0"/>
          <w:i w:val="0"/>
          <w:sz w:val="22"/>
        </w:rPr>
        <w:t>The trending colours conversation in India is aspirational rather than actionable - consumers share excitement about bold colours online but the vast majority do not actually dye their hair these shades. The gap between social media engagement and actual purchase is enormous because Indian dark hair requires bleaching for most fashion colours, creating a damage barrier that few are willing to cross. Temporary and washable colour products (sprays, wax, chalk) are the bridge products that convert trend interest into actual usage.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trending colours segment is a high-engagement, low-conversion market that requires a fundamentally different product strategy. The opportunity is not in permanent fashion colours but in temporary, no-commitment colour products that let consumers participate in trends without risking hair damage. These products also serve as gateway products that can introduce younger consumers to a brand before they become regular users of the core grey-coverage or shade-change lines.</w:t>
      </w:r>
    </w:p>
    <w:p>
      <w:pPr>
        <w:pStyle w:val="Heading3"/>
        <w:jc w:val="left"/>
      </w:pPr>
      <w:r>
        <w:rPr>
          <w:rFonts w:ascii="Lato" w:hAnsi="Lato"/>
          <w:b/>
          <w:color w:val="1E3A5F"/>
          <w:sz w:val="26"/>
        </w:rPr>
        <w:t>Recommendation</w:t>
      </w:r>
    </w:p>
    <w:p>
      <w:pPr>
        <w:spacing w:after="120" w:before="0"/>
      </w:pPr>
      <w:r>
        <w:rPr>
          <w:rFonts w:ascii="Lato" w:hAnsi="Lato"/>
          <w:b w:val="0"/>
          <w:i w:val="0"/>
          <w:sz w:val="22"/>
        </w:rPr>
        <w:t>Expand the temporary colour product range - washable sprays, colour wax, colour-depositing masks, and peel-off colour. Launch limited-edition trend colours tied to cultural moments (festival seasons, Bollywood releases, K-pop tours). Create a social media challenge or branded hashtag that encourages consumers to share their temporary colour transformations, driving organic user-generated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the conversion rate from trend colour social media engagement to actual purchase. Test whether a sample/trial-size temporary colour product (Rs 99) at modern trade checkout counters drives trial and subsequent full-size purchase.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"Hi! I used to use igora royal 4-65 which I LOVED, but was discontinued 😢. I started using 4-60 and it covered my grey/silver well, but looks flat and wig-like.  Do you have a recommendation for a replacement? I picked up Ion from sally in 4G which has the same name as the 4-65 (medium chocolate gold) but the roots turned yellow metallic gold. Unsure what to do. Wondering if I could mix igora royal 4-6 and another shade to recreate the beautiful 4-65."</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"Very good product: Paradyes Comfi Purple gives a vibrant, bold purple shade that really stands out, especially on pre-lightened hair. The formula feels gentle and conditioning, leaving hair soft with minimal dryness. Color payoff is good, though it may fade slightly with frequent washes."</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"Hi friend,</w:t>
        <w:br/>
        <w:br/>
        <w:t>Largely depends on your company culture and nature of your role.</w:t>
        <w:br/>
        <w:br/>
        <w:t>Even you are in a client facing role, chances are low that you can be yourself (hair color).</w:t>
        <w:br/>
        <w:br/>
        <w:t>What I would say is - do it light tough first, understand the reaction  and then plan accordingly.</w:t>
        <w:br/>
        <w:br/>
        <w:t>During the late 2000s, I was at startup in Bangalore, a colleague turned his hair purple/pink fully! The next day he came in after shaving his hair. Everyone knew what would have happened.</w:t>
        <w:br/>
        <w:br/>
        <w:t>Best wishes!</w:t>
        <w:br/>
        <w:br/>
        <w:t>Best wishes!"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09. Self-Expression &amp; Identity Through Hair Colour</w:t>
      </w:r>
    </w:p>
    <w:p>
      <w:pPr>
        <w:spacing w:after="160"/>
      </w:pPr>
      <w:r>
        <w:rPr>
          <w:rFonts w:ascii="Lato" w:hAnsi="Lato"/>
          <w:b w:val="0"/>
          <w:i w:val="0"/>
          <w:color w:val="6B7280"/>
          <w:sz w:val="18"/>
        </w:rPr>
        <w:t>n=692</w:t>
      </w:r>
      <w:r>
        <w:rPr>
          <w:rFonts w:ascii="Lato" w:hAnsi="Lato"/>
          <w:b w:val="0"/>
          <w:i w:val="0"/>
          <w:color w:val="374151"/>
          <w:sz w:val="18"/>
        </w:rPr>
        <w:t xml:space="preserve">  |  Confidence: </w:t>
      </w:r>
      <w:r>
        <w:rPr>
          <w:rFonts w:ascii="Lato" w:hAnsi="Lato"/>
          <w:b/>
          <w:i w:val="0"/>
          <w:color w:val="6B7280"/>
          <w:sz w:val="18"/>
        </w:rPr>
        <w:t>50% (Directional)</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9.0% of Dataset</w:t>
      </w:r>
      <w:r>
        <w:rPr>
          <w:rFonts w:ascii="Lato" w:hAnsi="Lato"/>
          <w:b w:val="0"/>
          <w:i w:val="0"/>
          <w:color w:val="6B7280"/>
          <w:sz w:val="18"/>
        </w:rPr>
        <w:t xml:space="preserve">  |  NSS: </w:t>
      </w:r>
      <w:r>
        <w:rPr>
          <w:rFonts w:ascii="Lato" w:hAnsi="Lato"/>
          <w:b/>
          <w:i w:val="0"/>
          <w:color w:val="059669"/>
          <w:sz w:val="18"/>
        </w:rPr>
        <w:t>+35%</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8.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Self-Expression &amp; Identity Through Hair Colour</w:t>
      </w:r>
    </w:p>
    <w:p>
      <w:pPr>
        <w:pStyle w:val="Heading3"/>
        <w:jc w:val="left"/>
      </w:pPr>
      <w:r>
        <w:rPr>
          <w:rFonts w:ascii="Lato" w:hAnsi="Lato"/>
          <w:b/>
          <w:color w:val="1E3A5F"/>
          <w:sz w:val="26"/>
        </w:rPr>
        <w:t>What the Data Shows</w:t>
      </w:r>
    </w:p>
    <w:p>
      <w:pPr>
        <w:spacing w:after="120" w:before="0"/>
      </w:pPr>
      <w:r>
        <w:rPr>
          <w:rFonts w:ascii="Lato" w:hAnsi="Lato"/>
          <w:b w:val="0"/>
          <w:i w:val="0"/>
          <w:sz w:val="22"/>
        </w:rPr>
        <w:t>692 consumer mentions (9.0% prevalence) frame hair colouring as an act of self-expression, personal transformation, and identity exploration. Consumers describe dyeing their hair as marking fresh starts, boosting confidence, and expressing individuality. This theme is particularly strong on Twitter and Instagram. NSS of +0.35 shows the most positive sentiment of all themes - consumers who colour for self-expression are enthusiastic advocates.</w:t>
      </w:r>
    </w:p>
    <w:p>
      <w:pPr>
        <w:pStyle w:val="Heading3"/>
        <w:jc w:val="left"/>
      </w:pPr>
      <w:r>
        <w:rPr>
          <w:rFonts w:ascii="Lato" w:hAnsi="Lato"/>
          <w:b/>
          <w:color w:val="1E3A5F"/>
          <w:sz w:val="26"/>
        </w:rPr>
        <w:t>What it Means</w:t>
      </w:r>
    </w:p>
    <w:p>
      <w:pPr>
        <w:spacing w:after="120" w:before="0"/>
      </w:pPr>
      <w:r>
        <w:rPr>
          <w:rFonts w:ascii="Lato" w:hAnsi="Lato"/>
          <w:b w:val="0"/>
          <w:i w:val="0"/>
          <w:sz w:val="22"/>
        </w:rPr>
        <w:t>A growing segment of Indian consumers, especially younger urban demographics, has shifted from viewing hair colour as a grey-covering necessity to embracing it as a self-expression tool comparable to fashion or makeup. This shift represents a fundamental market expansion - these consumers colour their hair not because they need to but because they want to. Their purchasing behaviour is driven by trend cycles and emotional motivation rather than functional need, making them higher-frequency but less brand-loyal customers.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self-expression segment is the fastest-growing and highest-margin opportunity in Indian hair colour, but it requires completely different marketing than the grey-coverage segment. These consumers respond to aspiration, creativity, and cultural relevance rather than functional claims. They are also the most likely to generate organic social content, making them disproportionately valuable as brand advocates.</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distinct product line and marketing campaign for the self-expression segment - bold packaging, trend-driven shade drops, collaborations with Indian content creators, and positioning that celebrates experimentation. Launch seasonal limited-edition shades that create urgency and collectibility. Ensure these products are easily available online and in modern trade, not just traditional retail.</w:t>
      </w:r>
    </w:p>
    <w:p>
      <w:pPr>
        <w:pStyle w:val="Heading3"/>
        <w:jc w:val="left"/>
      </w:pPr>
      <w:r>
        <w:rPr>
          <w:rFonts w:ascii="Lato" w:hAnsi="Lato"/>
          <w:b/>
          <w:color w:val="1E3A5F"/>
          <w:sz w:val="26"/>
        </w:rPr>
        <w:t>Further Validation</w:t>
      </w:r>
    </w:p>
    <w:p>
      <w:pPr>
        <w:spacing w:after="120" w:before="0"/>
      </w:pPr>
      <w:r>
        <w:rPr>
          <w:rFonts w:ascii="Lato" w:hAnsi="Lato"/>
          <w:b w:val="0"/>
          <w:i w:val="0"/>
          <w:sz w:val="22"/>
        </w:rPr>
        <w:t>Segment the Indian hair colour market by motivation (grey coverage vs. fashion/self-expression) and quantify the size, growth rate, and average spend of each segment. Map the media consumption habits of the self-expression segment to optimise channel strategy.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"Probably wont be changing my hair until I get paid this month, but I will have a new look by the end of this month that is for sure!"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"Nice product: Customers find this hair dye to be salon-quality with a natural brown shade that provides perfect grey coverage and leaves hair looking healthy and vibrant. The product is free from ammonia and harsh chemicals, and customers appreciate its long-lasting color that fades gradually. They describe the application process as smooth and easy to use at home, while also noting that it makes hair shiny and gives a natural-looking finish."</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"lowkey wish i could dye my hair again but its so expensive and it takes a TON of bottles just for my thick blond hair (i haven't dyed my hair in like, 3 years and it only gave my hair a SLIGHT tint of white after 2 bottles)"</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10. Brand Comparisons &amp; Recommendations</w:t>
      </w:r>
    </w:p>
    <w:p>
      <w:pPr>
        <w:spacing w:after="160"/>
      </w:pPr>
      <w:r>
        <w:rPr>
          <w:rFonts w:ascii="Lato" w:hAnsi="Lato"/>
          <w:b w:val="0"/>
          <w:i w:val="0"/>
          <w:color w:val="6B7280"/>
          <w:sz w:val="18"/>
        </w:rPr>
        <w:t>n=640</w:t>
      </w:r>
      <w:r>
        <w:rPr>
          <w:rFonts w:ascii="Lato" w:hAnsi="Lato"/>
          <w:b w:val="0"/>
          <w:i w:val="0"/>
          <w:color w:val="374151"/>
          <w:sz w:val="18"/>
        </w:rPr>
        <w:t xml:space="preserve">  |  Confidence: </w:t>
      </w:r>
      <w:r>
        <w:rPr>
          <w:rFonts w:ascii="Lato" w:hAnsi="Lato"/>
          <w:b/>
          <w:i w:val="0"/>
          <w:color w:val="6B7280"/>
          <w:sz w:val="18"/>
        </w:rPr>
        <w:t>50% (Directional)</w:t>
      </w:r>
      <w:r>
        <w:rPr>
          <w:rFonts w:ascii="Lato" w:hAnsi="Lato"/>
          <w:b w:val="0"/>
          <w:i w:val="0"/>
          <w:color w:val="374151"/>
          <w:sz w:val="18"/>
        </w:rPr>
        <w:t xml:space="preserve">  |  Signal: </w:t>
      </w:r>
      <w:r>
        <w:rPr>
          <w:rFonts w:ascii="Lato" w:hAnsi="Lato"/>
          <w:b/>
          <w:i w:val="0"/>
          <w:color w:val="374151"/>
          <w:sz w:val="18"/>
        </w:rPr>
        <w:t>56% (Moderate)</w:t>
      </w:r>
      <w:r>
        <w:rPr>
          <w:rFonts w:ascii="Lato" w:hAnsi="Lato"/>
          <w:b w:val="0"/>
          <w:i w:val="0"/>
          <w:color w:val="6B7280"/>
          <w:sz w:val="18"/>
        </w:rPr>
        <w:t xml:space="preserve">  |  8.3%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7.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Comparisons &amp; Recommendations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640 consumer mentions (8.3% prevalence) compare brands, recommend products, and discuss switching experiences. Key brands discussed: Garnier, L'Oreal, Paradyes, Godrej, Streax, Bigen, Nisha, Kokila, BBlunt, Indica, Schwarzkopf, Revlon. Indian-origin brands (Godrej, Nisha, Kokila, Indica) compete with international brands (Garnier, L'Oreal) on different value propositions. Reddit and Amazon are the primary platforms for brand comparison. NSS of +0.20 shows generally positive brand discussion.</w:t>
      </w:r>
    </w:p>
    <w:p>
      <w:pPr>
        <w:pStyle w:val="Heading3"/>
        <w:jc w:val="left"/>
      </w:pPr>
      <w:r>
        <w:rPr>
          <w:rFonts w:ascii="Lato" w:hAnsi="Lato"/>
          <w:b/>
          <w:color w:val="1E3A5F"/>
          <w:sz w:val="26"/>
        </w:rPr>
        <w:t>What it Means</w:t>
      </w:r>
    </w:p>
    <w:p>
      <w:pPr>
        <w:spacing w:after="120" w:before="0"/>
      </w:pPr>
      <w:r>
        <w:rPr>
          <w:rFonts w:ascii="Lato" w:hAnsi="Lato"/>
          <w:b w:val="0"/>
          <w:i w:val="0"/>
          <w:sz w:val="22"/>
        </w:rPr>
        <w:t>Brand loyalty in Indian hair colour is remarkably low - consumers frequently switch between brands based on specific shade needs, price promotions, or a single negative experience. The brand comparison conversation reveals that no single brand owns a clear positioning in the Indian consumer's mind. Godrej is trusted but perceived as old-fashioned, Garnier and L'Oreal are aspirational but expensive, and newer brands like Paradyes and BBlunt are gaining ground by targeting specific unmet needs (gentle formulation and convenience respectively).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hair colour market is ripe for positioning disruption. Brand equity is shallow - consumers make decisions based on specific product attributes rather than brand halo. A brand that establishes clear ownership of a single consumer need (safest formula, best grey coverage, most realistic shades) will build deeper loyalty than one that competes across all attributes.</w:t>
      </w:r>
    </w:p>
    <w:p>
      <w:pPr>
        <w:pStyle w:val="Heading3"/>
        <w:jc w:val="left"/>
      </w:pPr>
      <w:r>
        <w:rPr>
          <w:rFonts w:ascii="Lato" w:hAnsi="Lato"/>
          <w:b/>
          <w:color w:val="1E3A5F"/>
          <w:sz w:val="26"/>
        </w:rPr>
        <w:t>Recommendation</w:t>
      </w:r>
    </w:p>
    <w:p>
      <w:pPr>
        <w:spacing w:after="120" w:before="0"/>
      </w:pPr>
      <w:r>
        <w:rPr>
          <w:rFonts w:ascii="Lato" w:hAnsi="Lato"/>
          <w:b w:val="0"/>
          <w:i w:val="0"/>
          <w:sz w:val="22"/>
        </w:rPr>
        <w:t>Conduct competitive positioning analysis and identify the single most defensible claim in the market. Invest marketing budget in owning that claim rather than spreading across multiple messages. Create a brand comparison transparency page that honestly shows strengths and trade-offs vs. competitors to build trust with comparison-shopping consumers.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brand perception study mapping all major hair colour brands in India on key attributes: safety, shade range, longevity, value, naturalness, and convenience. Identify which attribute has the widest uncontested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"Hi! I used to use igora royal 4-65 which I LOVED, but was discontinued 😢. I started using 4-60 and it covered my grey/silver well, but looks flat and wig-like.  Do you have a recommendation for a replacement? I picked up Ion from sally in 4G which has the same name as the 4-65 (medium chocolate gold) but the roots turned yellow metallic gold. Unsure what to do. Wondering if I could mix igora royal 4-6 and another shade to recreate the beautiful 4-65."</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"Product is amazing: The product was recived in good quality and it's good on application for someone who has grey roots it works well and easy to use... Will recommend this product to others too... It helped me a lot I am happy with the product..."</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"Yes, there are a few genuinely temporary options. Hair color sprays, hair chalks, and washable color creams from brands like L’Oréal Colorista, Streax Insta, and Manic Panic wash out in 1 to 3 washes depending on hair type."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11. Salon vs. Home Colouring Debate</w:t>
      </w:r>
    </w:p>
    <w:p>
      <w:pPr>
        <w:spacing w:after="160"/>
      </w:pPr>
      <w:r>
        <w:rPr>
          <w:rFonts w:ascii="Lato" w:hAnsi="Lato"/>
          <w:b w:val="0"/>
          <w:i w:val="0"/>
          <w:color w:val="6B7280"/>
          <w:sz w:val="18"/>
        </w:rPr>
        <w:t>n=508</w:t>
      </w:r>
      <w:r>
        <w:rPr>
          <w:rFonts w:ascii="Lato" w:hAnsi="Lato"/>
          <w:b w:val="0"/>
          <w:i w:val="0"/>
          <w:color w:val="374151"/>
          <w:sz w:val="18"/>
        </w:rPr>
        <w:t xml:space="preserve">  |  Confidence: </w:t>
      </w:r>
      <w:r>
        <w:rPr>
          <w:rFonts w:ascii="Lato" w:hAnsi="Lato"/>
          <w:b/>
          <w:i w:val="0"/>
          <w:color w:val="6B7280"/>
          <w:sz w:val="18"/>
        </w:rPr>
        <w:t>49% (Directional)</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6.6% of Dataset</w:t>
      </w:r>
      <w:r>
        <w:rPr>
          <w:rFonts w:ascii="Lato" w:hAnsi="Lato"/>
          <w:b w:val="0"/>
          <w:i w:val="0"/>
          <w:color w:val="6B7280"/>
          <w:sz w:val="18"/>
        </w:rPr>
        <w:t xml:space="preserve">  |  NSS: </w:t>
      </w:r>
      <w:r>
        <w:rPr>
          <w:rFonts w:ascii="Lato" w:hAnsi="Lato"/>
          <w:b/>
          <w:i w:val="0"/>
          <w:color w:val="059669"/>
          <w:sz w:val="18"/>
        </w:rPr>
        <w:t>+44%</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0.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Salon vs. Home Colouring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508 consumer mentions (6.6% prevalence) compare professional salon colouring with at-home DIY options. Salon prices are a major pain point, with consumers noting rapid price inflation. Reddit discussions reveal consumers switching from salon to home colouring to save money, while YouTube hairdressers share professional tips for achieving salon results at home. NSS of +0.18 shows mild positive sentiment toward home colouring as the more practical option.</w:t>
      </w:r>
    </w:p>
    <w:p>
      <w:pPr>
        <w:pStyle w:val="Heading3"/>
        <w:jc w:val="left"/>
      </w:pPr>
      <w:r>
        <w:rPr>
          <w:rFonts w:ascii="Lato" w:hAnsi="Lato"/>
          <w:b/>
          <w:color w:val="1E3A5F"/>
          <w:sz w:val="26"/>
        </w:rPr>
        <w:t>What it Means</w:t>
      </w:r>
    </w:p>
    <w:p>
      <w:pPr>
        <w:spacing w:after="120" w:before="0"/>
      </w:pPr>
      <w:r>
        <w:rPr>
          <w:rFonts w:ascii="Lato" w:hAnsi="Lato"/>
          <w:b w:val="0"/>
          <w:i w:val="0"/>
          <w:sz w:val="22"/>
        </w:rPr>
        <w:t>The salon-to-home migration in Indian hair colour is being driven not by consumer preference but by salon price inflation outpacing consumer budgets. Consumers who switch to home colouring express it as a compromise rather than a choice - they would prefer salon quality but cannot justify the cost for routine grey maintenance. This creates a market for products that explicitly bridge the quality gap, offering salon-grade technology in a home-use format.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home colouring market is expanding through reluctant salon defectors, not just budget-conscious consumers. These migrating consumers have higher quality expectations than traditional home colour users because their reference point is salon results. Products that acknowledge and address this quality gap - perhaps through professional-grade formulations in consumer-friendly packaging - will capture this growing segment.</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salon-grade home colour line with professional formulations simplified for consumer application. Include video tutorial access with each purchase showing a professional hairdresser demonstrating application technique. Partner with Indian salon chains to offer a professional colour consultation service for home users - building brand credibility while capturing the salon-defector segment.</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recent salon-to-home switchers to identify the specific quality dimensions they miss most from salon colouring (application precision, colour accuracy, post-colour conditioning). Quantify the price threshold at which they would return to salon visits.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"Nice product: Customers find this hair dye to be salon-quality with a natural brown shade that provides perfect grey coverage and leaves hair looking healthy and vibrant. The product is free from ammonia and harsh chemicals, and customers appreciate its long-lasting color that fades gradually. They describe the application process as smooth and easy to use at home, while also noting that it makes hair shiny and gives a natural-looking finish."</w:t>
      </w:r>
      <w:r>
        <w:rPr>
          <w:rFonts w:ascii="Lato" w:hAnsi="Lato"/>
          <w:b w:val="0"/>
          <w:i w:val="0"/>
          <w:color w:val="6B7280"/>
          <w:sz w:val="18"/>
        </w:rPr>
        <w:t xml:space="preserve">  - amazon</w:t>
      </w:r>
    </w:p>
    <w:p>
      <w:pPr>
        <w:spacing w:before="80" w:after="80"/>
        <w:ind w:left="680" w:right="680"/>
      </w:pPr>
      <w:r>
        <w:rPr>
          <w:rFonts w:ascii="Lato" w:hAnsi="Lato"/>
          <w:b w:val="0"/>
          <w:i/>
          <w:color w:val="374151"/>
          <w:sz w:val="20"/>
        </w:rPr>
        <w:t>"Namaste mam Mari shadi hai mujhko beauty parlour Vali mam na botox karna ko kaha hai mujhko hair fall be hai please batahiya main Karu ya nahi danyvad mam ji"</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"It should as it creates a coating. They use demi permanent for grey blending as well. Otherwise you can also opt for semi permanent colour which is also less damaging. I think a consultation at a good salon should give you the best info according to the result you want"</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059669"/>
          <w:sz w:val="40"/>
        </w:rPr>
        <w:t>73/100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62.7</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94.3</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059669"/>
                <w:sz w:val="20"/>
              </w:rPr>
              <w:t>88.8</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D97706"/>
                <w:sz w:val="20"/>
              </w:rPr>
              <w:t>57.0</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38.9</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(39/100)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Amazon,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Twitter / X</w:t>
            </w:r>
          </w:p>
        </w:tc>
        <w:tc>
          <w:tcPr>
            <w:tcW w:type="dxa" w:w="2351"/>
          </w:tcPr>
          <w:p>
            <w:pPr>
              <w:spacing w:before="60" w:after="60"/>
            </w:pPr>
            <w:r/>
            <w:r>
              <w:rPr>
                <w:rFonts w:ascii="Lato" w:hAnsi="Lato"/>
                <w:b w:val="0"/>
                <w:i w:val="0"/>
                <w:color w:val="374151"/>
                <w:sz w:val="20"/>
              </w:rPr>
              <w:t>Tweets, replies, quote tweets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3,223</w:t>
            </w:r>
          </w:p>
        </w:tc>
      </w:tr>
      <w:tr>
        <w:tc>
          <w:tcPr>
            <w:tcW w:type="dxa" w:w="2351"/>
          </w:tcPr>
          <w:p>
            <w:pPr>
              <w:spacing w:before="60" w:after="60"/>
            </w:pPr>
            <w:r/>
            <w:r>
              <w:rPr>
                <w:rFonts w:ascii="Lato" w:hAnsi="Lato"/>
                <w:b w:val="0"/>
                <w:i w:val="0"/>
                <w:color w:val="374151"/>
                <w:sz w:val="20"/>
              </w:rPr>
              <w:t>Amazon</w:t>
            </w:r>
          </w:p>
        </w:tc>
        <w:tc>
          <w:tcPr>
            <w:tcW w:type="dxa" w:w="2351"/>
          </w:tcPr>
          <w:p>
            <w:pPr>
              <w:spacing w:before="60" w:after="60"/>
            </w:pPr>
            <w:r/>
            <w:r>
              <w:rPr>
                <w:rFonts w:ascii="Lato" w:hAnsi="Lato"/>
                <w:b w:val="0"/>
                <w:i w:val="0"/>
                <w:color w:val="374151"/>
                <w:sz w:val="20"/>
              </w:rPr>
              <w:t>Product reviews</w:t>
            </w:r>
          </w:p>
        </w:tc>
        <w:tc>
          <w:tcPr>
            <w:tcW w:type="dxa" w:w="2351"/>
          </w:tcPr>
          <w:p>
            <w:pPr>
              <w:spacing w:before="60" w:after="60"/>
            </w:pPr>
            <w:r/>
            <w:r>
              <w:rPr>
                <w:rFonts w:ascii="Lato" w:hAnsi="Lato"/>
                <w:b w:val="0"/>
                <w:i w:val="0"/>
                <w:color w:val="374151"/>
                <w:sz w:val="20"/>
              </w:rPr>
              <w:t>Web scraping</w:t>
            </w:r>
          </w:p>
        </w:tc>
        <w:tc>
          <w:tcPr>
            <w:tcW w:type="dxa" w:w="2351"/>
          </w:tcPr>
          <w:p>
            <w:pPr>
              <w:spacing w:before="60" w:after="60"/>
            </w:pPr>
            <w:r/>
            <w:r>
              <w:rPr>
                <w:rFonts w:ascii="Lato" w:hAnsi="Lato"/>
                <w:b w:val="0"/>
                <w:i w:val="0"/>
                <w:color w:val="374151"/>
                <w:sz w:val="20"/>
              </w:rPr>
              <w:t>2,023</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1,656</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607</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179</w:t>
            </w:r>
          </w:p>
        </w:tc>
      </w:tr>
    </w:tbl>
    <w:p>
      <w:pPr>
        <w:spacing w:after="120" w:before="0"/>
      </w:pPr>
      <w:r>
        <w:rPr>
          <w:rFonts w:ascii="Lato" w:hAnsi="Lato"/>
          <w:b w:val="0"/>
          <w:i w:val="0"/>
          <w:sz w:val="22"/>
        </w:rPr>
        <w:t>Corpus composition: 4,607 posts and 1,058 comments and 2,023 other items.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Jun 2016 - Jan 2026 (114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Twitter/X skews male, urban, politically engaged, and 25-44; high-follower accounts dominate visibility while ordinary consumer voices are underrepresented; YouTube is more balanced across gender but skews younger audiences; creator content dominates over consumer discussion; Instagram skews female, urban, and 18-34 with strong influencer and health-creator content that shapes but does not represent consumer opinion; Amazon reviews skew toward verified purchasers but demographics are unknown;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