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Thums Up</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current brand perception among Indian consumers</w:t>
      </w:r>
    </w:p>
    <w:p>
      <w:pPr>
        <w:pStyle w:val="ListBullet"/>
        <w:spacing w:after="80"/>
      </w:pPr>
      <w:r>
        <w:rPr>
          <w:rFonts w:ascii="Lato" w:hAnsi="Lato"/>
          <w:b w:val="0"/>
          <w:i w:val="0"/>
          <w:sz w:val="22"/>
        </w:rPr>
        <w:t>Identify key product associations and usage occasions</w:t>
      </w:r>
    </w:p>
    <w:p>
      <w:pPr>
        <w:pStyle w:val="ListBullet"/>
        <w:spacing w:after="80"/>
      </w:pPr>
      <w:r>
        <w:rPr>
          <w:rFonts w:ascii="Lato" w:hAnsi="Lato"/>
          <w:b w:val="0"/>
          <w:i w:val="0"/>
          <w:sz w:val="22"/>
        </w:rPr>
        <w:t>Find competitive positioning vs Coca-Cola and Pepsi</w:t>
      </w:r>
    </w:p>
    <w:p>
      <w:pPr>
        <w:pStyle w:val="ListBullet"/>
        <w:spacing w:after="80"/>
      </w:pPr>
      <w:r>
        <w:rPr>
          <w:rFonts w:ascii="Lato" w:hAnsi="Lato"/>
          <w:b w:val="0"/>
          <w:i w:val="0"/>
          <w:sz w:val="22"/>
        </w:rPr>
        <w:t>Surface any product quality or safety concerns</w:t>
      </w:r>
    </w:p>
    <w:p>
      <w:pPr>
        <w:pStyle w:val="ListBullet"/>
        <w:spacing w:after="80"/>
      </w:pPr>
      <w:r>
        <w:rPr>
          <w:rFonts w:ascii="Lato" w:hAnsi="Lato"/>
          <w:b w:val="0"/>
          <w:i w:val="0"/>
          <w:sz w:val="22"/>
        </w:rPr>
        <w:t>Discover untapped marketing opportunities</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472</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Jan 1952 - Mar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+10.4%</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C2626"/>
                <w:sz w:val="26"/>
              </w:rPr>
              <w:t>0/100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6,388 raw data points collected across all sources, 1,208 remained after deduplication and engagement filtering, and 472 passed LLM relevance classification (7.4% of total collected). These 472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6,388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1,208</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472</w:t>
            </w:r>
          </w:p>
        </w:tc>
        <w:tc>
          <w:tcPr>
            <w:tcW w:type="dxa" w:w="3135"/>
          </w:tcPr>
          <w:p>
            <w:r>
              <w:t>LLM relevance filter — 7.4%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Youtube</w:t>
            </w:r>
          </w:p>
        </w:tc>
        <w:tc>
          <w:tcPr>
            <w:tcW w:type="dxa" w:w="3135"/>
          </w:tcPr>
          <w:p>
            <w:r>
              <w:t>277</w:t>
            </w:r>
          </w:p>
        </w:tc>
        <w:tc>
          <w:tcPr>
            <w:tcW w:type="dxa" w:w="3135"/>
          </w:tcPr>
          <w:p>
            <w:r>
              <w:t>58.7%</w:t>
            </w:r>
          </w:p>
        </w:tc>
      </w:tr>
      <w:tr>
        <w:tc>
          <w:tcPr>
            <w:tcW w:type="dxa" w:w="3135"/>
          </w:tcPr>
          <w:p>
            <w:r>
              <w:t>Reddit</w:t>
            </w:r>
          </w:p>
        </w:tc>
        <w:tc>
          <w:tcPr>
            <w:tcW w:type="dxa" w:w="3135"/>
          </w:tcPr>
          <w:p>
            <w:r>
              <w:t>121</w:t>
            </w:r>
          </w:p>
        </w:tc>
        <w:tc>
          <w:tcPr>
            <w:tcW w:type="dxa" w:w="3135"/>
          </w:tcPr>
          <w:p>
            <w:r>
              <w:t>25.6%</w:t>
            </w:r>
          </w:p>
        </w:tc>
      </w:tr>
      <w:tr>
        <w:tc>
          <w:tcPr>
            <w:tcW w:type="dxa" w:w="3135"/>
          </w:tcPr>
          <w:p>
            <w:r>
              <w:t>Academic</w:t>
            </w:r>
          </w:p>
        </w:tc>
        <w:tc>
          <w:tcPr>
            <w:tcW w:type="dxa" w:w="3135"/>
          </w:tcPr>
          <w:p>
            <w:r>
              <w:t>38</w:t>
            </w:r>
          </w:p>
        </w:tc>
        <w:tc>
          <w:tcPr>
            <w:tcW w:type="dxa" w:w="3135"/>
          </w:tcPr>
          <w:p>
            <w:r>
              <w:t>8.1%</w:t>
            </w:r>
          </w:p>
        </w:tc>
      </w:tr>
      <w:tr>
        <w:tc>
          <w:tcPr>
            <w:tcW w:type="dxa" w:w="3135"/>
          </w:tcPr>
          <w:p>
            <w:r>
              <w:t>News</w:t>
            </w:r>
          </w:p>
        </w:tc>
        <w:tc>
          <w:tcPr>
            <w:tcW w:type="dxa" w:w="3135"/>
          </w:tcPr>
          <w:p>
            <w:r>
              <w:t>36</w:t>
            </w:r>
          </w:p>
        </w:tc>
        <w:tc>
          <w:tcPr>
            <w:tcW w:type="dxa" w:w="3135"/>
          </w:tcPr>
          <w:p>
            <w:r>
              <w:t>7.6%</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9343"/>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9343"/>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+10.4%  |  Positive: 103 (21.8%)  |  Negative: 54 (11.4%)  |  Neutral: 306 (64.8%)</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472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319</w:t>
            </w:r>
          </w:p>
        </w:tc>
      </w:tr>
      <w:tr>
        <w:tc>
          <w:tcPr>
            <w:tcW w:type="dxa" w:w="4703"/>
          </w:tcPr>
          <w:p>
            <w:r>
              <w:t>Joy</w:t>
            </w:r>
          </w:p>
        </w:tc>
        <w:tc>
          <w:tcPr>
            <w:tcW w:type="dxa" w:w="4703"/>
          </w:tcPr>
          <w:p>
            <w:r>
              <w:t>76</w:t>
            </w:r>
          </w:p>
        </w:tc>
      </w:tr>
      <w:tr>
        <w:tc>
          <w:tcPr>
            <w:tcW w:type="dxa" w:w="4703"/>
          </w:tcPr>
          <w:p>
            <w:r>
              <w:t>Surprise</w:t>
            </w:r>
          </w:p>
        </w:tc>
        <w:tc>
          <w:tcPr>
            <w:tcW w:type="dxa" w:w="4703"/>
          </w:tcPr>
          <w:p>
            <w:r>
              <w:t>20</w:t>
            </w:r>
          </w:p>
        </w:tc>
      </w:tr>
      <w:tr>
        <w:tc>
          <w:tcPr>
            <w:tcW w:type="dxa" w:w="4703"/>
          </w:tcPr>
          <w:p>
            <w:r>
              <w:t>Trust</w:t>
            </w:r>
          </w:p>
        </w:tc>
        <w:tc>
          <w:tcPr>
            <w:tcW w:type="dxa" w:w="4703"/>
          </w:tcPr>
          <w:p>
            <w:r>
              <w:t>18</w:t>
            </w:r>
          </w:p>
        </w:tc>
      </w:tr>
      <w:tr>
        <w:tc>
          <w:tcPr>
            <w:tcW w:type="dxa" w:w="4703"/>
          </w:tcPr>
          <w:p>
            <w:r>
              <w:t>Anticipation</w:t>
            </w:r>
          </w:p>
        </w:tc>
        <w:tc>
          <w:tcPr>
            <w:tcW w:type="dxa" w:w="4703"/>
          </w:tcPr>
          <w:p>
            <w:r>
              <w:t>16</w:t>
            </w:r>
          </w:p>
        </w:tc>
      </w:tr>
      <w:tr>
        <w:tc>
          <w:tcPr>
            <w:tcW w:type="dxa" w:w="4703"/>
          </w:tcPr>
          <w:p>
            <w:r>
              <w:t>Sadness</w:t>
            </w:r>
          </w:p>
        </w:tc>
        <w:tc>
          <w:tcPr>
            <w:tcW w:type="dxa" w:w="4703"/>
          </w:tcPr>
          <w:p>
            <w:r>
              <w:t>9</w:t>
            </w:r>
          </w:p>
        </w:tc>
      </w:tr>
      <w:tr>
        <w:tc>
          <w:tcPr>
            <w:tcW w:type="dxa" w:w="4703"/>
          </w:tcPr>
          <w:p>
            <w:r>
              <w:t>Fear</w:t>
            </w:r>
          </w:p>
        </w:tc>
        <w:tc>
          <w:tcPr>
            <w:tcW w:type="dxa" w:w="4703"/>
          </w:tcPr>
          <w:p>
            <w:r>
              <w:t>6</w:t>
            </w:r>
          </w:p>
        </w:tc>
      </w:tr>
      <w:tr>
        <w:tc>
          <w:tcPr>
            <w:tcW w:type="dxa" w:w="4703"/>
          </w:tcPr>
          <w:p>
            <w:r>
              <w:t>Disgust</w:t>
            </w:r>
          </w:p>
        </w:tc>
        <w:tc>
          <w:tcPr>
            <w:tcW w:type="dxa" w:w="4703"/>
          </w:tcPr>
          <w:p>
            <w:r>
              <w:t>4</w:t>
            </w:r>
          </w:p>
        </w:tc>
      </w:tr>
      <w:tr>
        <w:tc>
          <w:tcPr>
            <w:tcW w:type="dxa" w:w="4703"/>
          </w:tcPr>
          <w:p>
            <w:r>
              <w:t>Anger</w:t>
            </w:r>
          </w:p>
        </w:tc>
        <w:tc>
          <w:tcPr>
            <w:tcW w:type="dxa" w:w="4703"/>
          </w:tcPr>
          <w:p>
            <w:r>
              <w:t>4</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Packaging</w:t>
            </w:r>
          </w:p>
        </w:tc>
        <w:tc>
          <w:tcPr>
            <w:tcW w:type="dxa" w:w="1881"/>
          </w:tcPr>
          <w:p>
            <w:r>
              <w:t>162</w:t>
            </w:r>
          </w:p>
        </w:tc>
        <w:tc>
          <w:tcPr>
            <w:tcW w:type="dxa" w:w="1881"/>
          </w:tcPr>
          <w:p>
            <w:r>
              <w:t>45</w:t>
            </w:r>
          </w:p>
        </w:tc>
        <w:tc>
          <w:tcPr>
            <w:tcW w:type="dxa" w:w="1881"/>
          </w:tcPr>
          <w:p>
            <w:r>
              <w:t>27</w:t>
            </w:r>
          </w:p>
        </w:tc>
        <w:tc>
          <w:tcPr>
            <w:tcW w:type="dxa" w:w="1881"/>
          </w:tcPr>
          <w:p>
            <w:r>
              <w:t>+11%</w:t>
            </w:r>
          </w:p>
        </w:tc>
      </w:tr>
      <w:tr>
        <w:tc>
          <w:tcPr>
            <w:tcW w:type="dxa" w:w="1881"/>
          </w:tcPr>
          <w:p>
            <w:r>
              <w:t>Price</w:t>
            </w:r>
          </w:p>
        </w:tc>
        <w:tc>
          <w:tcPr>
            <w:tcW w:type="dxa" w:w="1881"/>
          </w:tcPr>
          <w:p>
            <w:r>
              <w:t>152</w:t>
            </w:r>
          </w:p>
        </w:tc>
        <w:tc>
          <w:tcPr>
            <w:tcW w:type="dxa" w:w="1881"/>
          </w:tcPr>
          <w:p>
            <w:r>
              <w:t>39</w:t>
            </w:r>
          </w:p>
        </w:tc>
        <w:tc>
          <w:tcPr>
            <w:tcW w:type="dxa" w:w="1881"/>
          </w:tcPr>
          <w:p>
            <w:r>
              <w:t>24</w:t>
            </w:r>
          </w:p>
        </w:tc>
        <w:tc>
          <w:tcPr>
            <w:tcW w:type="dxa" w:w="1881"/>
          </w:tcPr>
          <w:p>
            <w:r>
              <w:t>+10%</w:t>
            </w:r>
          </w:p>
        </w:tc>
      </w:tr>
      <w:tr>
        <w:tc>
          <w:tcPr>
            <w:tcW w:type="dxa" w:w="1881"/>
          </w:tcPr>
          <w:p>
            <w:r>
              <w:t>Advertising</w:t>
            </w:r>
          </w:p>
        </w:tc>
        <w:tc>
          <w:tcPr>
            <w:tcW w:type="dxa" w:w="1881"/>
          </w:tcPr>
          <w:p>
            <w:r>
              <w:t>152</w:t>
            </w:r>
          </w:p>
        </w:tc>
        <w:tc>
          <w:tcPr>
            <w:tcW w:type="dxa" w:w="1881"/>
          </w:tcPr>
          <w:p>
            <w:r>
              <w:t>44</w:t>
            </w:r>
          </w:p>
        </w:tc>
        <w:tc>
          <w:tcPr>
            <w:tcW w:type="dxa" w:w="1881"/>
          </w:tcPr>
          <w:p>
            <w:r>
              <w:t>25</w:t>
            </w:r>
          </w:p>
        </w:tc>
        <w:tc>
          <w:tcPr>
            <w:tcW w:type="dxa" w:w="1881"/>
          </w:tcPr>
          <w:p>
            <w:r>
              <w:t>+12%</w:t>
            </w:r>
          </w:p>
        </w:tc>
      </w:tr>
      <w:tr>
        <w:tc>
          <w:tcPr>
            <w:tcW w:type="dxa" w:w="1881"/>
          </w:tcPr>
          <w:p>
            <w:r>
              <w:t>Taste</w:t>
            </w:r>
          </w:p>
        </w:tc>
        <w:tc>
          <w:tcPr>
            <w:tcW w:type="dxa" w:w="1881"/>
          </w:tcPr>
          <w:p>
            <w:r>
              <w:t>121</w:t>
            </w:r>
          </w:p>
        </w:tc>
        <w:tc>
          <w:tcPr>
            <w:tcW w:type="dxa" w:w="1881"/>
          </w:tcPr>
          <w:p>
            <w:r>
              <w:t>44</w:t>
            </w:r>
          </w:p>
        </w:tc>
        <w:tc>
          <w:tcPr>
            <w:tcW w:type="dxa" w:w="1881"/>
          </w:tcPr>
          <w:p>
            <w:r>
              <w:t>19</w:t>
            </w:r>
          </w:p>
        </w:tc>
        <w:tc>
          <w:tcPr>
            <w:tcW w:type="dxa" w:w="1881"/>
          </w:tcPr>
          <w:p>
            <w:r>
              <w:t>+21%</w:t>
            </w:r>
          </w:p>
        </w:tc>
      </w:tr>
      <w:tr>
        <w:tc>
          <w:tcPr>
            <w:tcW w:type="dxa" w:w="1881"/>
          </w:tcPr>
          <w:p>
            <w:r>
              <w:t>Competition</w:t>
            </w:r>
          </w:p>
        </w:tc>
        <w:tc>
          <w:tcPr>
            <w:tcW w:type="dxa" w:w="1881"/>
          </w:tcPr>
          <w:p>
            <w:r>
              <w:t>114</w:t>
            </w:r>
          </w:p>
        </w:tc>
        <w:tc>
          <w:tcPr>
            <w:tcW w:type="dxa" w:w="1881"/>
          </w:tcPr>
          <w:p>
            <w:r>
              <w:t>27</w:t>
            </w:r>
          </w:p>
        </w:tc>
        <w:tc>
          <w:tcPr>
            <w:tcW w:type="dxa" w:w="1881"/>
          </w:tcPr>
          <w:p>
            <w:r>
              <w:t>18</w:t>
            </w:r>
          </w:p>
        </w:tc>
        <w:tc>
          <w:tcPr>
            <w:tcW w:type="dxa" w:w="1881"/>
          </w:tcPr>
          <w:p>
            <w:r>
              <w:t>+8%</w:t>
            </w:r>
          </w:p>
        </w:tc>
      </w:tr>
      <w:tr>
        <w:tc>
          <w:tcPr>
            <w:tcW w:type="dxa" w:w="1881"/>
          </w:tcPr>
          <w:p>
            <w:r>
              <w:t>Availability</w:t>
            </w:r>
          </w:p>
        </w:tc>
        <w:tc>
          <w:tcPr>
            <w:tcW w:type="dxa" w:w="1881"/>
          </w:tcPr>
          <w:p>
            <w:r>
              <w:t>78</w:t>
            </w:r>
          </w:p>
        </w:tc>
        <w:tc>
          <w:tcPr>
            <w:tcW w:type="dxa" w:w="1881"/>
          </w:tcPr>
          <w:p>
            <w:r>
              <w:t>19</w:t>
            </w:r>
          </w:p>
        </w:tc>
        <w:tc>
          <w:tcPr>
            <w:tcW w:type="dxa" w:w="1881"/>
          </w:tcPr>
          <w:p>
            <w:r>
              <w:t>6</w:t>
            </w:r>
          </w:p>
        </w:tc>
        <w:tc>
          <w:tcPr>
            <w:tcW w:type="dxa" w:w="1881"/>
          </w:tcPr>
          <w:p>
            <w:r>
              <w:t>+17%</w:t>
            </w:r>
          </w:p>
        </w:tc>
      </w:tr>
      <w:tr>
        <w:tc>
          <w:tcPr>
            <w:tcW w:type="dxa" w:w="1881"/>
          </w:tcPr>
          <w:p>
            <w:r>
              <w:t>Brand Image</w:t>
            </w:r>
          </w:p>
        </w:tc>
        <w:tc>
          <w:tcPr>
            <w:tcW w:type="dxa" w:w="1881"/>
          </w:tcPr>
          <w:p>
            <w:r>
              <w:t>74</w:t>
            </w:r>
          </w:p>
        </w:tc>
        <w:tc>
          <w:tcPr>
            <w:tcW w:type="dxa" w:w="1881"/>
          </w:tcPr>
          <w:p>
            <w:r>
              <w:t>31</w:t>
            </w:r>
          </w:p>
        </w:tc>
        <w:tc>
          <w:tcPr>
            <w:tcW w:type="dxa" w:w="1881"/>
          </w:tcPr>
          <w:p>
            <w:r>
              <w:t>6</w:t>
            </w:r>
          </w:p>
        </w:tc>
        <w:tc>
          <w:tcPr>
            <w:tcW w:type="dxa" w:w="1881"/>
          </w:tcPr>
          <w:p>
            <w:r>
              <w:t>+34%</w:t>
            </w:r>
          </w:p>
        </w:tc>
      </w:tr>
      <w:tr>
        <w:tc>
          <w:tcPr>
            <w:tcW w:type="dxa" w:w="1881"/>
          </w:tcPr>
          <w:p>
            <w:r>
              <w:t>Health</w:t>
            </w:r>
          </w:p>
        </w:tc>
        <w:tc>
          <w:tcPr>
            <w:tcW w:type="dxa" w:w="1881"/>
          </w:tcPr>
          <w:p>
            <w:r>
              <w:t>57</w:t>
            </w:r>
          </w:p>
        </w:tc>
        <w:tc>
          <w:tcPr>
            <w:tcW w:type="dxa" w:w="1881"/>
          </w:tcPr>
          <w:p>
            <w:r>
              <w:t>6</w:t>
            </w:r>
          </w:p>
        </w:tc>
        <w:tc>
          <w:tcPr>
            <w:tcW w:type="dxa" w:w="1881"/>
          </w:tcPr>
          <w:p>
            <w:r>
              <w:t>37</w:t>
            </w:r>
          </w:p>
        </w:tc>
        <w:tc>
          <w:tcPr>
            <w:tcW w:type="dxa" w:w="1881"/>
          </w:tcPr>
          <w:p>
            <w:r>
              <w:t>-54%</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0437"/>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0437"/>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472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Pricing, Packaging &amp; Availability</w:t>
            </w:r>
          </w:p>
        </w:tc>
        <w:tc>
          <w:tcPr>
            <w:tcW w:type="dxa" w:w="1568"/>
          </w:tcPr>
          <w:p>
            <w:r>
              <w:t>209</w:t>
            </w:r>
          </w:p>
        </w:tc>
        <w:tc>
          <w:tcPr>
            <w:tcW w:type="dxa" w:w="1568"/>
          </w:tcPr>
          <w:p>
            <w:r>
              <w:t>44.3%</w:t>
            </w:r>
          </w:p>
        </w:tc>
        <w:tc>
          <w:tcPr>
            <w:tcW w:type="dxa" w:w="1568"/>
          </w:tcPr>
          <w:p>
            <w:r>
              <w:t>83% (Strong)</w:t>
            </w:r>
          </w:p>
        </w:tc>
        <w:tc>
          <w:tcPr>
            <w:tcW w:type="dxa" w:w="1568"/>
          </w:tcPr>
          <w:p>
            <w:r>
              <w:t>92% (High)</w:t>
            </w:r>
          </w:p>
        </w:tc>
        <w:tc>
          <w:tcPr>
            <w:tcW w:type="dxa" w:w="1568"/>
          </w:tcPr>
          <w:p>
            <w:r>
              <w:t>+11%</w:t>
            </w:r>
          </w:p>
        </w:tc>
      </w:tr>
      <w:tr>
        <w:tc>
          <w:tcPr>
            <w:tcW w:type="dxa" w:w="1568"/>
          </w:tcPr>
          <w:p>
            <w:r>
              <w:t>Taste Profile &amp; Carbonation Experience</w:t>
            </w:r>
          </w:p>
        </w:tc>
        <w:tc>
          <w:tcPr>
            <w:tcW w:type="dxa" w:w="1568"/>
          </w:tcPr>
          <w:p>
            <w:r>
              <w:t>201</w:t>
            </w:r>
          </w:p>
        </w:tc>
        <w:tc>
          <w:tcPr>
            <w:tcW w:type="dxa" w:w="1568"/>
          </w:tcPr>
          <w:p>
            <w:r>
              <w:t>42.6%</w:t>
            </w:r>
          </w:p>
        </w:tc>
        <w:tc>
          <w:tcPr>
            <w:tcW w:type="dxa" w:w="1568"/>
          </w:tcPr>
          <w:p>
            <w:r>
              <w:t>87% (Strong)</w:t>
            </w:r>
          </w:p>
        </w:tc>
        <w:tc>
          <w:tcPr>
            <w:tcW w:type="dxa" w:w="1568"/>
          </w:tcPr>
          <w:p>
            <w:r>
              <w:t>90% (High)</w:t>
            </w:r>
          </w:p>
        </w:tc>
        <w:tc>
          <w:tcPr>
            <w:tcW w:type="dxa" w:w="1568"/>
          </w:tcPr>
          <w:p>
            <w:r>
              <w:t>+13%</w:t>
            </w:r>
          </w:p>
        </w:tc>
      </w:tr>
      <w:tr>
        <w:tc>
          <w:tcPr>
            <w:tcW w:type="dxa" w:w="1568"/>
          </w:tcPr>
          <w:p>
            <w:r>
              <w:t>Competitive Positioning vs Coke &amp; Pepsi</w:t>
            </w:r>
          </w:p>
        </w:tc>
        <w:tc>
          <w:tcPr>
            <w:tcW w:type="dxa" w:w="1568"/>
          </w:tcPr>
          <w:p>
            <w:r>
              <w:t>142</w:t>
            </w:r>
          </w:p>
        </w:tc>
        <w:tc>
          <w:tcPr>
            <w:tcW w:type="dxa" w:w="1568"/>
          </w:tcPr>
          <w:p>
            <w:r>
              <w:t>30.1%</w:t>
            </w:r>
          </w:p>
        </w:tc>
        <w:tc>
          <w:tcPr>
            <w:tcW w:type="dxa" w:w="1568"/>
          </w:tcPr>
          <w:p>
            <w:r>
              <w:t>85% (Strong)</w:t>
            </w:r>
          </w:p>
        </w:tc>
        <w:tc>
          <w:tcPr>
            <w:tcW w:type="dxa" w:w="1568"/>
          </w:tcPr>
          <w:p>
            <w:r>
              <w:t>91% (High)</w:t>
            </w:r>
          </w:p>
        </w:tc>
        <w:tc>
          <w:tcPr>
            <w:tcW w:type="dxa" w:w="1568"/>
          </w:tcPr>
          <w:p>
            <w:r>
              <w:t>+10%</w:t>
            </w:r>
          </w:p>
        </w:tc>
      </w:tr>
      <w:tr>
        <w:tc>
          <w:tcPr>
            <w:tcW w:type="dxa" w:w="1568"/>
          </w:tcPr>
          <w:p>
            <w:r>
              <w:t>Advertising, Cricket &amp; Brand Ambassadors</w:t>
            </w:r>
          </w:p>
        </w:tc>
        <w:tc>
          <w:tcPr>
            <w:tcW w:type="dxa" w:w="1568"/>
          </w:tcPr>
          <w:p>
            <w:r>
              <w:t>87</w:t>
            </w:r>
          </w:p>
        </w:tc>
        <w:tc>
          <w:tcPr>
            <w:tcW w:type="dxa" w:w="1568"/>
          </w:tcPr>
          <w:p>
            <w:r>
              <w:t>18.4%</w:t>
            </w:r>
          </w:p>
        </w:tc>
        <w:tc>
          <w:tcPr>
            <w:tcW w:type="dxa" w:w="1568"/>
          </w:tcPr>
          <w:p>
            <w:r>
              <w:t>82% (Strong)</w:t>
            </w:r>
          </w:p>
        </w:tc>
        <w:tc>
          <w:tcPr>
            <w:tcW w:type="dxa" w:w="1568"/>
          </w:tcPr>
          <w:p>
            <w:r>
              <w:t>82% (High)</w:t>
            </w:r>
          </w:p>
        </w:tc>
        <w:tc>
          <w:tcPr>
            <w:tcW w:type="dxa" w:w="1568"/>
          </w:tcPr>
          <w:p>
            <w:r>
              <w:t>+19%</w:t>
            </w:r>
          </w:p>
        </w:tc>
      </w:tr>
      <w:tr>
        <w:tc>
          <w:tcPr>
            <w:tcW w:type="dxa" w:w="1568"/>
          </w:tcPr>
          <w:p>
            <w:r>
              <w:t>Health Concerns &amp; Sugar Debate</w:t>
            </w:r>
          </w:p>
        </w:tc>
        <w:tc>
          <w:tcPr>
            <w:tcW w:type="dxa" w:w="1568"/>
          </w:tcPr>
          <w:p>
            <w:r>
              <w:t>76</w:t>
            </w:r>
          </w:p>
        </w:tc>
        <w:tc>
          <w:tcPr>
            <w:tcW w:type="dxa" w:w="1568"/>
          </w:tcPr>
          <w:p>
            <w:r>
              <w:t>16.1%</w:t>
            </w:r>
          </w:p>
        </w:tc>
        <w:tc>
          <w:tcPr>
            <w:tcW w:type="dxa" w:w="1568"/>
          </w:tcPr>
          <w:p>
            <w:r>
              <w:t>91% (Strong)</w:t>
            </w:r>
          </w:p>
        </w:tc>
        <w:tc>
          <w:tcPr>
            <w:tcW w:type="dxa" w:w="1568"/>
          </w:tcPr>
          <w:p>
            <w:r>
              <w:t>86% (High)</w:t>
            </w:r>
          </w:p>
        </w:tc>
        <w:tc>
          <w:tcPr>
            <w:tcW w:type="dxa" w:w="1568"/>
          </w:tcPr>
          <w:p>
            <w:r>
              <w:t>-37%</w:t>
            </w:r>
          </w:p>
        </w:tc>
      </w:tr>
      <w:tr>
        <w:tc>
          <w:tcPr>
            <w:tcW w:type="dxa" w:w="1568"/>
          </w:tcPr>
          <w:p>
            <w:r>
              <w:t>Nostalgia &amp; Cultural Identity</w:t>
            </w:r>
          </w:p>
        </w:tc>
        <w:tc>
          <w:tcPr>
            <w:tcW w:type="dxa" w:w="1568"/>
          </w:tcPr>
          <w:p>
            <w:r>
              <w:t>55</w:t>
            </w:r>
          </w:p>
        </w:tc>
        <w:tc>
          <w:tcPr>
            <w:tcW w:type="dxa" w:w="1568"/>
          </w:tcPr>
          <w:p>
            <w:r>
              <w:t>11.7%</w:t>
            </w:r>
          </w:p>
        </w:tc>
        <w:tc>
          <w:tcPr>
            <w:tcW w:type="dxa" w:w="1568"/>
          </w:tcPr>
          <w:p>
            <w:r>
              <w:t>86% (Strong)</w:t>
            </w:r>
          </w:p>
        </w:tc>
        <w:tc>
          <w:tcPr>
            <w:tcW w:type="dxa" w:w="1568"/>
          </w:tcPr>
          <w:p>
            <w:r>
              <w:t>83% (High)</w:t>
            </w:r>
          </w:p>
        </w:tc>
        <w:tc>
          <w:tcPr>
            <w:tcW w:type="dxa" w:w="1568"/>
          </w:tcPr>
          <w:p>
            <w:r>
              <w:t>+29%</w:t>
            </w:r>
          </w:p>
        </w:tc>
      </w:tr>
      <w:tr>
        <w:tc>
          <w:tcPr>
            <w:tcW w:type="dxa" w:w="1568"/>
          </w:tcPr>
          <w:p>
            <w:r>
              <w:t>Brand Loyalty &amp; Emotional Connection</w:t>
            </w:r>
          </w:p>
        </w:tc>
        <w:tc>
          <w:tcPr>
            <w:tcW w:type="dxa" w:w="1568"/>
          </w:tcPr>
          <w:p>
            <w:r>
              <w:t>53</w:t>
            </w:r>
          </w:p>
        </w:tc>
        <w:tc>
          <w:tcPr>
            <w:tcW w:type="dxa" w:w="1568"/>
          </w:tcPr>
          <w:p>
            <w:r>
              <w:t>11.2%</w:t>
            </w:r>
          </w:p>
        </w:tc>
        <w:tc>
          <w:tcPr>
            <w:tcW w:type="dxa" w:w="1568"/>
          </w:tcPr>
          <w:p>
            <w:r>
              <w:t>91% (Strong)</w:t>
            </w:r>
          </w:p>
        </w:tc>
        <w:tc>
          <w:tcPr>
            <w:tcW w:type="dxa" w:w="1568"/>
          </w:tcPr>
          <w:p>
            <w:r>
              <w:t>87% (High)</w:t>
            </w:r>
          </w:p>
        </w:tc>
        <w:tc>
          <w:tcPr>
            <w:tcW w:type="dxa" w:w="1568"/>
          </w:tcPr>
          <w:p>
            <w:r>
              <w:t>+54%</w:t>
            </w:r>
          </w:p>
        </w:tc>
      </w:tr>
      <w:tr>
        <w:tc>
          <w:tcPr>
            <w:tcW w:type="dxa" w:w="1568"/>
          </w:tcPr>
          <w:p>
            <w:r>
              <w:t>Zero Sugar &amp; Product Innovation</w:t>
            </w:r>
          </w:p>
        </w:tc>
        <w:tc>
          <w:tcPr>
            <w:tcW w:type="dxa" w:w="1568"/>
          </w:tcPr>
          <w:p>
            <w:r>
              <w:t>44</w:t>
            </w:r>
          </w:p>
        </w:tc>
        <w:tc>
          <w:tcPr>
            <w:tcW w:type="dxa" w:w="1568"/>
          </w:tcPr>
          <w:p>
            <w:r>
              <w:t>9.3%</w:t>
            </w:r>
          </w:p>
        </w:tc>
        <w:tc>
          <w:tcPr>
            <w:tcW w:type="dxa" w:w="1568"/>
          </w:tcPr>
          <w:p>
            <w:r>
              <w:t>84% (Strong)</w:t>
            </w:r>
          </w:p>
        </w:tc>
        <w:tc>
          <w:tcPr>
            <w:tcW w:type="dxa" w:w="1568"/>
          </w:tcPr>
          <w:p>
            <w:r>
              <w:t>84% (High)</w:t>
            </w:r>
          </w:p>
        </w:tc>
        <w:tc>
          <w:tcPr>
            <w:tcW w:type="dxa" w:w="1568"/>
          </w:tcPr>
          <w:p>
            <w:r>
              <w:t>-16%</w:t>
            </w:r>
          </w:p>
        </w:tc>
      </w:tr>
      <w:tr>
        <w:tc>
          <w:tcPr>
            <w:tcW w:type="dxa" w:w="1568"/>
          </w:tcPr>
          <w:p>
            <w:r>
              <w:t>International Discovery &amp; Diaspora</w:t>
            </w:r>
          </w:p>
        </w:tc>
        <w:tc>
          <w:tcPr>
            <w:tcW w:type="dxa" w:w="1568"/>
          </w:tcPr>
          <w:p>
            <w:r>
              <w:t>42</w:t>
            </w:r>
          </w:p>
        </w:tc>
        <w:tc>
          <w:tcPr>
            <w:tcW w:type="dxa" w:w="1568"/>
          </w:tcPr>
          <w:p>
            <w:r>
              <w:t>8.9%</w:t>
            </w:r>
          </w:p>
        </w:tc>
        <w:tc>
          <w:tcPr>
            <w:tcW w:type="dxa" w:w="1568"/>
          </w:tcPr>
          <w:p>
            <w:r>
              <w:t>85% (Strong)</w:t>
            </w:r>
          </w:p>
        </w:tc>
        <w:tc>
          <w:tcPr>
            <w:tcW w:type="dxa" w:w="1568"/>
          </w:tcPr>
          <w:p>
            <w:r>
              <w:t>78% (High)</w:t>
            </w:r>
          </w:p>
        </w:tc>
        <w:tc>
          <w:tcPr>
            <w:tcW w:type="dxa" w:w="1568"/>
          </w:tcPr>
          <w:p>
            <w:r>
              <w:t>+24%</w:t>
            </w:r>
          </w:p>
        </w:tc>
      </w:tr>
      <w:tr>
        <w:tc>
          <w:tcPr>
            <w:tcW w:type="dxa" w:w="1568"/>
          </w:tcPr>
          <w:p>
            <w:r>
              <w:t>Food &amp; Occasion Pairings</w:t>
            </w:r>
          </w:p>
        </w:tc>
        <w:tc>
          <w:tcPr>
            <w:tcW w:type="dxa" w:w="1568"/>
          </w:tcPr>
          <w:p>
            <w:r>
              <w:t>34</w:t>
            </w:r>
          </w:p>
        </w:tc>
        <w:tc>
          <w:tcPr>
            <w:tcW w:type="dxa" w:w="1568"/>
          </w:tcPr>
          <w:p>
            <w:r>
              <w:t>7.2%</w:t>
            </w:r>
          </w:p>
        </w:tc>
        <w:tc>
          <w:tcPr>
            <w:tcW w:type="dxa" w:w="1568"/>
          </w:tcPr>
          <w:p>
            <w:r>
              <w:t>88% (Strong)</w:t>
            </w:r>
          </w:p>
        </w:tc>
        <w:tc>
          <w:tcPr>
            <w:tcW w:type="dxa" w:w="1568"/>
          </w:tcPr>
          <w:p>
            <w:r>
              <w:t>81% (High)</w:t>
            </w:r>
          </w:p>
        </w:tc>
        <w:tc>
          <w:tcPr>
            <w:tcW w:type="dxa" w:w="1568"/>
          </w:tcPr>
          <w:p>
            <w:r>
              <w:t>+15%</w:t>
            </w:r>
          </w:p>
        </w:tc>
      </w:tr>
      <w:tr>
        <w:tc>
          <w:tcPr>
            <w:tcW w:type="dxa" w:w="1568"/>
          </w:tcPr>
          <w:p>
            <w:r>
              <w:t>Coca-Cola Acquisition &amp; Corporate History</w:t>
            </w:r>
          </w:p>
        </w:tc>
        <w:tc>
          <w:tcPr>
            <w:tcW w:type="dxa" w:w="1568"/>
          </w:tcPr>
          <w:p>
            <w:r>
              <w:t>26</w:t>
            </w:r>
          </w:p>
        </w:tc>
        <w:tc>
          <w:tcPr>
            <w:tcW w:type="dxa" w:w="1568"/>
          </w:tcPr>
          <w:p>
            <w:r>
              <w:t>5.5%</w:t>
            </w:r>
          </w:p>
        </w:tc>
        <w:tc>
          <w:tcPr>
            <w:tcW w:type="dxa" w:w="1568"/>
          </w:tcPr>
          <w:p>
            <w:r>
              <w:t>71% (Moderate)</w:t>
            </w:r>
          </w:p>
        </w:tc>
        <w:tc>
          <w:tcPr>
            <w:tcW w:type="dxa" w:w="1568"/>
          </w:tcPr>
          <w:p>
            <w:r>
              <w:t>73% (Medium)</w:t>
            </w:r>
          </w:p>
        </w:tc>
        <w:tc>
          <w:tcPr>
            <w:tcW w:type="dxa" w:w="1568"/>
          </w:tcPr>
          <w:p>
            <w:r>
              <w:t>+19%</w:t>
            </w:r>
          </w:p>
        </w:tc>
      </w:tr>
      <w:tr>
        <w:tc>
          <w:tcPr>
            <w:tcW w:type="dxa" w:w="1568"/>
          </w:tcPr>
          <w:p>
            <w:r>
              <w:t>Quality Issues &amp; Contamination Reports</w:t>
            </w:r>
          </w:p>
        </w:tc>
        <w:tc>
          <w:tcPr>
            <w:tcW w:type="dxa" w:w="1568"/>
          </w:tcPr>
          <w:p>
            <w:r>
              <w:t>20</w:t>
            </w:r>
          </w:p>
        </w:tc>
        <w:tc>
          <w:tcPr>
            <w:tcW w:type="dxa" w:w="1568"/>
          </w:tcPr>
          <w:p>
            <w:r>
              <w:t>4.2%</w:t>
            </w:r>
          </w:p>
        </w:tc>
        <w:tc>
          <w:tcPr>
            <w:tcW w:type="dxa" w:w="1568"/>
          </w:tcPr>
          <w:p>
            <w:r>
              <w:t>79% (Strong)</w:t>
            </w:r>
          </w:p>
        </w:tc>
        <w:tc>
          <w:tcPr>
            <w:tcW w:type="dxa" w:w="1568"/>
          </w:tcPr>
          <w:p>
            <w:r>
              <w:t>80% (High)</w:t>
            </w:r>
          </w:p>
        </w:tc>
        <w:tc>
          <w:tcPr>
            <w:tcW w:type="dxa" w:w="1568"/>
          </w:tcPr>
          <w:p>
            <w:r>
              <w:t>-50%</w:t>
            </w:r>
          </w:p>
        </w:tc>
      </w:tr>
    </w:tbl>
    <w:p>
      <w:pPr>
        <w:jc w:val="center"/>
      </w:pPr>
      <w:r>
        <w:drawing>
          <wp:inline xmlns:a="http://schemas.openxmlformats.org/drawingml/2006/main" xmlns:pic="http://schemas.openxmlformats.org/drawingml/2006/picture">
            <wp:extent cx="5029200" cy="3764734"/>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64734"/>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Pricing, Packaging &amp; Availability</w:t>
      </w:r>
    </w:p>
    <w:p>
      <w:pPr>
        <w:spacing w:after="160"/>
      </w:pPr>
      <w:r>
        <w:rPr>
          <w:rFonts w:ascii="Lato" w:hAnsi="Lato"/>
          <w:b w:val="0"/>
          <w:i w:val="0"/>
          <w:color w:val="6B7280"/>
          <w:sz w:val="18"/>
        </w:rPr>
        <w:t>n=209</w:t>
      </w:r>
      <w:r>
        <w:rPr>
          <w:rFonts w:ascii="Lato" w:hAnsi="Lato"/>
          <w:b w:val="0"/>
          <w:i w:val="0"/>
          <w:color w:val="374151"/>
          <w:sz w:val="18"/>
        </w:rPr>
        <w:t xml:space="preserve">  |  Confidence: </w:t>
      </w:r>
      <w:r>
        <w:rPr>
          <w:rFonts w:ascii="Lato" w:hAnsi="Lato"/>
          <w:b/>
          <w:i w:val="0"/>
          <w:color w:val="059669"/>
          <w:sz w:val="18"/>
        </w:rPr>
        <w:t>92% (High)</w:t>
      </w:r>
      <w:r>
        <w:rPr>
          <w:rFonts w:ascii="Lato" w:hAnsi="Lato"/>
          <w:b w:val="0"/>
          <w:i w:val="0"/>
          <w:color w:val="374151"/>
          <w:sz w:val="18"/>
        </w:rPr>
        <w:t xml:space="preserve">  |  Signal: </w:t>
      </w:r>
      <w:r>
        <w:rPr>
          <w:rFonts w:ascii="Lato" w:hAnsi="Lato"/>
          <w:b/>
          <w:i w:val="0"/>
          <w:color w:val="374151"/>
          <w:sz w:val="18"/>
        </w:rPr>
        <w:t>83% (Strong)</w:t>
      </w:r>
      <w:r>
        <w:rPr>
          <w:rFonts w:ascii="Lato" w:hAnsi="Lato"/>
          <w:b w:val="0"/>
          <w:i w:val="0"/>
          <w:color w:val="6B7280"/>
          <w:sz w:val="18"/>
        </w:rPr>
        <w:t xml:space="preserve">  |  44.3%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9.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Pricing, Packaging &amp; Availability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Pricing and packaging is the largest theme (209 items, 44.3%) with slight positive sentiment (+10.5%). Price comparisons between sizes and formats dominate. The Rs 20 price point for 250ml+ is seen as competitive. Glass bottle nostalgia coexists with PET convenience preference. Regional availability gaps are noted.</w:t>
      </w:r>
    </w:p>
    <w:p>
      <w:pPr>
        <w:pStyle w:val="Heading3"/>
        <w:jc w:val="left"/>
      </w:pPr>
      <w:r>
        <w:rPr>
          <w:rFonts w:ascii="Lato" w:hAnsi="Lato"/>
          <w:b/>
          <w:color w:val="1E3A5F"/>
          <w:sz w:val="26"/>
        </w:rPr>
        <w:t>What it Means</w:t>
      </w:r>
    </w:p>
    <w:p>
      <w:pPr>
        <w:spacing w:after="120" w:before="0"/>
      </w:pPr>
      <w:r>
        <w:rPr>
          <w:rFonts w:ascii="Lato" w:hAnsi="Lato"/>
          <w:b w:val="0"/>
          <w:i w:val="0"/>
          <w:sz w:val="22"/>
        </w:rPr>
        <w:t>Indian cola consumers are extremely price-literate - they calculate value on a per-ml basis and actively seek the best ratio. The Rs 10-20 price range is the battleground where purchasing decisions are made, and the +150ml bonus packs are recognised and appreciated as value signals. This suggests that the Indian cola consumer's loyalty has a price ceiling - even loyal consumers will switch if the value equation shifts significantly.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Price is the one lever that can override taste loyalty. While consumers choose Thums Up for taste, they evaluate purchase on value-per-ml. Competitors (especially Campa backed by Reliance's cost advantage) could disrupt by offering comparable taste at lower price points. The brand needs to win on both taste and perceived value, not just taste.</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aggressive pricing on entry-level packs (200-300ml) to prevent trial erosion. Ensure bonus-pack promotions are sustained in high-competition periods. Monitor Campa Cola's pricing strategy - if Reliance undercuts on price in the same 'bold' taste territory, the loyalty moat will be tested.</w:t>
      </w:r>
    </w:p>
    <w:p>
      <w:pPr>
        <w:pStyle w:val="Heading3"/>
        <w:jc w:val="left"/>
      </w:pPr>
      <w:r>
        <w:rPr>
          <w:rFonts w:ascii="Lato" w:hAnsi="Lato"/>
          <w:b/>
          <w:color w:val="1E3A5F"/>
          <w:sz w:val="26"/>
        </w:rPr>
        <w:t>Further Validation</w:t>
      </w:r>
    </w:p>
    <w:p>
      <w:pPr>
        <w:spacing w:after="120" w:before="0"/>
      </w:pPr>
      <w:r>
        <w:rPr>
          <w:rFonts w:ascii="Lato" w:hAnsi="Lato"/>
          <w:b w:val="0"/>
          <w:i w:val="0"/>
          <w:sz w:val="22"/>
        </w:rPr>
        <w:t>Map price elasticity by pack size and channel. Identify the price premium consumers are willing to pay for Thums Up over Campa/Pepsi at each pack size.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"MOVA Z60 Ultra Roller Complete: 43,000 sq. ft., a Mopping Beast, and the V50’s Rival As many of you may have seen in the news, a horrific fire broke out this week at the Wang Fuk Court estate in Tai Po, Hong Kong."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heard a story. Coke silently bought all the empty bottles by paying double the price from the distributors which delayed the distribution of thumbs up. They did this again and again and over a time, thumbs up sales started to decline regularly"</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"Just a tip for Canadians,  if there is a flavor you like that is out of stock and mio has it. You can pour the mio into an old thristi pod, and it works just as good as the ninja flavoring. They are cheaper as well. </w:t>
        <w:br/>
        <w:t>The US seems to have more stock than Ninja Canada or amazon Canada."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02. Competitive Positioning vs Coke &amp; Pepsi</w:t>
      </w:r>
    </w:p>
    <w:p>
      <w:pPr>
        <w:spacing w:after="160"/>
      </w:pPr>
      <w:r>
        <w:rPr>
          <w:rFonts w:ascii="Lato" w:hAnsi="Lato"/>
          <w:b w:val="0"/>
          <w:i w:val="0"/>
          <w:color w:val="6B7280"/>
          <w:sz w:val="18"/>
        </w:rPr>
        <w:t>n=142</w:t>
      </w:r>
      <w:r>
        <w:rPr>
          <w:rFonts w:ascii="Lato" w:hAnsi="Lato"/>
          <w:b w:val="0"/>
          <w:i w:val="0"/>
          <w:color w:val="374151"/>
          <w:sz w:val="18"/>
        </w:rPr>
        <w:t xml:space="preserve">  |  Confidence: </w:t>
      </w:r>
      <w:r>
        <w:rPr>
          <w:rFonts w:ascii="Lato" w:hAnsi="Lato"/>
          <w:b/>
          <w:i w:val="0"/>
          <w:color w:val="059669"/>
          <w:sz w:val="18"/>
        </w:rPr>
        <w:t>91% (High)</w:t>
      </w:r>
      <w:r>
        <w:rPr>
          <w:rFonts w:ascii="Lato" w:hAnsi="Lato"/>
          <w:b w:val="0"/>
          <w:i w:val="0"/>
          <w:color w:val="374151"/>
          <w:sz w:val="18"/>
        </w:rPr>
        <w:t xml:space="preserve">  |  Signal: </w:t>
      </w:r>
      <w:r>
        <w:rPr>
          <w:rFonts w:ascii="Lato" w:hAnsi="Lato"/>
          <w:b/>
          <w:i w:val="0"/>
          <w:color w:val="374151"/>
          <w:sz w:val="18"/>
        </w:rPr>
        <w:t>85% (Strong)</w:t>
      </w:r>
      <w:r>
        <w:rPr>
          <w:rFonts w:ascii="Lato" w:hAnsi="Lato"/>
          <w:b w:val="0"/>
          <w:i w:val="0"/>
          <w:color w:val="6B7280"/>
          <w:sz w:val="18"/>
        </w:rPr>
        <w:t xml:space="preserve">  |  30.1% of Dataset</w:t>
      </w:r>
      <w:r>
        <w:rPr>
          <w:rFonts w:ascii="Lato" w:hAnsi="Lato"/>
          <w:b w:val="0"/>
          <w:i w:val="0"/>
          <w:color w:val="6B7280"/>
          <w:sz w:val="18"/>
        </w:rPr>
        <w:t xml:space="preserve">  |  NSS: </w:t>
      </w:r>
      <w:r>
        <w:rPr>
          <w:rFonts w:ascii="Lato" w:hAnsi="Lato"/>
          <w:b/>
          <w:i w:val="0"/>
          <w:color w:val="D97706"/>
          <w:sz w:val="18"/>
        </w:rPr>
        <w:t>+10%</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3.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Competitive Positioning vs Coke &amp; Pepsi</w:t>
      </w:r>
    </w:p>
    <w:p>
      <w:pPr>
        <w:pStyle w:val="Heading3"/>
        <w:jc w:val="left"/>
      </w:pPr>
      <w:r>
        <w:rPr>
          <w:rFonts w:ascii="Lato" w:hAnsi="Lato"/>
          <w:b/>
          <w:color w:val="1E3A5F"/>
          <w:sz w:val="26"/>
        </w:rPr>
        <w:t>What the Data Shows</w:t>
      </w:r>
    </w:p>
    <w:p>
      <w:pPr>
        <w:spacing w:after="120" w:before="0"/>
      </w:pPr>
      <w:r>
        <w:rPr>
          <w:rFonts w:ascii="Lato" w:hAnsi="Lato"/>
          <w:b w:val="0"/>
          <w:i w:val="0"/>
          <w:sz w:val="22"/>
        </w:rPr>
        <w:t>Competitive positioning is the second-largest theme (142 items, 30.1%) with slightly positive NSS (+9.9%). Thums Up vs Coca-Cola is the primary comparison axis, with Pepsi a distant third. Consumers frame the choice as 'bold vs smooth' with Thums Up owning 'bold'. Campa Cola appears as an emerging disruptor backed by Reliance, generating curiosity but not yet threatening loyalty.</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cola market operates on a taste-intensity spectrum that Thums Up anchors at the bold end. Consumers do not see Thums Up and Coca-Cola as interchangeable - they are functionally different products that happen to be in the same category. This means Thums Up's real competitive threat is not from Coke or Pepsi directly but from any new entrant that can credibly claim the 'bold' territory (Campa's positioning bears watching).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Thums Up should compete on distinctiveness rather than market share parity. The brand wins when the conversation is about taste character, and loses when it becomes about price or availability (where Coca-Cola's distribution advantage dominates). Campa Cola backed by Reliance's distribution network could be the first credible bold-positioning challenger.</w:t>
      </w:r>
    </w:p>
    <w:p>
      <w:pPr>
        <w:pStyle w:val="Heading3"/>
        <w:jc w:val="left"/>
      </w:pPr>
      <w:r>
        <w:rPr>
          <w:rFonts w:ascii="Lato" w:hAnsi="Lato"/>
          <w:b/>
          <w:color w:val="1E3A5F"/>
          <w:sz w:val="26"/>
        </w:rPr>
        <w:t>Recommendation</w:t>
      </w:r>
    </w:p>
    <w:p>
      <w:pPr>
        <w:spacing w:after="120" w:before="0"/>
      </w:pPr>
      <w:r>
        <w:rPr>
          <w:rFonts w:ascii="Lato" w:hAnsi="Lato"/>
          <w:b w:val="0"/>
          <w:i w:val="0"/>
          <w:sz w:val="22"/>
        </w:rPr>
        <w:t>Monitor Campa Cola's brand positioning closely - if Reliance positions it as 'bold' or 'strong', it directly threatens Thums Up's territory. Reinforce taste differentiation in all communication. Avoid price wars that commoditise the category and erase Thums Up's distinctiveness.</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Campa Cola trial and repeat rates among Thums Up loyalists. Conduct competitive taste mapping to understand exactly where each brand sits on the intensity spectrum.</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"These days... thumsup dena bhaiya,</w:t>
        <w:br/>
        <w:t>Shopkeeper - Nahi hai Coke/Pepsi dedu</w:t>
        <w:br/>
        <w:t>Me- Nahi Bhaiya, paani dedo fir 1 ltr wala</w:t>
        <w:br/>
        <w:t>Thumbs-up is next level"</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03. Taste Profile &amp; Carbonation Experience</w:t>
      </w:r>
    </w:p>
    <w:p>
      <w:pPr>
        <w:spacing w:after="160"/>
      </w:pPr>
      <w:r>
        <w:rPr>
          <w:rFonts w:ascii="Lato" w:hAnsi="Lato"/>
          <w:b w:val="0"/>
          <w:i w:val="0"/>
          <w:color w:val="6B7280"/>
          <w:sz w:val="18"/>
        </w:rPr>
        <w:t>n=200</w:t>
      </w:r>
      <w:r>
        <w:rPr>
          <w:rFonts w:ascii="Lato" w:hAnsi="Lato"/>
          <w:b w:val="0"/>
          <w:i w:val="0"/>
          <w:color w:val="374151"/>
          <w:sz w:val="18"/>
        </w:rPr>
        <w:t xml:space="preserve">  |  Confidence: </w:t>
      </w:r>
      <w:r>
        <w:rPr>
          <w:rFonts w:ascii="Lato" w:hAnsi="Lato"/>
          <w:b/>
          <w:i w:val="0"/>
          <w:color w:val="059669"/>
          <w:sz w:val="18"/>
        </w:rPr>
        <w:t>90% (High)</w:t>
      </w:r>
      <w:r>
        <w:rPr>
          <w:rFonts w:ascii="Lato" w:hAnsi="Lato"/>
          <w:b w:val="0"/>
          <w:i w:val="0"/>
          <w:color w:val="374151"/>
          <w:sz w:val="18"/>
        </w:rPr>
        <w:t xml:space="preserve">  |  Signal: </w:t>
      </w:r>
      <w:r>
        <w:rPr>
          <w:rFonts w:ascii="Lato" w:hAnsi="Lato"/>
          <w:b/>
          <w:i w:val="0"/>
          <w:color w:val="374151"/>
          <w:sz w:val="18"/>
        </w:rPr>
        <w:t>87% (Strong)</w:t>
      </w:r>
      <w:r>
        <w:rPr>
          <w:rFonts w:ascii="Lato" w:hAnsi="Lato"/>
          <w:b w:val="0"/>
          <w:i w:val="0"/>
          <w:color w:val="6B7280"/>
          <w:sz w:val="18"/>
        </w:rPr>
        <w:t xml:space="preserve">  |  42.6%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Taste Profile &amp; Carbonation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Taste and carbonation experience is the dominant conversation (200 items, 42.4%) with positive NSS (+13%). Consumers consistently describe Thums Up as 'stronger', 'bolder', and 'more fizzy' than Coca-Cola. Temperature sensitivity is frequently noted - the drink is described as best when ice-cold. Flat or warm Thums Up receives negative commentary.</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core brand equity lives in its sensory extremity - consumers choose it specifically because it delivers a more intense carbonation and flavour hit than any competitor. This is not a generic cola preference but a deliberate choice of intensity. The consumer who picks Thums Up is seeking a physical sensation (the 'kick') not just a sweet drink.</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reformulation that reduces carbonation intensity or sweetness balance risks destroying the brand's primary differentiator. The 'bold' positioning is not marketing - it is a genuine product truth that consumers validate in their own words. However, this also means the brand is temperature-dependent: warm or flat Thums Up actively damages perception.</w:t>
      </w:r>
    </w:p>
    <w:p>
      <w:pPr>
        <w:pStyle w:val="Heading3"/>
        <w:jc w:val="left"/>
      </w:pPr>
      <w:r>
        <w:rPr>
          <w:rFonts w:ascii="Lato" w:hAnsi="Lato"/>
          <w:b/>
          <w:color w:val="1E3A5F"/>
          <w:sz w:val="26"/>
        </w:rPr>
        <w:t>Recommendation</w:t>
      </w:r>
    </w:p>
    <w:p>
      <w:pPr>
        <w:spacing w:after="120" w:before="0"/>
      </w:pPr>
      <w:r>
        <w:rPr>
          <w:rFonts w:ascii="Lato" w:hAnsi="Lato"/>
          <w:b w:val="0"/>
          <w:i w:val="0"/>
          <w:sz w:val="22"/>
        </w:rPr>
        <w:t>Protect carbonation intensity as a non-negotiable product parameter. Invest in cold-chain infrastructure and retail visibility of chilled availability. Consider 'best served at X degrees' messaging to set expectations. Never reformulate toward a milder taste profile even if cost pressures arise.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taste testing at different temperatures and carbonation levels to identify the minimum acceptable threshold. Measure whether chilled availability correlates with repeat purchase.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"Carbonated mineral water is so so good, some of them are so refreshing when chilled"</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"Dr. Pepper is famously not really meant to taste like anything in particular. I think the official story is that the guy wanted it to taste like the way his soda shop smelled? Which could explain why some people interpret it as a mix of flavors but won’t really get it right"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"Dad superpowers:</w:t>
        <w:br/>
        <w:t>1. Immune to mom</w:t>
        <w:br/>
        <w:t>2. Immune to spicy food</w:t>
        <w:br/>
        <w:t>3. Immune to bad tastes</w:t>
        <w:br/>
        <w:t>4.Doesn't waste food"</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04. Brand Loyalty &amp; Emotional Connection</w:t>
      </w:r>
    </w:p>
    <w:p>
      <w:pPr>
        <w:spacing w:after="160"/>
      </w:pPr>
      <w:r>
        <w:rPr>
          <w:rFonts w:ascii="Lato" w:hAnsi="Lato"/>
          <w:b w:val="0"/>
          <w:i w:val="0"/>
          <w:color w:val="6B7280"/>
          <w:sz w:val="18"/>
        </w:rPr>
        <w:t>n=46</w:t>
      </w:r>
      <w:r>
        <w:rPr>
          <w:rFonts w:ascii="Lato" w:hAnsi="Lato"/>
          <w:b w:val="0"/>
          <w:i w:val="0"/>
          <w:color w:val="374151"/>
          <w:sz w:val="18"/>
        </w:rPr>
        <w:t xml:space="preserve">  |  Confidence: </w:t>
      </w:r>
      <w:r>
        <w:rPr>
          <w:rFonts w:ascii="Lato" w:hAnsi="Lato"/>
          <w:b/>
          <w:i w:val="0"/>
          <w:color w:val="059669"/>
          <w:sz w:val="18"/>
        </w:rPr>
        <w:t>87% (High)</w:t>
      </w:r>
      <w:r>
        <w:rPr>
          <w:rFonts w:ascii="Lato" w:hAnsi="Lato"/>
          <w:b w:val="0"/>
          <w:i w:val="0"/>
          <w:color w:val="374151"/>
          <w:sz w:val="18"/>
        </w:rPr>
        <w:t xml:space="preserve">  |  Signal: </w:t>
      </w:r>
      <w:r>
        <w:rPr>
          <w:rFonts w:ascii="Lato" w:hAnsi="Lato"/>
          <w:b/>
          <w:i w:val="0"/>
          <w:color w:val="374151"/>
          <w:sz w:val="18"/>
        </w:rPr>
        <w:t>91% (Strong)</w:t>
      </w:r>
      <w:r>
        <w:rPr>
          <w:rFonts w:ascii="Lato" w:hAnsi="Lato"/>
          <w:b w:val="0"/>
          <w:i w:val="0"/>
          <w:color w:val="6B7280"/>
          <w:sz w:val="18"/>
        </w:rPr>
        <w:t xml:space="preserve">  |  11.2% of Dataset</w:t>
      </w:r>
      <w:r>
        <w:rPr>
          <w:rFonts w:ascii="Lato" w:hAnsi="Lato"/>
          <w:b w:val="0"/>
          <w:i w:val="0"/>
          <w:color w:val="6B7280"/>
          <w:sz w:val="18"/>
        </w:rPr>
        <w:t xml:space="preserve">  |  NSS: </w:t>
      </w:r>
      <w:r>
        <w:rPr>
          <w:rFonts w:ascii="Lato" w:hAnsi="Lato"/>
          <w:b/>
          <w:i w:val="0"/>
          <w:color w:val="059669"/>
          <w:sz w:val="18"/>
        </w:rPr>
        <w:t>+54%</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6.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Loyalty &amp; Emotional Connection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loyalty is intensely positive (+54.4% NSS, 46 items, 9.8%) with consumers using declarative language ('nothing beats it', 'always my first choice', 'die-hard fan'). Loyalty appears to be taste-driven rather than marketing-driven - consumers cite the flavour as their reason, not advertising.</w:t>
      </w:r>
    </w:p>
    <w:p>
      <w:pPr>
        <w:pStyle w:val="Heading3"/>
        <w:jc w:val="left"/>
      </w:pPr>
      <w:r>
        <w:rPr>
          <w:rFonts w:ascii="Lato" w:hAnsi="Lato"/>
          <w:b/>
          <w:color w:val="1E3A5F"/>
          <w:sz w:val="26"/>
        </w:rPr>
        <w:t>What it Means</w:t>
      </w:r>
    </w:p>
    <w:p>
      <w:pPr>
        <w:spacing w:after="120" w:before="0"/>
      </w:pPr>
      <w:r>
        <w:rPr>
          <w:rFonts w:ascii="Lato" w:hAnsi="Lato"/>
          <w:b w:val="0"/>
          <w:i w:val="0"/>
          <w:sz w:val="22"/>
        </w:rPr>
        <w:t>Thums Up loyalty operates at the identity level, not the preference level. Loyal consumers do not just 'prefer' Thums Up - they define part of their identity through it. This is closer to how motorcycle enthusiasts relate to Royal Enfield than how most people relate to a beverage. The loyalty is self-reinforcing: choosing Thums Up signals boldness, which attracts consumers who want to signal boldness.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loyalty base is deep but may be narrow. The identity-level attachment means loyal consumers are extremely resistant to switching, but it also means the brand may not appeal to consumers who do not identify with 'bold' or 'strong' archetypes. Growth requires widening the appeal without diluting the identity.</w:t>
      </w:r>
    </w:p>
    <w:p>
      <w:pPr>
        <w:pStyle w:val="Heading3"/>
        <w:jc w:val="left"/>
      </w:pPr>
      <w:r>
        <w:rPr>
          <w:rFonts w:ascii="Lato" w:hAnsi="Lato"/>
          <w:b/>
          <w:color w:val="1E3A5F"/>
          <w:sz w:val="26"/>
        </w:rPr>
        <w:t>Recommendation</w:t>
      </w:r>
    </w:p>
    <w:p>
      <w:pPr>
        <w:spacing w:after="120" w:before="0"/>
      </w:pPr>
      <w:r>
        <w:rPr>
          <w:rFonts w:ascii="Lato" w:hAnsi="Lato"/>
          <w:b w:val="0"/>
          <w:i w:val="0"/>
          <w:sz w:val="22"/>
        </w:rPr>
        <w:t>Protect the loyalty base by never compromising on product experience. Use loyal consumers as brand advocates through user-generated content campaigns. Do not try to make Thums Up appeal to everyone - the strength is in its polarising character. Growth should come from converting the 'curious but not yet tried' segment, not from softening the brand.</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loyalty-to-advocacy conversion rate. Survey to understand whether Thums Up loyalty is generational (inherited from parents) or individually adopted.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100% agree with you about the Fanta Beetlejuice apple. It was great. I like that it wasn't the typical sour apple."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"As a Mexican I recommend drinking mineral water with salt and lime juice. Its so tasty and addicting. And helps with hangovers"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"It's not rip off, it's in the market for last 50 years, unethically acquired by Coca Cola. They even altered the taste so that brand vanishes but Indians are very loyal even after 3 decades of takeover."</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05. Health Concerns &amp; Sugar Debate</w:t>
      </w:r>
    </w:p>
    <w:p>
      <w:pPr>
        <w:spacing w:after="160"/>
      </w:pPr>
      <w:r>
        <w:rPr>
          <w:rFonts w:ascii="Lato" w:hAnsi="Lato"/>
          <w:b w:val="0"/>
          <w:i w:val="0"/>
          <w:color w:val="6B7280"/>
          <w:sz w:val="18"/>
        </w:rPr>
        <w:t>n=76</w:t>
      </w:r>
      <w:r>
        <w:rPr>
          <w:rFonts w:ascii="Lato" w:hAnsi="Lato"/>
          <w:b w:val="0"/>
          <w:i w:val="0"/>
          <w:color w:val="374151"/>
          <w:sz w:val="18"/>
        </w:rPr>
        <w:t xml:space="preserve">  |  Confidence: </w:t>
      </w:r>
      <w:r>
        <w:rPr>
          <w:rFonts w:ascii="Lato" w:hAnsi="Lato"/>
          <w:b/>
          <w:i w:val="0"/>
          <w:color w:val="059669"/>
          <w:sz w:val="18"/>
        </w:rPr>
        <w:t>86% (High)</w:t>
      </w:r>
      <w:r>
        <w:rPr>
          <w:rFonts w:ascii="Lato" w:hAnsi="Lato"/>
          <w:b w:val="0"/>
          <w:i w:val="0"/>
          <w:color w:val="374151"/>
          <w:sz w:val="18"/>
        </w:rPr>
        <w:t xml:space="preserve">  |  Signal: </w:t>
      </w:r>
      <w:r>
        <w:rPr>
          <w:rFonts w:ascii="Lato" w:hAnsi="Lato"/>
          <w:b/>
          <w:i w:val="0"/>
          <w:color w:val="374151"/>
          <w:sz w:val="18"/>
        </w:rPr>
        <w:t>91% (Strong)</w:t>
      </w:r>
      <w:r>
        <w:rPr>
          <w:rFonts w:ascii="Lato" w:hAnsi="Lato"/>
          <w:b w:val="0"/>
          <w:i w:val="0"/>
          <w:color w:val="6B7280"/>
          <w:sz w:val="18"/>
        </w:rPr>
        <w:t xml:space="preserve">  |  16.1% of Dataset</w:t>
      </w:r>
      <w:r>
        <w:rPr>
          <w:rFonts w:ascii="Lato" w:hAnsi="Lato"/>
          <w:b w:val="0"/>
          <w:i w:val="0"/>
          <w:color w:val="6B7280"/>
          <w:sz w:val="18"/>
        </w:rPr>
        <w:t xml:space="preserve">  |  NSS: </w:t>
      </w:r>
      <w:r>
        <w:rPr>
          <w:rFonts w:ascii="Lato" w:hAnsi="Lato"/>
          <w:b/>
          <w:i w:val="0"/>
          <w:color w:val="DC2626"/>
          <w:sz w:val="18"/>
        </w:rPr>
        <w:t>-37%</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4.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Health Concerns &amp; Sugar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Health concerns represent 16.1% of conversation (76 items) with the most negative sentiment in the dataset (-36.8%). Sugar content, caffeine effects, diabetes risk, and cancer associations dominate. The conversation is not specific to Thums Up but applies to all colas. Academic papers in the corpus reinforce health risks with clinical evidence.</w:t>
      </w:r>
    </w:p>
    <w:p>
      <w:pPr>
        <w:pStyle w:val="Heading3"/>
        <w:jc w:val="left"/>
      </w:pPr>
      <w:r>
        <w:rPr>
          <w:rFonts w:ascii="Lato" w:hAnsi="Lato"/>
          <w:b/>
          <w:color w:val="1E3A5F"/>
          <w:sz w:val="26"/>
        </w:rPr>
        <w:t>What it Means</w:t>
      </w:r>
    </w:p>
    <w:p>
      <w:pPr>
        <w:spacing w:after="120" w:before="0"/>
      </w:pPr>
      <w:r>
        <w:rPr>
          <w:rFonts w:ascii="Lato" w:hAnsi="Lato"/>
          <w:b w:val="0"/>
          <w:i w:val="0"/>
          <w:sz w:val="22"/>
        </w:rPr>
        <w:t>Health consciousness is the structural headwind for the entire cola category in India, and Thums Up is not immune. The health conversation is intensifying as India's diabetes epidemic grows and consumers become more nutrition-literate. Unlike Western markets where diet/zero variants have partially addressed this, Indian consumers remain sceptical of zero-sugar alternatives (see THM_007).</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Thums Up cannot outrun the health narrative - it must navigate it. Ignoring health concerns risks slow erosion as health-conscious consumers quietly switch to alternatives. But over-indexing on health (reformulation, health claims) risks alienating the core consumer who explicitly chooses Thums Up for its bold, unapologetic character.</w:t>
      </w:r>
    </w:p>
    <w:p>
      <w:pPr>
        <w:pStyle w:val="Heading3"/>
        <w:jc w:val="left"/>
      </w:pPr>
      <w:r>
        <w:rPr>
          <w:rFonts w:ascii="Lato" w:hAnsi="Lato"/>
          <w:b/>
          <w:color w:val="1E3A5F"/>
          <w:sz w:val="26"/>
        </w:rPr>
        <w:t>Recommendation</w:t>
      </w:r>
    </w:p>
    <w:p>
      <w:pPr>
        <w:spacing w:after="120" w:before="0"/>
      </w:pPr>
      <w:r>
        <w:rPr>
          <w:rFonts w:ascii="Lato" w:hAnsi="Lato"/>
          <w:b w:val="0"/>
          <w:i w:val="0"/>
          <w:sz w:val="22"/>
        </w:rPr>
        <w:t>Do not reformulate the flagship product. Instead, ensure the zero-sugar variant is genuinely good and widely available as a 'permission to keep drinking' option. Avoid making health claims for any variant. Position the brand as an informed indulgence ('you know what it is, and you choose it anyway') rather than trying to be healthy.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proportion of health-concern mentions over time to measure whether the headwind is accelerating. Survey lapsed Thums Up drinkers to understand whether health was the primary reason for switching.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"It “probably” is a better option? You don’t have to be a doctor to know that a Coke has 155 calories which is 416.67% more calories that’s in a 30 calorie OLIPOP Vintage Cola. 39 grams of sugar in a regular coke which is 89.74% more of the sugar content that is in a OLIPOP Vintage cola."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"Kids in the comment complaining about less sugars in their drink. Bro compromise with the taste, atleast you are not drinking diabetes in a glass like the americans."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asked my dentist and she said it's totally fine to drink carbonated water. Sugar and acidity are the problem."</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06. Zero Sugar &amp; Product Innovation</w:t>
      </w:r>
    </w:p>
    <w:p>
      <w:pPr>
        <w:spacing w:after="160"/>
      </w:pPr>
      <w:r>
        <w:rPr>
          <w:rFonts w:ascii="Lato" w:hAnsi="Lato"/>
          <w:b w:val="0"/>
          <w:i w:val="0"/>
          <w:color w:val="6B7280"/>
          <w:sz w:val="18"/>
        </w:rPr>
        <w:t>n=44</w:t>
      </w:r>
      <w:r>
        <w:rPr>
          <w:rFonts w:ascii="Lato" w:hAnsi="Lato"/>
          <w:b w:val="0"/>
          <w:i w:val="0"/>
          <w:color w:val="374151"/>
          <w:sz w:val="18"/>
        </w:rPr>
        <w:t xml:space="preserve">  |  Confidence: </w:t>
      </w:r>
      <w:r>
        <w:rPr>
          <w:rFonts w:ascii="Lato" w:hAnsi="Lato"/>
          <w:b/>
          <w:i w:val="0"/>
          <w:color w:val="059669"/>
          <w:sz w:val="18"/>
        </w:rPr>
        <w:t>84% (High)</w:t>
      </w:r>
      <w:r>
        <w:rPr>
          <w:rFonts w:ascii="Lato" w:hAnsi="Lato"/>
          <w:b w:val="0"/>
          <w:i w:val="0"/>
          <w:color w:val="374151"/>
          <w:sz w:val="18"/>
        </w:rPr>
        <w:t xml:space="preserve">  |  Signal: </w:t>
      </w:r>
      <w:r>
        <w:rPr>
          <w:rFonts w:ascii="Lato" w:hAnsi="Lato"/>
          <w:b/>
          <w:i w:val="0"/>
          <w:color w:val="374151"/>
          <w:sz w:val="18"/>
        </w:rPr>
        <w:t>84% (Strong)</w:t>
      </w:r>
      <w:r>
        <w:rPr>
          <w:rFonts w:ascii="Lato" w:hAnsi="Lato"/>
          <w:b w:val="0"/>
          <w:i w:val="0"/>
          <w:color w:val="6B7280"/>
          <w:sz w:val="18"/>
        </w:rPr>
        <w:t xml:space="preserve">  |  9.3% of Dataset</w:t>
      </w:r>
      <w:r>
        <w:rPr>
          <w:rFonts w:ascii="Lato" w:hAnsi="Lato"/>
          <w:b w:val="0"/>
          <w:i w:val="0"/>
          <w:color w:val="6B7280"/>
          <w:sz w:val="18"/>
        </w:rPr>
        <w:t xml:space="preserve">  |  NSS: </w:t>
      </w:r>
      <w:r>
        <w:rPr>
          <w:rFonts w:ascii="Lato" w:hAnsi="Lato"/>
          <w:b/>
          <w:i w:val="0"/>
          <w:color w:val="DC2626"/>
          <w:sz w:val="18"/>
        </w:rPr>
        <w:t>-16%</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7.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Zero Sugar &amp; Product Innovation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Zero sugar and product innovation accounts for 9.3% (44 items) with notably negative sentiment (-15.9%). Consumers are divided: some appreciate the option, others find the taste inferior ('doesn't taste like real Thums Up'). The zero-sugar variant is compared unfavourably to Coke Zero. New variants (Charged, Thunder) receive mixed reception.</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core consumers are suspicious of product extensions because they perceive them as dilutions of the original's character. The zero-sugar variant faces a double challenge: it must taste like Thums Up (which is defined by its bold sweetness) while removing the sugar that creates that boldness. Consumers feel that if they wanted a milder drink, they would switch brands - they chose Thums Up for the full experience.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Product innovation for Thums Up must respect the 'bold' contract. Variants that feel like compromises will be rejected. The zero-sugar variant needs to match the original's intensity profile or it will remain a niche product rather than a meaningful health migration path.</w:t>
      </w:r>
    </w:p>
    <w:p>
      <w:pPr>
        <w:pStyle w:val="Heading3"/>
        <w:jc w:val="left"/>
      </w:pPr>
      <w:r>
        <w:rPr>
          <w:rFonts w:ascii="Lato" w:hAnsi="Lato"/>
          <w:b/>
          <w:color w:val="1E3A5F"/>
          <w:sz w:val="26"/>
        </w:rPr>
        <w:t>Recommendation</w:t>
      </w:r>
    </w:p>
    <w:p>
      <w:pPr>
        <w:spacing w:after="120" w:before="0"/>
      </w:pPr>
      <w:r>
        <w:rPr>
          <w:rFonts w:ascii="Lato" w:hAnsi="Lato"/>
          <w:b w:val="0"/>
          <w:i w:val="0"/>
          <w:sz w:val="22"/>
        </w:rPr>
        <w:t>Invest in zero-sugar reformulation to close the taste gap with the original - this is the single highest-value product investment for health-conscious consumer retention. For new variants, ensure each has a clear 'bolder than' positioning rather than a 'different from' positioning.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taste comparison between Thums Up Zero and Coke Zero among Thums Up loyalists. Measure willingness to switch to zero-sugar if taste parity were achieved.</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"Zero sugar cold drink ❎</w:t>
        <w:br/>
        <w:t>Colourful water ✅</w:t>
        <w:br/>
        <w:br/>
        <w:t>EDIT:- jo sweetener bol raha hai unke liye ---</w:t>
        <w:br/>
        <w:t>Colourful water ❎</w:t>
        <w:br/>
        <w:t>Sweetener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"Thums Up has a stronger taste than Coca Cola. When Coca Cola Company withdrew its business from India in 1977, Parle Drinks launched Thums Up in 1977 to take the market share of withdrawn Coca Cola and it became the most popular Cola in India."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07. Nostalgia &amp; Cultural Identity</w:t>
      </w:r>
    </w:p>
    <w:p>
      <w:pPr>
        <w:spacing w:after="160"/>
      </w:pPr>
      <w:r>
        <w:rPr>
          <w:rFonts w:ascii="Lato" w:hAnsi="Lato"/>
          <w:b w:val="0"/>
          <w:i w:val="0"/>
          <w:color w:val="6B7280"/>
          <w:sz w:val="18"/>
        </w:rPr>
        <w:t>n=52</w:t>
      </w:r>
      <w:r>
        <w:rPr>
          <w:rFonts w:ascii="Lato" w:hAnsi="Lato"/>
          <w:b w:val="0"/>
          <w:i w:val="0"/>
          <w:color w:val="374151"/>
          <w:sz w:val="18"/>
        </w:rPr>
        <w:t xml:space="preserve">  |  Confidence: </w:t>
      </w:r>
      <w:r>
        <w:rPr>
          <w:rFonts w:ascii="Lato" w:hAnsi="Lato"/>
          <w:b/>
          <w:i w:val="0"/>
          <w:color w:val="059669"/>
          <w:sz w:val="18"/>
        </w:rPr>
        <w:t>83% (High)</w:t>
      </w:r>
      <w:r>
        <w:rPr>
          <w:rFonts w:ascii="Lato" w:hAnsi="Lato"/>
          <w:b w:val="0"/>
          <w:i w:val="0"/>
          <w:color w:val="374151"/>
          <w:sz w:val="18"/>
        </w:rPr>
        <w:t xml:space="preserve">  |  Signal: </w:t>
      </w:r>
      <w:r>
        <w:rPr>
          <w:rFonts w:ascii="Lato" w:hAnsi="Lato"/>
          <w:b/>
          <w:i w:val="0"/>
          <w:color w:val="374151"/>
          <w:sz w:val="18"/>
        </w:rPr>
        <w:t>86% (Strong)</w:t>
      </w:r>
      <w:r>
        <w:rPr>
          <w:rFonts w:ascii="Lato" w:hAnsi="Lato"/>
          <w:b w:val="0"/>
          <w:i w:val="0"/>
          <w:color w:val="6B7280"/>
          <w:sz w:val="18"/>
        </w:rPr>
        <w:t xml:space="preserve">  |  11.7% of Dataset</w:t>
      </w:r>
      <w:r>
        <w:rPr>
          <w:rFonts w:ascii="Lato" w:hAnsi="Lato"/>
          <w:b w:val="0"/>
          <w:i w:val="0"/>
          <w:color w:val="6B7280"/>
          <w:sz w:val="18"/>
        </w:rPr>
        <w:t xml:space="preserve">  |  NSS: </w:t>
      </w:r>
      <w:r>
        <w:rPr>
          <w:rFonts w:ascii="Lato" w:hAnsi="Lato"/>
          <w:b/>
          <w:i w:val="0"/>
          <w:color w:val="059669"/>
          <w:sz w:val="18"/>
        </w:rPr>
        <w:t>+29%</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Nostalgia &amp; Cultural Identity</w:t>
      </w:r>
    </w:p>
    <w:p>
      <w:pPr>
        <w:pStyle w:val="Heading3"/>
        <w:jc w:val="left"/>
      </w:pPr>
      <w:r>
        <w:rPr>
          <w:rFonts w:ascii="Lato" w:hAnsi="Lato"/>
          <w:b/>
          <w:color w:val="1E3A5F"/>
          <w:sz w:val="26"/>
        </w:rPr>
        <w:t>What the Data Shows</w:t>
      </w:r>
    </w:p>
    <w:p>
      <w:pPr>
        <w:spacing w:after="120" w:before="0"/>
      </w:pPr>
      <w:r>
        <w:rPr>
          <w:rFonts w:ascii="Lato" w:hAnsi="Lato"/>
          <w:b w:val="0"/>
          <w:i w:val="0"/>
          <w:sz w:val="22"/>
        </w:rPr>
        <w:t>Nostalgia and cultural identity accounts for 11% of conversation (52 items) with strongly positive sentiment (+28.9%). Consumers reference childhood memories, the Parle era, and pre-Coca-Cola India with genuine emotional warmth. The brand is positioned as 'truly Indian' despite being owned by Coca-Cola. References to 1977 (when Coca-Cola left India) and 1993 (acquisition) recur.</w:t>
      </w:r>
    </w:p>
    <w:p>
      <w:pPr>
        <w:pStyle w:val="Heading3"/>
        <w:jc w:val="left"/>
      </w:pPr>
      <w:r>
        <w:rPr>
          <w:rFonts w:ascii="Lato" w:hAnsi="Lato"/>
          <w:b/>
          <w:color w:val="1E3A5F"/>
          <w:sz w:val="26"/>
        </w:rPr>
        <w:t>What it Means</w:t>
      </w:r>
    </w:p>
    <w:p>
      <w:pPr>
        <w:spacing w:after="120" w:before="0"/>
      </w:pPr>
      <w:r>
        <w:rPr>
          <w:rFonts w:ascii="Lato" w:hAnsi="Lato"/>
          <w:b w:val="0"/>
          <w:i w:val="0"/>
          <w:sz w:val="22"/>
        </w:rPr>
        <w:t>Thums Up occupies a unique position in Indian consumer memory - it is simultaneously a corporate product and a national symbol. The brand's survival story (created when Coke left, survived when Coke returned) has become a folk narrative of Indian resilience. This emotional layer exists independently of any marketing - consumers tell this story to each other unprompted.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nostalgia equity is irreplaceable and cannot be manufactured by competitors. However, it is also ageing - the consumers who remember the Parle era are 40+. If the brand does not create new cultural anchors for younger consumers, the nostalgia advantage will erode generationally.</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'heritage' content series that tells the Thums Up origin story to younger consumers who never experienced the Parle era. Use this as a differentiation lever against Pepsi and Coca-Cola - neither can claim Indian origin. Do not let the nostalgia narrative exist only in the memories of older consumers.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brand origin awareness by age cohort. Measure whether younger consumers (18-25) know the Parle story and whether it affects their brand preference.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 bottle design has been kept for more than 140 years. The drink is a quintessential symbol of Japanese summer, it's a staple at seasonal festivals and fireworks displays. For many Japanese, across generations, its taste and experience are deeply intertwined with childhood memories of summer, the bottle design is a part of that nostalgia."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"Had this one myself! Years later when I joined advertising, I met someone who’d designed these for Parle! Was surreal."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think the answer to the question is, “corporate told us we are NOT allowed to give customers an IQ test prior to buy our products.” then the designer said “hold my beer”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Advertising, Cricket &amp; Brand Ambassadors</w:t>
      </w:r>
    </w:p>
    <w:p>
      <w:pPr>
        <w:spacing w:after="160"/>
      </w:pPr>
      <w:r>
        <w:rPr>
          <w:rFonts w:ascii="Lato" w:hAnsi="Lato"/>
          <w:b w:val="0"/>
          <w:i w:val="0"/>
          <w:color w:val="6B7280"/>
          <w:sz w:val="18"/>
        </w:rPr>
        <w:t>n=85</w:t>
      </w:r>
      <w:r>
        <w:rPr>
          <w:rFonts w:ascii="Lato" w:hAnsi="Lato"/>
          <w:b w:val="0"/>
          <w:i w:val="0"/>
          <w:color w:val="374151"/>
          <w:sz w:val="18"/>
        </w:rPr>
        <w:t xml:space="preserve">  |  Confidence: </w:t>
      </w:r>
      <w:r>
        <w:rPr>
          <w:rFonts w:ascii="Lato" w:hAnsi="Lato"/>
          <w:b/>
          <w:i w:val="0"/>
          <w:color w:val="059669"/>
          <w:sz w:val="18"/>
        </w:rPr>
        <w:t>82% (High)</w:t>
      </w:r>
      <w:r>
        <w:rPr>
          <w:rFonts w:ascii="Lato" w:hAnsi="Lato"/>
          <w:b w:val="0"/>
          <w:i w:val="0"/>
          <w:color w:val="374151"/>
          <w:sz w:val="18"/>
        </w:rPr>
        <w:t xml:space="preserve">  |  Signal: </w:t>
      </w:r>
      <w:r>
        <w:rPr>
          <w:rFonts w:ascii="Lato" w:hAnsi="Lato"/>
          <w:b/>
          <w:i w:val="0"/>
          <w:color w:val="374151"/>
          <w:sz w:val="18"/>
        </w:rPr>
        <w:t>82% (Strong)</w:t>
      </w:r>
      <w:r>
        <w:rPr>
          <w:rFonts w:ascii="Lato" w:hAnsi="Lato"/>
          <w:b w:val="0"/>
          <w:i w:val="0"/>
          <w:color w:val="6B7280"/>
          <w:sz w:val="18"/>
        </w:rPr>
        <w:t xml:space="preserve">  |  18.4%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8.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Advertising, Cricket &amp; Brand Ambassadors</w:t>
      </w:r>
    </w:p>
    <w:p>
      <w:pPr>
        <w:pStyle w:val="Heading3"/>
        <w:jc w:val="left"/>
      </w:pPr>
      <w:r>
        <w:rPr>
          <w:rFonts w:ascii="Lato" w:hAnsi="Lato"/>
          <w:b/>
          <w:color w:val="1E3A5F"/>
          <w:sz w:val="26"/>
        </w:rPr>
        <w:t>What the Data Shows</w:t>
      </w:r>
    </w:p>
    <w:p>
      <w:pPr>
        <w:spacing w:after="120" w:before="0"/>
      </w:pPr>
      <w:r>
        <w:rPr>
          <w:rFonts w:ascii="Lato" w:hAnsi="Lato"/>
          <w:b w:val="0"/>
          <w:i w:val="0"/>
          <w:sz w:val="22"/>
        </w:rPr>
        <w:t>Advertising and cricket sponsorship represent 18% of conversation (85 items) with positive NSS (+18.8%). Salman Khan's association is recognised but not universally loved. Cricket sponsorship (IPL) generates significant visibility. The 'toofani' (stormy/wild) tagline has cultural penetration. Stunt-based advertising is remembered but sometimes seen as over-the-top.</w:t>
      </w:r>
    </w:p>
    <w:p>
      <w:pPr>
        <w:pStyle w:val="Heading3"/>
        <w:jc w:val="left"/>
      </w:pPr>
      <w:r>
        <w:rPr>
          <w:rFonts w:ascii="Lato" w:hAnsi="Lato"/>
          <w:b/>
          <w:color w:val="1E3A5F"/>
          <w:sz w:val="26"/>
        </w:rPr>
        <w:t>What it Means</w:t>
      </w:r>
    </w:p>
    <w:p>
      <w:pPr>
        <w:spacing w:after="120" w:before="0"/>
      </w:pPr>
      <w:r>
        <w:rPr>
          <w:rFonts w:ascii="Lato" w:hAnsi="Lato"/>
          <w:b w:val="0"/>
          <w:i w:val="0"/>
          <w:sz w:val="22"/>
        </w:rPr>
        <w:t>Thums Up's advertising works because it amplifies the product truth (boldness) rather than creating a disconnected aspiration. The cricket-stunt-masculinity advertising universe is coherent and reinforcing. However, the exclusively masculine positioning may be creating a ceiling - women are almost entirely absent from the brand conversation, which represents a significant untapped volume opportunity.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current advertising strategy is effective for the core male 18-35 audience but self-limiting. The brand's cultural presence is disproportionately through cricket and action, which codes as masculine entertainment. Expanding the brand's cultural footprint without abandoning the 'bold' identity requires new occasion and context advertising rather than new personality advertising.</w:t>
      </w:r>
    </w:p>
    <w:p>
      <w:pPr>
        <w:pStyle w:val="Heading3"/>
        <w:jc w:val="left"/>
      </w:pPr>
      <w:r>
        <w:rPr>
          <w:rFonts w:ascii="Lato" w:hAnsi="Lato"/>
          <w:b/>
          <w:color w:val="1E3A5F"/>
          <w:sz w:val="26"/>
        </w:rPr>
        <w:t>Recommendation</w:t>
      </w:r>
    </w:p>
    <w:p>
      <w:pPr>
        <w:spacing w:after="120" w:before="0"/>
      </w:pPr>
      <w:r>
        <w:rPr>
          <w:rFonts w:ascii="Lato" w:hAnsi="Lato"/>
          <w:b w:val="0"/>
          <w:i w:val="0"/>
          <w:sz w:val="22"/>
        </w:rPr>
        <w:t>Maintain cricket sponsorship and action-oriented creative for the core audience. Test food-pairing advertising (biryani, street food) as a gender-neutral entry point that expands reach without diluting brand character. Avoid directly targeting women with softened messaging - instead, create occasions where women naturally encounter the brand in a context that feels authentic.</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brand consideration by gender to quantify the gender gap. Test food-pairing creative vs. stunt creative for recall and purchase intent across demographics.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"Had this one myself! Years later when I joined advertising, I met someone who’d designed these for Parle! Was surreal."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was bracing myself for a sponsored video but instead Sammy delivered a DIY hack."</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"Can this guy do Fifa world cup song? Long time since we had a good one! K'naan okke pole oru worldwide item!"</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09. Food &amp; Occasion Pairings</w:t>
      </w:r>
    </w:p>
    <w:p>
      <w:pPr>
        <w:spacing w:after="160"/>
      </w:pPr>
      <w:r>
        <w:rPr>
          <w:rFonts w:ascii="Lato" w:hAnsi="Lato"/>
          <w:b w:val="0"/>
          <w:i w:val="0"/>
          <w:color w:val="6B7280"/>
          <w:sz w:val="18"/>
        </w:rPr>
        <w:t>n=33</w:t>
      </w:r>
      <w:r>
        <w:rPr>
          <w:rFonts w:ascii="Lato" w:hAnsi="Lato"/>
          <w:b w:val="0"/>
          <w:i w:val="0"/>
          <w:color w:val="374151"/>
          <w:sz w:val="18"/>
        </w:rPr>
        <w:t xml:space="preserve">  |  Confidence: </w:t>
      </w:r>
      <w:r>
        <w:rPr>
          <w:rFonts w:ascii="Lato" w:hAnsi="Lato"/>
          <w:b/>
          <w:i w:val="0"/>
          <w:color w:val="059669"/>
          <w:sz w:val="18"/>
        </w:rPr>
        <w:t>81% (High)</w:t>
      </w:r>
      <w:r>
        <w:rPr>
          <w:rFonts w:ascii="Lato" w:hAnsi="Lato"/>
          <w:b w:val="0"/>
          <w:i w:val="0"/>
          <w:color w:val="374151"/>
          <w:sz w:val="18"/>
        </w:rPr>
        <w:t xml:space="preserve">  |  Signal: </w:t>
      </w:r>
      <w:r>
        <w:rPr>
          <w:rFonts w:ascii="Lato" w:hAnsi="Lato"/>
          <w:b/>
          <w:i w:val="0"/>
          <w:color w:val="374151"/>
          <w:sz w:val="18"/>
        </w:rPr>
        <w:t>88% (Strong)</w:t>
      </w:r>
      <w:r>
        <w:rPr>
          <w:rFonts w:ascii="Lato" w:hAnsi="Lato"/>
          <w:b w:val="0"/>
          <w:i w:val="0"/>
          <w:color w:val="6B7280"/>
          <w:sz w:val="18"/>
        </w:rPr>
        <w:t xml:space="preserve">  |  7.2% of Dataset</w:t>
      </w:r>
      <w:r>
        <w:rPr>
          <w:rFonts w:ascii="Lato" w:hAnsi="Lato"/>
          <w:b w:val="0"/>
          <w:i w:val="0"/>
          <w:color w:val="6B7280"/>
          <w:sz w:val="18"/>
        </w:rPr>
        <w:t xml:space="preserve">  |  NSS: </w:t>
      </w:r>
      <w:r>
        <w:rPr>
          <w:rFonts w:ascii="Lato" w:hAnsi="Lato"/>
          <w:b/>
          <w:i w:val="0"/>
          <w:color w:val="059669"/>
          <w:sz w:val="18"/>
        </w:rPr>
        <w:t>+15%</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5.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Food &amp; Occasion Pairings</w:t>
      </w:r>
    </w:p>
    <w:p>
      <w:pPr>
        <w:pStyle w:val="Heading3"/>
        <w:jc w:val="left"/>
      </w:pPr>
      <w:r>
        <w:rPr>
          <w:rFonts w:ascii="Lato" w:hAnsi="Lato"/>
          <w:b/>
          <w:color w:val="1E3A5F"/>
          <w:sz w:val="26"/>
        </w:rPr>
        <w:t>What the Data Shows</w:t>
      </w:r>
    </w:p>
    <w:p>
      <w:pPr>
        <w:spacing w:after="120" w:before="0"/>
      </w:pPr>
      <w:r>
        <w:rPr>
          <w:rFonts w:ascii="Lato" w:hAnsi="Lato"/>
          <w:b w:val="0"/>
          <w:i w:val="0"/>
          <w:sz w:val="22"/>
        </w:rPr>
        <w:t>Food pairing accounts for 7% of conversation (33 items) with positive sentiment (+15.2%). Biryani is the most-cited pairing, followed by street food (kebabs, chaat) and dhaba meals. Old Monk rum + Thums Up is a recognised cultural combination. The pairings are distinctly Indian and class-transcending - from street-side to restaurant.</w:t>
      </w:r>
    </w:p>
    <w:p>
      <w:pPr>
        <w:pStyle w:val="Heading3"/>
        <w:jc w:val="left"/>
      </w:pPr>
      <w:r>
        <w:rPr>
          <w:rFonts w:ascii="Lato" w:hAnsi="Lato"/>
          <w:b/>
          <w:color w:val="1E3A5F"/>
          <w:sz w:val="26"/>
        </w:rPr>
        <w:t>What it Means</w:t>
      </w:r>
    </w:p>
    <w:p>
      <w:pPr>
        <w:spacing w:after="120" w:before="0"/>
      </w:pPr>
      <w:r>
        <w:rPr>
          <w:rFonts w:ascii="Lato" w:hAnsi="Lato"/>
          <w:b w:val="0"/>
          <w:i w:val="0"/>
          <w:sz w:val="22"/>
        </w:rPr>
        <w:t>Thums Up has organically become the default cola for Indian occasion eating in a way that Coca-Cola has not. The biryani-Thums Up pairing is approaching cultural ritual status - consumers mention it as an automatic, unquestioned combination. The Old Monk pairing extends the brand into nightlife without any official positioning. These pairings were not created by marketing - they emerged from consumer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Food pairing is an under-leveraged brand asset. The biryani association alone connects Thums Up to one of India's most popular and emotionally charged foods. This is a defensible moat that no competitor can easily replicate because it is rooted in decades of consumer habit.</w:t>
      </w:r>
    </w:p>
    <w:p>
      <w:pPr>
        <w:pStyle w:val="Heading3"/>
        <w:jc w:val="left"/>
      </w:pPr>
      <w:r>
        <w:rPr>
          <w:rFonts w:ascii="Lato" w:hAnsi="Lato"/>
          <w:b/>
          <w:color w:val="1E3A5F"/>
          <w:sz w:val="26"/>
        </w:rPr>
        <w:t>Recommendation</w:t>
      </w:r>
    </w:p>
    <w:p>
      <w:pPr>
        <w:spacing w:after="120" w:before="0"/>
      </w:pPr>
      <w:r>
        <w:rPr>
          <w:rFonts w:ascii="Lato" w:hAnsi="Lato"/>
          <w:b w:val="0"/>
          <w:i w:val="0"/>
          <w:sz w:val="22"/>
        </w:rPr>
        <w:t>Explicitly own the food-pairing territory in marketing. Create 'Thums Up + Biryani' occasion marketing during Ramadan, Eid, and weekend dining occasions. Partner with biryani delivery platforms (Swiggy, Zomato) for bundled offers. Do not try to expand pairings artificially - let the existing organic pairings lead.</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food-pairing association through structured survey (what drink do you pair with biryani?) to measure share vs. competitors. Track whether occasion marketing drives incremental sales during target periods.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"Shah Rukh Khan (SRK) Loves Biryani and Thums Up. I Love You Shah Rukh Khan (SRK). Shah Rukh Khan (SRK) I am the biggest fan of you."</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 think these plastic bottles are not able to hold the Fizz for long. Few weeks back, got those glass bottles at a restaurant and it was fantastic."</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"Ya to kisi ne complaint ki hogi ki tum thumps up me alcohol mila ke pi rhe ho </w:t>
        <w:br/>
        <w:t xml:space="preserve">Ya unhone jaate time notice Kiya hoga thumps up </w:t>
        <w:br/>
        <w:t xml:space="preserve">Aur aate time check Kari </w:t>
        <w:br/>
        <w:br/>
        <w:br/>
        <w:br/>
        <w:br/>
        <w:t>It's not allowed to drink in train but still people do"</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Quality Issues &amp; Contamination Reports</w:t>
      </w:r>
    </w:p>
    <w:p>
      <w:pPr>
        <w:spacing w:after="160"/>
      </w:pPr>
      <w:r>
        <w:rPr>
          <w:rFonts w:ascii="Lato" w:hAnsi="Lato"/>
          <w:b w:val="0"/>
          <w:i w:val="0"/>
          <w:color w:val="6B7280"/>
          <w:sz w:val="18"/>
        </w:rPr>
        <w:t>n=18</w:t>
      </w:r>
      <w:r>
        <w:rPr>
          <w:rFonts w:ascii="Lato" w:hAnsi="Lato"/>
          <w:b w:val="0"/>
          <w:i w:val="0"/>
          <w:color w:val="374151"/>
          <w:sz w:val="18"/>
        </w:rPr>
        <w:t xml:space="preserve">  |  Confidence: </w:t>
      </w:r>
      <w:r>
        <w:rPr>
          <w:rFonts w:ascii="Lato" w:hAnsi="Lato"/>
          <w:b/>
          <w:i w:val="0"/>
          <w:color w:val="059669"/>
          <w:sz w:val="18"/>
        </w:rPr>
        <w:t>80% (High)</w:t>
      </w:r>
      <w:r>
        <w:rPr>
          <w:rFonts w:ascii="Lato" w:hAnsi="Lato"/>
          <w:b w:val="0"/>
          <w:i w:val="0"/>
          <w:color w:val="374151"/>
          <w:sz w:val="18"/>
        </w:rPr>
        <w:t xml:space="preserve">  |  Signal: </w:t>
      </w:r>
      <w:r>
        <w:rPr>
          <w:rFonts w:ascii="Lato" w:hAnsi="Lato"/>
          <w:b/>
          <w:i w:val="0"/>
          <w:color w:val="374151"/>
          <w:sz w:val="18"/>
        </w:rPr>
        <w:t>79% (Strong)</w:t>
      </w:r>
      <w:r>
        <w:rPr>
          <w:rFonts w:ascii="Lato" w:hAnsi="Lato"/>
          <w:b w:val="0"/>
          <w:i w:val="0"/>
          <w:color w:val="6B7280"/>
          <w:sz w:val="18"/>
        </w:rPr>
        <w:t xml:space="preserve">  |  4.2% of Dataset</w:t>
      </w:r>
      <w:r>
        <w:rPr>
          <w:rFonts w:ascii="Lato" w:hAnsi="Lato"/>
          <w:b w:val="0"/>
          <w:i w:val="0"/>
          <w:color w:val="6B7280"/>
          <w:sz w:val="18"/>
        </w:rPr>
        <w:t xml:space="preserve">  |  NSS: </w:t>
      </w:r>
      <w:r>
        <w:rPr>
          <w:rFonts w:ascii="Lato" w:hAnsi="Lato"/>
          <w:b/>
          <w:i w:val="0"/>
          <w:color w:val="DC2626"/>
          <w:sz w:val="18"/>
        </w:rPr>
        <w:t>-50%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0.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Quality Issues &amp; Contamination Reports</w:t>
      </w:r>
    </w:p>
    <w:p>
      <w:pPr>
        <w:pStyle w:val="Heading3"/>
        <w:jc w:val="left"/>
      </w:pPr>
      <w:r>
        <w:rPr>
          <w:rFonts w:ascii="Lato" w:hAnsi="Lato"/>
          <w:b/>
          <w:color w:val="1E3A5F"/>
          <w:sz w:val="26"/>
        </w:rPr>
        <w:t>What the Data Shows</w:t>
      </w:r>
    </w:p>
    <w:p>
      <w:pPr>
        <w:spacing w:after="120" w:before="0"/>
      </w:pPr>
      <w:r>
        <w:rPr>
          <w:rFonts w:ascii="Lato" w:hAnsi="Lato"/>
          <w:b w:val="0"/>
          <w:i w:val="0"/>
          <w:sz w:val="22"/>
        </w:rPr>
        <w:t>Quality issues appear in 3.8% of conversation (18 items) with strongly negative sentiment (-50%). Reports include foreign objects found in bottles, inconsistent taste between manufacturing plants, and expired products on shelves. Though small in volume, these complaints are high-engagement posts that generate significant discussion and sharing.</w:t>
      </w:r>
    </w:p>
    <w:p>
      <w:pPr>
        <w:pStyle w:val="Heading3"/>
        <w:jc w:val="left"/>
      </w:pPr>
      <w:r>
        <w:rPr>
          <w:rFonts w:ascii="Lato" w:hAnsi="Lato"/>
          <w:b/>
          <w:color w:val="1E3A5F"/>
          <w:sz w:val="26"/>
        </w:rPr>
        <w:t>What it Means</w:t>
      </w:r>
    </w:p>
    <w:p>
      <w:pPr>
        <w:spacing w:after="120" w:before="0"/>
      </w:pPr>
      <w:r>
        <w:rPr>
          <w:rFonts w:ascii="Lato" w:hAnsi="Lato"/>
          <w:b w:val="0"/>
          <w:i w:val="0"/>
          <w:sz w:val="22"/>
        </w:rPr>
        <w:t>Quality complaints in food and beverage have an asymmetric impact - a single contamination report generates more engagement and brand damage than dozens of positive mentions. The manufacturing inconsistency complaints are particularly concerning because they suggest the brand promise (bold, consistent taste) is not being delivered uniformly across plants. This erodes the trust that sustains loyalty.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Quality control is a brand survival issue, not just an operations issue. In the age of social media, a single viral contamination post can undo months of advertising investment. The taste inconsistency complaints suggest a systemic manufacturing variance that, if left unaddressed, will gradually undermine the 'I know what I am getting' trust that drives repeat purchase.</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plant-level quality auditing with consumer taste-testing panels to detect manufacturing variance before it reaches consumers. Create a rapid-response social media protocol for contamination reports - speed of acknowledgement matters more than the outcome. Invest in supply chain freshness (FIFO enforcement, shelf-life monitoring).</w:t>
      </w:r>
    </w:p>
    <w:p>
      <w:pPr>
        <w:pStyle w:val="Heading3"/>
        <w:jc w:val="left"/>
      </w:pPr>
      <w:r>
        <w:rPr>
          <w:rFonts w:ascii="Lato" w:hAnsi="Lato"/>
          <w:b/>
          <w:color w:val="1E3A5F"/>
          <w:sz w:val="26"/>
        </w:rPr>
        <w:t>Further Validation</w:t>
      </w:r>
    </w:p>
    <w:p>
      <w:pPr>
        <w:spacing w:after="120" w:before="0"/>
      </w:pPr>
      <w:r>
        <w:rPr>
          <w:rFonts w:ascii="Lato" w:hAnsi="Lato"/>
          <w:b w:val="0"/>
          <w:i w:val="0"/>
          <w:sz w:val="22"/>
        </w:rPr>
        <w:t>Audit taste consistency across manufacturing plants through blind testing. Track social media sentiment impact of quality complaints to quantify the damage multiplier.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"It should be harmless, somehow air got in and contaminated the drink, it formed that slimy structure with sugar. </w:t>
        <w:br/>
        <w:br/>
        <w:t>Still contact Coke, so they can investigate."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"After watching a few of your videos a few weeks ago, I now have a ginger bug working its magic and when it's ready I'm looking forward to making fruit flavoured sodas similar to the ones you've featured here. Thank you for your passionate fermentation videos. I'm learning so much. 😊 God bless you!"</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"You bought soda stream for pop, I bought for sparking water, no we are not the same😂😂"</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11. International Discovery &amp; Diaspora</w:t>
      </w:r>
    </w:p>
    <w:p>
      <w:pPr>
        <w:spacing w:after="160"/>
      </w:pPr>
      <w:r>
        <w:rPr>
          <w:rFonts w:ascii="Lato" w:hAnsi="Lato"/>
          <w:b w:val="0"/>
          <w:i w:val="0"/>
          <w:color w:val="6B7280"/>
          <w:sz w:val="18"/>
        </w:rPr>
        <w:t>n=42</w:t>
      </w:r>
      <w:r>
        <w:rPr>
          <w:rFonts w:ascii="Lato" w:hAnsi="Lato"/>
          <w:b w:val="0"/>
          <w:i w:val="0"/>
          <w:color w:val="374151"/>
          <w:sz w:val="18"/>
        </w:rPr>
        <w:t xml:space="preserve">  |  Confidence: </w:t>
      </w:r>
      <w:r>
        <w:rPr>
          <w:rFonts w:ascii="Lato" w:hAnsi="Lato"/>
          <w:b/>
          <w:i w:val="0"/>
          <w:color w:val="059669"/>
          <w:sz w:val="18"/>
        </w:rPr>
        <w:t>78% (High)</w:t>
      </w:r>
      <w:r>
        <w:rPr>
          <w:rFonts w:ascii="Lato" w:hAnsi="Lato"/>
          <w:b w:val="0"/>
          <w:i w:val="0"/>
          <w:color w:val="374151"/>
          <w:sz w:val="18"/>
        </w:rPr>
        <w:t xml:space="preserve">  |  Signal: </w:t>
      </w:r>
      <w:r>
        <w:rPr>
          <w:rFonts w:ascii="Lato" w:hAnsi="Lato"/>
          <w:b/>
          <w:i w:val="0"/>
          <w:color w:val="374151"/>
          <w:sz w:val="18"/>
        </w:rPr>
        <w:t>85% (Strong)</w:t>
      </w:r>
      <w:r>
        <w:rPr>
          <w:rFonts w:ascii="Lato" w:hAnsi="Lato"/>
          <w:b w:val="0"/>
          <w:i w:val="0"/>
          <w:color w:val="6B7280"/>
          <w:sz w:val="18"/>
        </w:rPr>
        <w:t xml:space="preserve">  |  8.9%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1.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International Discovery &amp; Diaspora</w:t>
      </w:r>
    </w:p>
    <w:p>
      <w:pPr>
        <w:pStyle w:val="Heading3"/>
        <w:jc w:val="left"/>
      </w:pPr>
      <w:r>
        <w:rPr>
          <w:rFonts w:ascii="Lato" w:hAnsi="Lato"/>
          <w:b/>
          <w:color w:val="1E3A5F"/>
          <w:sz w:val="26"/>
        </w:rPr>
        <w:t>What the Data Shows</w:t>
      </w:r>
    </w:p>
    <w:p>
      <w:pPr>
        <w:spacing w:after="120" w:before="0"/>
      </w:pPr>
      <w:r>
        <w:rPr>
          <w:rFonts w:ascii="Lato" w:hAnsi="Lato"/>
          <w:b w:val="0"/>
          <w:i w:val="0"/>
          <w:sz w:val="22"/>
        </w:rPr>
        <w:t>International discovery and diaspora conversations account for 8.9% (42 items) with positive sentiment (+23.8%). NRIs actively seek Thums Up in Indian grocery stores abroad. International consumers who discover it describe it as 'different from any cola I have tried'. The brand has a small but passionate following in unexpected markets (Ireland, Middle East, US).</w:t>
      </w:r>
    </w:p>
    <w:p>
      <w:pPr>
        <w:pStyle w:val="Heading3"/>
        <w:jc w:val="left"/>
      </w:pPr>
      <w:r>
        <w:rPr>
          <w:rFonts w:ascii="Lato" w:hAnsi="Lato"/>
          <w:b/>
          <w:color w:val="1E3A5F"/>
          <w:sz w:val="26"/>
        </w:rPr>
        <w:t>What it Means</w:t>
      </w:r>
    </w:p>
    <w:p>
      <w:pPr>
        <w:spacing w:after="120" w:before="0"/>
      </w:pPr>
      <w:r>
        <w:rPr>
          <w:rFonts w:ascii="Lato" w:hAnsi="Lato"/>
          <w:b w:val="0"/>
          <w:i w:val="0"/>
          <w:sz w:val="22"/>
        </w:rPr>
        <w:t>Thums Up has untapped international potential that is currently served entirely through diaspora grocery channels. The brand's distinctiveness (which is its domestic strength) makes it a genuine curiosity product for non-Indian consumers who discover it. However, the current international presence is accidental rather than strategic - it exists because diaspora demand created distribution, not because of any export strategy.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international opportunity is real but requires deliberate investment. The diaspora channel provides a low-risk testbed for international expansion - these consumers already love the product and can serve as brand ambassadors. The 'Indian bold cola' positioning is genuinely differentiated in markets where Coke and Pepsi dominate with similar mild profiles.</w:t>
      </w:r>
    </w:p>
    <w:p>
      <w:pPr>
        <w:pStyle w:val="Heading3"/>
        <w:jc w:val="left"/>
      </w:pPr>
      <w:r>
        <w:rPr>
          <w:rFonts w:ascii="Lato" w:hAnsi="Lato"/>
          <w:b/>
          <w:color w:val="1E3A5F"/>
          <w:sz w:val="26"/>
        </w:rPr>
        <w:t>Recommendation</w:t>
      </w:r>
    </w:p>
    <w:p>
      <w:pPr>
        <w:spacing w:after="120" w:before="0"/>
      </w:pPr>
      <w:r>
        <w:rPr>
          <w:rFonts w:ascii="Lato" w:hAnsi="Lato"/>
          <w:b w:val="0"/>
          <w:i w:val="0"/>
          <w:sz w:val="22"/>
        </w:rPr>
        <w:t>Formalise the diaspora distribution strategy - ensure Thums Up is consistently available in Indian grocery stores in top 20 diaspora cities (Dubai, London, New York, Toronto, Singapore). Test premium positioning in non-Indian channels (speciality beverage retailers) where 'exotic Indian cola' can command curiosity-driven trial. Do not price it the same as Coke - premium pricing signals authenticity.</w:t>
      </w:r>
    </w:p>
    <w:p>
      <w:pPr>
        <w:pStyle w:val="Heading3"/>
        <w:jc w:val="left"/>
      </w:pPr>
      <w:r>
        <w:rPr>
          <w:rFonts w:ascii="Lato" w:hAnsi="Lato"/>
          <w:b/>
          <w:color w:val="1E3A5F"/>
          <w:sz w:val="26"/>
        </w:rPr>
        <w:t>Further Validation</w:t>
      </w:r>
    </w:p>
    <w:p>
      <w:pPr>
        <w:spacing w:after="120" w:before="0"/>
      </w:pPr>
      <w:r>
        <w:rPr>
          <w:rFonts w:ascii="Lato" w:hAnsi="Lato"/>
          <w:b w:val="0"/>
          <w:i w:val="0"/>
          <w:sz w:val="22"/>
        </w:rPr>
        <w:t>Size the diaspora market opportunity by city. Conduct taste testing with non-Indian consumers in key markets to measure acceptance and willingness to pay.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"First Japan Trip Report w/ Price Spending Breakdown and Full Hourly Itinerary Excel **My personal planning Excel with Price/Item Breakdown and Hour by Hour Schedule can be found here:** ***(Originally made in Excel so Google sheets broke the fancy picture banners I had for each day)***</w:t>
        <w:br/>
        <w:br/>
        <w:t>[**https://d..."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"First Japan Trip Report w/ Spending Breakdown and Full Itinerary Excel **My personal planning Excel with Price/Item Breakdown and Hour by Hour Schedule can be found here:** ***(Originally made in Excel so Google sheets broke the fancy picture banners I had for each day)***</w:t>
        <w:br/>
        <w:br/>
        <w:t>[**https://docs.google.co..."</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"my Dad said he used to smash open lemonade bottles for the marbles, nice to know Japan still makes them."</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12. Coca-Cola Acquisition &amp; Corporate History</w:t>
      </w:r>
    </w:p>
    <w:p>
      <w:pPr>
        <w:spacing w:after="160"/>
      </w:pPr>
      <w:r>
        <w:rPr>
          <w:rFonts w:ascii="Lato" w:hAnsi="Lato"/>
          <w:b w:val="0"/>
          <w:i w:val="0"/>
          <w:color w:val="6B7280"/>
          <w:sz w:val="18"/>
        </w:rPr>
        <w:t>n=26</w:t>
      </w:r>
      <w:r>
        <w:rPr>
          <w:rFonts w:ascii="Lato" w:hAnsi="Lato"/>
          <w:b w:val="0"/>
          <w:i w:val="0"/>
          <w:color w:val="374151"/>
          <w:sz w:val="18"/>
        </w:rPr>
        <w:t xml:space="preserve">  |  Confidence: </w:t>
      </w:r>
      <w:r>
        <w:rPr>
          <w:rFonts w:ascii="Lato" w:hAnsi="Lato"/>
          <w:b/>
          <w:i w:val="0"/>
          <w:color w:val="D97706"/>
          <w:sz w:val="18"/>
        </w:rPr>
        <w:t>73% (Medium)</w:t>
      </w:r>
      <w:r>
        <w:rPr>
          <w:rFonts w:ascii="Lato" w:hAnsi="Lato"/>
          <w:b w:val="0"/>
          <w:i w:val="0"/>
          <w:color w:val="374151"/>
          <w:sz w:val="18"/>
        </w:rPr>
        <w:t xml:space="preserve">  |  Signal: </w:t>
      </w:r>
      <w:r>
        <w:rPr>
          <w:rFonts w:ascii="Lato" w:hAnsi="Lato"/>
          <w:b/>
          <w:i w:val="0"/>
          <w:color w:val="374151"/>
          <w:sz w:val="18"/>
        </w:rPr>
        <w:t>71% (Moderate)</w:t>
      </w:r>
      <w:r>
        <w:rPr>
          <w:rFonts w:ascii="Lato" w:hAnsi="Lato"/>
          <w:b w:val="0"/>
          <w:i w:val="0"/>
          <w:color w:val="6B7280"/>
          <w:sz w:val="18"/>
        </w:rPr>
        <w:t xml:space="preserve">  |  5.5%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2.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Coca-Cola Acquisition &amp; Corporate History</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Coca-Cola acquisition narrative accounts for 5.5% (26 items) with positive sentiment (+19.2%). The dominant narrative is 'Coke tried to kill Thums Up but failed because Indians loved it too much'. This story is told with pride and positions the brand as a survivor. References to Ramesh Chauhan (Parle founder) and the 1993 acquisition are common knowledge among engaged consumers.</w:t>
      </w:r>
    </w:p>
    <w:p>
      <w:pPr>
        <w:pStyle w:val="Heading3"/>
        <w:jc w:val="left"/>
      </w:pPr>
      <w:r>
        <w:rPr>
          <w:rFonts w:ascii="Lato" w:hAnsi="Lato"/>
          <w:b/>
          <w:color w:val="1E3A5F"/>
          <w:sz w:val="26"/>
        </w:rPr>
        <w:t>What it Means</w:t>
      </w:r>
    </w:p>
    <w:p>
      <w:pPr>
        <w:spacing w:after="120" w:before="0"/>
      </w:pPr>
      <w:r>
        <w:rPr>
          <w:rFonts w:ascii="Lato" w:hAnsi="Lato"/>
          <w:b w:val="0"/>
          <w:i w:val="0"/>
          <w:sz w:val="22"/>
        </w:rPr>
        <w:t>The acquisition survival story has become Thums Up's founding myth - a narrative of Indian consumer power defeating corporate strategy. This is more powerful than any manufactured brand story because it is true, verifiable, and emotionally resonant. The fact that consumers tell this story unprompted means it has achieved cultural status beyond brand marketing.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narrative is a permanent competitive moat. No competitor can replicate a genuine survival story. However, Coca-Cola (as current owner) must handle this narrative carefully - the story positions Coca-Cola as the villain and Thums Up as the hero. Overplaying corporate ownership could undermine the 'Indian underdog' narrative that consumers love.</w:t>
      </w:r>
    </w:p>
    <w:p>
      <w:pPr>
        <w:pStyle w:val="Heading3"/>
        <w:jc w:val="left"/>
      </w:pPr>
      <w:r>
        <w:rPr>
          <w:rFonts w:ascii="Lato" w:hAnsi="Lato"/>
          <w:b/>
          <w:color w:val="1E3A5F"/>
          <w:sz w:val="26"/>
        </w:rPr>
        <w:t>Recommendation</w:t>
      </w:r>
    </w:p>
    <w:p>
      <w:pPr>
        <w:spacing w:after="120" w:before="0"/>
      </w:pPr>
      <w:r>
        <w:rPr>
          <w:rFonts w:ascii="Lato" w:hAnsi="Lato"/>
          <w:b w:val="0"/>
          <w:i w:val="0"/>
          <w:sz w:val="22"/>
        </w:rPr>
        <w:t>Let consumers own and tell this story - do not corporatise it. If using the heritage narrative in marketing, centre Ramesh Chauhan and the Parle founding rather than the Coca-Cola acquisition. The story works because it is about Indian resilience, not about Coca-Cola's portfolio strategy. Use it sparingly and authentically.</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whether the acquisition narrative affects brand perception differently across age cohorts. Test whether heritage-led advertising moves preference among younger consumers who may not know the story.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"It's not rip off, it's in the market for last 50 years, unethically acquired by Coca Cola. They even altered the taste so that brand vanishes but Indians are very loyal even after 3 decades of takeover."</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was the "Coca-Cola" of India between 1977 and 1993, it was and still is a Coke product. Now there's both Thums Up and Coca-Cola in India. Each has a unique cola flavor. I've had Thums Up, it's good!"</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C2626"/>
          <w:sz w:val="40"/>
        </w:rPr>
        <w:t>0/100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C2626"/>
                <w:sz w:val="22"/>
              </w:rPr>
              <w:t>0.0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DC2626"/>
                <w:sz w:val="22"/>
              </w:rPr>
              <w:t>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C2626"/>
                <w:sz w:val="22"/>
              </w:rPr>
              <w:t>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DC2626"/>
                <w:sz w:val="22"/>
              </w:rPr>
              <w:t>0.0</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0.0</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(0/100)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Academic, News,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277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121</w:t>
            </w:r>
          </w:p>
        </w:tc>
      </w:tr>
      <w:tr>
        <w:tc>
          <w:tcPr>
            <w:tcW w:type="dxa" w:w="2351"/>
          </w:tcPr>
          <w:p>
            <w:r>
              <w:t>OpenAlex</w:t>
            </w:r>
          </w:p>
        </w:tc>
        <w:tc>
          <w:tcPr>
            <w:tcW w:type="dxa" w:w="2351"/>
          </w:tcPr>
          <w:p>
            <w:r>
              <w:t>Academic papers</w:t>
            </w:r>
          </w:p>
        </w:tc>
        <w:tc>
          <w:tcPr>
            <w:tcW w:type="dxa" w:w="2351"/>
          </w:tcPr>
          <w:p>
            <w:r>
              <w:t>Public API</w:t>
            </w:r>
          </w:p>
        </w:tc>
        <w:tc>
          <w:tcPr>
            <w:tcW w:type="dxa" w:w="2351"/>
          </w:tcPr>
          <w:p>
            <w:r>
              <w:t>38</w:t>
            </w:r>
          </w:p>
        </w:tc>
      </w:tr>
      <w:tr>
        <w:tc>
          <w:tcPr>
            <w:tcW w:type="dxa" w:w="2351"/>
          </w:tcPr>
          <w:p>
            <w:r>
              <w:t>NewsData.io</w:t>
            </w:r>
          </w:p>
        </w:tc>
        <w:tc>
          <w:tcPr>
            <w:tcW w:type="dxa" w:w="2351"/>
          </w:tcPr>
          <w:p>
            <w:r>
              <w:t>News articles</w:t>
            </w:r>
          </w:p>
        </w:tc>
        <w:tc>
          <w:tcPr>
            <w:tcW w:type="dxa" w:w="2351"/>
          </w:tcPr>
          <w:p>
            <w:r>
              <w:t>REST API</w:t>
            </w:r>
          </w:p>
        </w:tc>
        <w:tc>
          <w:tcPr>
            <w:tcW w:type="dxa" w:w="2351"/>
          </w:tcPr>
          <w:p>
            <w:r>
              <w:t>36</w:t>
            </w:r>
          </w:p>
        </w:tc>
      </w:tr>
    </w:tbl>
    <w:p>
      <w:pPr>
        <w:spacing w:after="120" w:before="0"/>
      </w:pPr>
      <w:r>
        <w:rPr>
          <w:rFonts w:ascii="Lato" w:hAnsi="Lato"/>
          <w:b w:val="0"/>
          <w:i w:val="0"/>
          <w:sz w:val="22"/>
        </w:rPr>
        <w:t>Corpus composition: 59 posts and 339 comments and 74 other items.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Jan 1952 - Mar 2026 (892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Reddit skews male, urban, and 18-34; news sources carry no demographic signal; YouTube is more balanced across gender but skews younger audiences; creator content dominates over consumer discussion; academic sources carry no demographic signal.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