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India Hair Colour</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8,969</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Jun 2016 -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16</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+22.3%</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68/100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5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75,964 raw data points collected across all sources, 18,153 remained after deduplication and quality filtering, and 8,969 passed LLM relevance classification (11.8% of total collected). These 8,969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75,964</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18,153</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8,969</w:t>
            </w:r>
          </w:p>
        </w:tc>
        <w:tc>
          <w:tcPr>
            <w:tcW w:type="dxa" w:w="3135"/>
          </w:tcPr>
          <w:p>
            <w:pPr>
              <w:spacing w:before="60" w:after="60"/>
            </w:pPr>
            <w:r/>
            <w:r>
              <w:rPr>
                <w:rFonts w:ascii="Lato" w:hAnsi="Lato"/>
                <w:b w:val="0"/>
                <w:i w:val="0"/>
                <w:color w:val="374151"/>
                <w:sz w:val="20"/>
              </w:rPr>
              <w:t>LLM relevance filter — 11.8%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Twitter</w:t>
            </w:r>
          </w:p>
        </w:tc>
        <w:tc>
          <w:tcPr>
            <w:tcW w:type="dxa" w:w="3135"/>
          </w:tcPr>
          <w:p>
            <w:pPr>
              <w:spacing w:before="60" w:after="60"/>
            </w:pPr>
            <w:r/>
            <w:r>
              <w:rPr>
                <w:rFonts w:ascii="Lato" w:hAnsi="Lato"/>
                <w:b w:val="0"/>
                <w:i w:val="0"/>
                <w:color w:val="374151"/>
                <w:sz w:val="20"/>
              </w:rPr>
              <w:t>3572</w:t>
            </w:r>
          </w:p>
        </w:tc>
        <w:tc>
          <w:tcPr>
            <w:tcW w:type="dxa" w:w="3135"/>
          </w:tcPr>
          <w:p>
            <w:pPr>
              <w:spacing w:before="60" w:after="60"/>
            </w:pPr>
            <w:r/>
            <w:r>
              <w:rPr>
                <w:rFonts w:ascii="Lato" w:hAnsi="Lato"/>
                <w:b w:val="0"/>
                <w:i w:val="0"/>
                <w:color w:val="374151"/>
                <w:sz w:val="20"/>
              </w:rPr>
              <w:t>39.8%</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2359</w:t>
            </w:r>
          </w:p>
        </w:tc>
        <w:tc>
          <w:tcPr>
            <w:tcW w:type="dxa" w:w="3135"/>
          </w:tcPr>
          <w:p>
            <w:pPr>
              <w:spacing w:before="60" w:after="60"/>
            </w:pPr>
            <w:r/>
            <w:r>
              <w:rPr>
                <w:rFonts w:ascii="Lato" w:hAnsi="Lato"/>
                <w:b w:val="0"/>
                <w:i w:val="0"/>
                <w:color w:val="374151"/>
                <w:sz w:val="20"/>
              </w:rPr>
              <w:t>26.3%</w:t>
            </w:r>
          </w:p>
        </w:tc>
      </w:tr>
      <w:tr>
        <w:tc>
          <w:tcPr>
            <w:tcW w:type="dxa" w:w="3135"/>
          </w:tcPr>
          <w:p>
            <w:pPr>
              <w:spacing w:before="60" w:after="60"/>
            </w:pPr>
            <w:r/>
            <w:r>
              <w:rPr>
                <w:rFonts w:ascii="Lato" w:hAnsi="Lato"/>
                <w:b w:val="0"/>
                <w:i w:val="0"/>
                <w:color w:val="374151"/>
                <w:sz w:val="20"/>
              </w:rPr>
              <w:t>Amazon</w:t>
            </w:r>
          </w:p>
        </w:tc>
        <w:tc>
          <w:tcPr>
            <w:tcW w:type="dxa" w:w="3135"/>
          </w:tcPr>
          <w:p>
            <w:pPr>
              <w:spacing w:before="60" w:after="60"/>
            </w:pPr>
            <w:r/>
            <w:r>
              <w:rPr>
                <w:rFonts w:ascii="Lato" w:hAnsi="Lato"/>
                <w:b w:val="0"/>
                <w:i w:val="0"/>
                <w:color w:val="374151"/>
                <w:sz w:val="20"/>
              </w:rPr>
              <w:t>2025</w:t>
            </w:r>
          </w:p>
        </w:tc>
        <w:tc>
          <w:tcPr>
            <w:tcW w:type="dxa" w:w="3135"/>
          </w:tcPr>
          <w:p>
            <w:pPr>
              <w:spacing w:before="60" w:after="60"/>
            </w:pPr>
            <w:r/>
            <w:r>
              <w:rPr>
                <w:rFonts w:ascii="Lato" w:hAnsi="Lato"/>
                <w:b w:val="0"/>
                <w:i w:val="0"/>
                <w:color w:val="374151"/>
                <w:sz w:val="20"/>
              </w:rPr>
              <w:t>22.6%</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775</w:t>
            </w:r>
          </w:p>
        </w:tc>
        <w:tc>
          <w:tcPr>
            <w:tcW w:type="dxa" w:w="3135"/>
          </w:tcPr>
          <w:p>
            <w:pPr>
              <w:spacing w:before="60" w:after="60"/>
            </w:pPr>
            <w:r/>
            <w:r>
              <w:rPr>
                <w:rFonts w:ascii="Lato" w:hAnsi="Lato"/>
                <w:b w:val="0"/>
                <w:i w:val="0"/>
                <w:color w:val="374151"/>
                <w:sz w:val="20"/>
              </w:rPr>
              <w:t>8.6%</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238</w:t>
            </w:r>
          </w:p>
        </w:tc>
        <w:tc>
          <w:tcPr>
            <w:tcW w:type="dxa" w:w="3135"/>
          </w:tcPr>
          <w:p>
            <w:pPr>
              <w:spacing w:before="60" w:after="60"/>
            </w:pPr>
            <w:r/>
            <w:r>
              <w:rPr>
                <w:rFonts w:ascii="Lato" w:hAnsi="Lato"/>
                <w:b w:val="0"/>
                <w:i w:val="0"/>
                <w:color w:val="374151"/>
                <w:sz w:val="20"/>
              </w:rPr>
              <w:t>2.7%</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ingested from externally collected sources. The original collection methodology, sampling strategy, and any platform-specific filtering applied prior to ingestion are not documented in this pipeline and should be considered unknown.</w:t>
      </w:r>
    </w:p>
    <w:p>
      <w:pPr>
        <w:spacing w:after="120" w:before="0"/>
      </w:pPr>
      <w:r>
        <w:rPr>
          <w:rFonts w:ascii="Lato" w:hAnsi="Lato"/>
          <w:b w:val="0"/>
          <w:i w:val="0"/>
          <w:sz w:val="22"/>
        </w:rPr>
        <w:t>Thread-level deduplication caps comments per thread (max 5, randomly selected) to prevent over-indexing vocal threads. Engagement metrics are preserved as metadata for signal strength scoring but do not gate corpus admission.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+22.3%  |  Positive: 3070 (34.2%)  |  Negative: 1066 (11.9%)  |  Neutral: 4556 (50.8%)</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8,969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6690</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762</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483</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392</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194</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161</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139</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95</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53</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Ease Of Use</w:t>
            </w:r>
          </w:p>
        </w:tc>
        <w:tc>
          <w:tcPr>
            <w:tcW w:type="dxa" w:w="1881"/>
          </w:tcPr>
          <w:p>
            <w:pPr>
              <w:spacing w:before="60" w:after="60"/>
            </w:pPr>
            <w:r/>
            <w:r>
              <w:rPr>
                <w:rFonts w:ascii="Lato" w:hAnsi="Lato"/>
                <w:b w:val="0"/>
                <w:i w:val="0"/>
                <w:color w:val="374151"/>
                <w:sz w:val="20"/>
              </w:rPr>
              <w:t>4252</w:t>
            </w:r>
          </w:p>
        </w:tc>
        <w:tc>
          <w:tcPr>
            <w:tcW w:type="dxa" w:w="1881"/>
          </w:tcPr>
          <w:p>
            <w:pPr>
              <w:spacing w:before="60" w:after="60"/>
            </w:pPr>
            <w:r/>
            <w:r>
              <w:rPr>
                <w:rFonts w:ascii="Lato" w:hAnsi="Lato"/>
                <w:b w:val="0"/>
                <w:i w:val="0"/>
                <w:color w:val="374151"/>
                <w:sz w:val="20"/>
              </w:rPr>
              <w:t>979</w:t>
            </w:r>
          </w:p>
        </w:tc>
        <w:tc>
          <w:tcPr>
            <w:tcW w:type="dxa" w:w="1881"/>
          </w:tcPr>
          <w:p>
            <w:pPr>
              <w:spacing w:before="60" w:after="60"/>
            </w:pPr>
            <w:r/>
            <w:r>
              <w:rPr>
                <w:rFonts w:ascii="Lato" w:hAnsi="Lato"/>
                <w:b w:val="0"/>
                <w:i w:val="0"/>
                <w:color w:val="374151"/>
                <w:sz w:val="20"/>
              </w:rPr>
              <w:t>146</w:t>
            </w:r>
          </w:p>
        </w:tc>
        <w:tc>
          <w:tcPr>
            <w:tcW w:type="dxa" w:w="1881"/>
          </w:tcPr>
          <w:p>
            <w:pPr>
              <w:spacing w:before="60" w:after="60"/>
            </w:pPr>
            <w:r/>
            <w:r>
              <w:rPr>
                <w:rFonts w:ascii="Lato" w:hAnsi="Lato"/>
                <w:b w:val="0"/>
                <w:i w:val="0"/>
                <w:color w:val="374151"/>
                <w:sz w:val="20"/>
              </w:rPr>
              <w:t>+20%</w:t>
            </w:r>
          </w:p>
        </w:tc>
      </w:tr>
      <w:tr>
        <w:tc>
          <w:tcPr>
            <w:tcW w:type="dxa" w:w="1881"/>
          </w:tcPr>
          <w:p>
            <w:pPr>
              <w:spacing w:before="60" w:after="60"/>
            </w:pPr>
            <w:r/>
            <w:r>
              <w:rPr>
                <w:rFonts w:ascii="Lato" w:hAnsi="Lato"/>
                <w:b w:val="0"/>
                <w:i w:val="0"/>
                <w:color w:val="374151"/>
                <w:sz w:val="20"/>
              </w:rPr>
              <w:t>Colour Quality</w:t>
            </w:r>
          </w:p>
        </w:tc>
        <w:tc>
          <w:tcPr>
            <w:tcW w:type="dxa" w:w="1881"/>
          </w:tcPr>
          <w:p>
            <w:pPr>
              <w:spacing w:before="60" w:after="60"/>
            </w:pPr>
            <w:r/>
            <w:r>
              <w:rPr>
                <w:rFonts w:ascii="Lato" w:hAnsi="Lato"/>
                <w:b w:val="0"/>
                <w:i w:val="0"/>
                <w:color w:val="374151"/>
                <w:sz w:val="20"/>
              </w:rPr>
              <w:t>4054</w:t>
            </w:r>
          </w:p>
        </w:tc>
        <w:tc>
          <w:tcPr>
            <w:tcW w:type="dxa" w:w="1881"/>
          </w:tcPr>
          <w:p>
            <w:pPr>
              <w:spacing w:before="60" w:after="60"/>
            </w:pPr>
            <w:r/>
            <w:r>
              <w:rPr>
                <w:rFonts w:ascii="Lato" w:hAnsi="Lato"/>
                <w:b w:val="0"/>
                <w:i w:val="0"/>
                <w:color w:val="374151"/>
                <w:sz w:val="20"/>
              </w:rPr>
              <w:t>1061</w:t>
            </w:r>
          </w:p>
        </w:tc>
        <w:tc>
          <w:tcPr>
            <w:tcW w:type="dxa" w:w="1881"/>
          </w:tcPr>
          <w:p>
            <w:pPr>
              <w:spacing w:before="60" w:after="60"/>
            </w:pPr>
            <w:r/>
            <w:r>
              <w:rPr>
                <w:rFonts w:ascii="Lato" w:hAnsi="Lato"/>
                <w:b w:val="0"/>
                <w:i w:val="0"/>
                <w:color w:val="374151"/>
                <w:sz w:val="20"/>
              </w:rPr>
              <w:t>207</w:t>
            </w:r>
          </w:p>
        </w:tc>
        <w:tc>
          <w:tcPr>
            <w:tcW w:type="dxa" w:w="1881"/>
          </w:tcPr>
          <w:p>
            <w:pPr>
              <w:spacing w:before="60" w:after="60"/>
            </w:pPr>
            <w:r/>
            <w:r>
              <w:rPr>
                <w:rFonts w:ascii="Lato" w:hAnsi="Lato"/>
                <w:b w:val="0"/>
                <w:i w:val="0"/>
                <w:color w:val="374151"/>
                <w:sz w:val="20"/>
              </w:rPr>
              <w:t>+21%</w:t>
            </w:r>
          </w:p>
        </w:tc>
      </w:tr>
      <w:tr>
        <w:tc>
          <w:tcPr>
            <w:tcW w:type="dxa" w:w="1881"/>
          </w:tcPr>
          <w:p>
            <w:pPr>
              <w:spacing w:before="60" w:after="60"/>
            </w:pPr>
            <w:r/>
            <w:r>
              <w:rPr>
                <w:rFonts w:ascii="Lato" w:hAnsi="Lato"/>
                <w:b w:val="0"/>
                <w:i w:val="0"/>
                <w:color w:val="374151"/>
                <w:sz w:val="20"/>
              </w:rPr>
              <w:t>Longevity</w:t>
            </w:r>
          </w:p>
        </w:tc>
        <w:tc>
          <w:tcPr>
            <w:tcW w:type="dxa" w:w="1881"/>
          </w:tcPr>
          <w:p>
            <w:pPr>
              <w:spacing w:before="60" w:after="60"/>
            </w:pPr>
            <w:r/>
            <w:r>
              <w:rPr>
                <w:rFonts w:ascii="Lato" w:hAnsi="Lato"/>
                <w:b w:val="0"/>
                <w:i w:val="0"/>
                <w:color w:val="374151"/>
                <w:sz w:val="20"/>
              </w:rPr>
              <w:t>3520</w:t>
            </w:r>
          </w:p>
        </w:tc>
        <w:tc>
          <w:tcPr>
            <w:tcW w:type="dxa" w:w="1881"/>
          </w:tcPr>
          <w:p>
            <w:pPr>
              <w:spacing w:before="60" w:after="60"/>
            </w:pPr>
            <w:r/>
            <w:r>
              <w:rPr>
                <w:rFonts w:ascii="Lato" w:hAnsi="Lato"/>
                <w:b w:val="0"/>
                <w:i w:val="0"/>
                <w:color w:val="374151"/>
                <w:sz w:val="20"/>
              </w:rPr>
              <w:t>767</w:t>
            </w:r>
          </w:p>
        </w:tc>
        <w:tc>
          <w:tcPr>
            <w:tcW w:type="dxa" w:w="1881"/>
          </w:tcPr>
          <w:p>
            <w:pPr>
              <w:spacing w:before="60" w:after="60"/>
            </w:pPr>
            <w:r/>
            <w:r>
              <w:rPr>
                <w:rFonts w:ascii="Lato" w:hAnsi="Lato"/>
                <w:b w:val="0"/>
                <w:i w:val="0"/>
                <w:color w:val="374151"/>
                <w:sz w:val="20"/>
              </w:rPr>
              <w:t>264</w:t>
            </w:r>
          </w:p>
        </w:tc>
        <w:tc>
          <w:tcPr>
            <w:tcW w:type="dxa" w:w="1881"/>
          </w:tcPr>
          <w:p>
            <w:pPr>
              <w:spacing w:before="60" w:after="60"/>
            </w:pPr>
            <w:r/>
            <w:r>
              <w:rPr>
                <w:rFonts w:ascii="Lato" w:hAnsi="Lato"/>
                <w:b w:val="0"/>
                <w:i w:val="0"/>
                <w:color w:val="374151"/>
                <w:sz w:val="20"/>
              </w:rPr>
              <w:t>+14%</w:t>
            </w:r>
          </w:p>
        </w:tc>
      </w:tr>
      <w:tr>
        <w:tc>
          <w:tcPr>
            <w:tcW w:type="dxa" w:w="1881"/>
          </w:tcPr>
          <w:p>
            <w:pPr>
              <w:spacing w:before="60" w:after="60"/>
            </w:pPr>
            <w:r/>
            <w:r>
              <w:rPr>
                <w:rFonts w:ascii="Lato" w:hAnsi="Lato"/>
                <w:b w:val="0"/>
                <w:i w:val="0"/>
                <w:color w:val="374151"/>
                <w:sz w:val="20"/>
              </w:rPr>
              <w:t>Safety</w:t>
            </w:r>
          </w:p>
        </w:tc>
        <w:tc>
          <w:tcPr>
            <w:tcW w:type="dxa" w:w="1881"/>
          </w:tcPr>
          <w:p>
            <w:pPr>
              <w:spacing w:before="60" w:after="60"/>
            </w:pPr>
            <w:r/>
            <w:r>
              <w:rPr>
                <w:rFonts w:ascii="Lato" w:hAnsi="Lato"/>
                <w:b w:val="0"/>
                <w:i w:val="0"/>
                <w:color w:val="374151"/>
                <w:sz w:val="20"/>
              </w:rPr>
              <w:t>2836</w:t>
            </w:r>
          </w:p>
        </w:tc>
        <w:tc>
          <w:tcPr>
            <w:tcW w:type="dxa" w:w="1881"/>
          </w:tcPr>
          <w:p>
            <w:pPr>
              <w:spacing w:before="60" w:after="60"/>
            </w:pPr>
            <w:r/>
            <w:r>
              <w:rPr>
                <w:rFonts w:ascii="Lato" w:hAnsi="Lato"/>
                <w:b w:val="0"/>
                <w:i w:val="0"/>
                <w:color w:val="374151"/>
                <w:sz w:val="20"/>
              </w:rPr>
              <w:t>766</w:t>
            </w:r>
          </w:p>
        </w:tc>
        <w:tc>
          <w:tcPr>
            <w:tcW w:type="dxa" w:w="1881"/>
          </w:tcPr>
          <w:p>
            <w:pPr>
              <w:spacing w:before="60" w:after="60"/>
            </w:pPr>
            <w:r/>
            <w:r>
              <w:rPr>
                <w:rFonts w:ascii="Lato" w:hAnsi="Lato"/>
                <w:b w:val="0"/>
                <w:i w:val="0"/>
                <w:color w:val="374151"/>
                <w:sz w:val="20"/>
              </w:rPr>
              <w:t>208</w:t>
            </w:r>
          </w:p>
        </w:tc>
        <w:tc>
          <w:tcPr>
            <w:tcW w:type="dxa" w:w="1881"/>
          </w:tcPr>
          <w:p>
            <w:pPr>
              <w:spacing w:before="60" w:after="60"/>
            </w:pPr>
            <w:r/>
            <w:r>
              <w:rPr>
                <w:rFonts w:ascii="Lato" w:hAnsi="Lato"/>
                <w:b w:val="0"/>
                <w:i w:val="0"/>
                <w:color w:val="374151"/>
                <w:sz w:val="20"/>
              </w:rPr>
              <w:t>+20%</w:t>
            </w:r>
          </w:p>
        </w:tc>
      </w:tr>
      <w:tr>
        <w:tc>
          <w:tcPr>
            <w:tcW w:type="dxa" w:w="1881"/>
          </w:tcPr>
          <w:p>
            <w:pPr>
              <w:spacing w:before="60" w:after="60"/>
            </w:pPr>
            <w:r/>
            <w:r>
              <w:rPr>
                <w:rFonts w:ascii="Lato" w:hAnsi="Lato"/>
                <w:b w:val="0"/>
                <w:i w:val="0"/>
                <w:color w:val="374151"/>
                <w:sz w:val="20"/>
              </w:rPr>
              <w:t>Damage</w:t>
            </w:r>
          </w:p>
        </w:tc>
        <w:tc>
          <w:tcPr>
            <w:tcW w:type="dxa" w:w="1881"/>
          </w:tcPr>
          <w:p>
            <w:pPr>
              <w:spacing w:before="60" w:after="60"/>
            </w:pPr>
            <w:r/>
            <w:r>
              <w:rPr>
                <w:rFonts w:ascii="Lato" w:hAnsi="Lato"/>
                <w:b w:val="0"/>
                <w:i w:val="0"/>
                <w:color w:val="374151"/>
                <w:sz w:val="20"/>
              </w:rPr>
              <w:t>1854</w:t>
            </w:r>
          </w:p>
        </w:tc>
        <w:tc>
          <w:tcPr>
            <w:tcW w:type="dxa" w:w="1881"/>
          </w:tcPr>
          <w:p>
            <w:pPr>
              <w:spacing w:before="60" w:after="60"/>
            </w:pPr>
            <w:r/>
            <w:r>
              <w:rPr>
                <w:rFonts w:ascii="Lato" w:hAnsi="Lato"/>
                <w:b w:val="0"/>
                <w:i w:val="0"/>
                <w:color w:val="374151"/>
                <w:sz w:val="20"/>
              </w:rPr>
              <w:t>392</w:t>
            </w:r>
          </w:p>
        </w:tc>
        <w:tc>
          <w:tcPr>
            <w:tcW w:type="dxa" w:w="1881"/>
          </w:tcPr>
          <w:p>
            <w:pPr>
              <w:spacing w:before="60" w:after="60"/>
            </w:pPr>
            <w:r/>
            <w:r>
              <w:rPr>
                <w:rFonts w:ascii="Lato" w:hAnsi="Lato"/>
                <w:b w:val="0"/>
                <w:i w:val="0"/>
                <w:color w:val="374151"/>
                <w:sz w:val="20"/>
              </w:rPr>
              <w:t>314</w:t>
            </w:r>
          </w:p>
        </w:tc>
        <w:tc>
          <w:tcPr>
            <w:tcW w:type="dxa" w:w="1881"/>
          </w:tcPr>
          <w:p>
            <w:pPr>
              <w:spacing w:before="60" w:after="60"/>
            </w:pPr>
            <w:r/>
            <w:r>
              <w:rPr>
                <w:rFonts w:ascii="Lato" w:hAnsi="Lato"/>
                <w:b w:val="0"/>
                <w:i w:val="0"/>
                <w:color w:val="374151"/>
                <w:sz w:val="20"/>
              </w:rPr>
              <w:t>+4%</w:t>
            </w:r>
          </w:p>
        </w:tc>
      </w:tr>
      <w:tr>
        <w:tc>
          <w:tcPr>
            <w:tcW w:type="dxa" w:w="1881"/>
          </w:tcPr>
          <w:p>
            <w:pPr>
              <w:spacing w:before="60" w:after="60"/>
            </w:pPr>
            <w:r/>
            <w:r>
              <w:rPr>
                <w:rFonts w:ascii="Lato" w:hAnsi="Lato"/>
                <w:b w:val="0"/>
                <w:i w:val="0"/>
                <w:color w:val="374151"/>
                <w:sz w:val="20"/>
              </w:rPr>
              <w:t>Value</w:t>
            </w:r>
          </w:p>
        </w:tc>
        <w:tc>
          <w:tcPr>
            <w:tcW w:type="dxa" w:w="1881"/>
          </w:tcPr>
          <w:p>
            <w:pPr>
              <w:spacing w:before="60" w:after="60"/>
            </w:pPr>
            <w:r/>
            <w:r>
              <w:rPr>
                <w:rFonts w:ascii="Lato" w:hAnsi="Lato"/>
                <w:b w:val="0"/>
                <w:i w:val="0"/>
                <w:color w:val="374151"/>
                <w:sz w:val="20"/>
              </w:rPr>
              <w:t>1676</w:t>
            </w:r>
          </w:p>
        </w:tc>
        <w:tc>
          <w:tcPr>
            <w:tcW w:type="dxa" w:w="1881"/>
          </w:tcPr>
          <w:p>
            <w:pPr>
              <w:spacing w:before="60" w:after="60"/>
            </w:pPr>
            <w:r/>
            <w:r>
              <w:rPr>
                <w:rFonts w:ascii="Lato" w:hAnsi="Lato"/>
                <w:b w:val="0"/>
                <w:i w:val="0"/>
                <w:color w:val="374151"/>
                <w:sz w:val="20"/>
              </w:rPr>
              <w:t>470</w:t>
            </w:r>
          </w:p>
        </w:tc>
        <w:tc>
          <w:tcPr>
            <w:tcW w:type="dxa" w:w="1881"/>
          </w:tcPr>
          <w:p>
            <w:pPr>
              <w:spacing w:before="60" w:after="60"/>
            </w:pPr>
            <w:r/>
            <w:r>
              <w:rPr>
                <w:rFonts w:ascii="Lato" w:hAnsi="Lato"/>
                <w:b w:val="0"/>
                <w:i w:val="0"/>
                <w:color w:val="374151"/>
                <w:sz w:val="20"/>
              </w:rPr>
              <w:t>207</w:t>
            </w:r>
          </w:p>
        </w:tc>
        <w:tc>
          <w:tcPr>
            <w:tcW w:type="dxa" w:w="1881"/>
          </w:tcPr>
          <w:p>
            <w:pPr>
              <w:spacing w:before="60" w:after="60"/>
            </w:pPr>
            <w:r/>
            <w:r>
              <w:rPr>
                <w:rFonts w:ascii="Lato" w:hAnsi="Lato"/>
                <w:b w:val="0"/>
                <w:i w:val="0"/>
                <w:color w:val="374151"/>
                <w:sz w:val="20"/>
              </w:rPr>
              <w:t>+16%</w:t>
            </w:r>
          </w:p>
        </w:tc>
      </w:tr>
      <w:tr>
        <w:tc>
          <w:tcPr>
            <w:tcW w:type="dxa" w:w="1881"/>
          </w:tcPr>
          <w:p>
            <w:pPr>
              <w:spacing w:before="60" w:after="60"/>
            </w:pPr>
            <w:r/>
            <w:r>
              <w:rPr>
                <w:rFonts w:ascii="Lato" w:hAnsi="Lato"/>
                <w:b w:val="0"/>
                <w:i w:val="0"/>
                <w:color w:val="374151"/>
                <w:sz w:val="20"/>
              </w:rPr>
              <w:t>Brand Trust</w:t>
            </w:r>
          </w:p>
        </w:tc>
        <w:tc>
          <w:tcPr>
            <w:tcW w:type="dxa" w:w="1881"/>
          </w:tcPr>
          <w:p>
            <w:pPr>
              <w:spacing w:before="60" w:after="60"/>
            </w:pPr>
            <w:r/>
            <w:r>
              <w:rPr>
                <w:rFonts w:ascii="Lato" w:hAnsi="Lato"/>
                <w:b w:val="0"/>
                <w:i w:val="0"/>
                <w:color w:val="374151"/>
                <w:sz w:val="20"/>
              </w:rPr>
              <w:t>1232</w:t>
            </w:r>
          </w:p>
        </w:tc>
        <w:tc>
          <w:tcPr>
            <w:tcW w:type="dxa" w:w="1881"/>
          </w:tcPr>
          <w:p>
            <w:pPr>
              <w:spacing w:before="60" w:after="60"/>
            </w:pPr>
            <w:r/>
            <w:r>
              <w:rPr>
                <w:rFonts w:ascii="Lato" w:hAnsi="Lato"/>
                <w:b w:val="0"/>
                <w:i w:val="0"/>
                <w:color w:val="374151"/>
                <w:sz w:val="20"/>
              </w:rPr>
              <w:t>355</w:t>
            </w:r>
          </w:p>
        </w:tc>
        <w:tc>
          <w:tcPr>
            <w:tcW w:type="dxa" w:w="1881"/>
          </w:tcPr>
          <w:p>
            <w:pPr>
              <w:spacing w:before="60" w:after="60"/>
            </w:pPr>
            <w:r/>
            <w:r>
              <w:rPr>
                <w:rFonts w:ascii="Lato" w:hAnsi="Lato"/>
                <w:b w:val="0"/>
                <w:i w:val="0"/>
                <w:color w:val="374151"/>
                <w:sz w:val="20"/>
              </w:rPr>
              <w:t>148</w:t>
            </w:r>
          </w:p>
        </w:tc>
        <w:tc>
          <w:tcPr>
            <w:tcW w:type="dxa" w:w="1881"/>
          </w:tcPr>
          <w:p>
            <w:pPr>
              <w:spacing w:before="60" w:after="60"/>
            </w:pPr>
            <w:r/>
            <w:r>
              <w:rPr>
                <w:rFonts w:ascii="Lato" w:hAnsi="Lato"/>
                <w:b w:val="0"/>
                <w:i w:val="0"/>
                <w:color w:val="374151"/>
                <w:sz w:val="20"/>
              </w:rPr>
              <w:t>+17%</w:t>
            </w:r>
          </w:p>
        </w:tc>
      </w:tr>
      <w:tr>
        <w:tc>
          <w:tcPr>
            <w:tcW w:type="dxa" w:w="1881"/>
          </w:tcPr>
          <w:p>
            <w:pPr>
              <w:spacing w:before="60" w:after="60"/>
            </w:pPr>
            <w:r/>
            <w:r>
              <w:rPr>
                <w:rFonts w:ascii="Lato" w:hAnsi="Lato"/>
                <w:b w:val="0"/>
                <w:i w:val="0"/>
                <w:color w:val="374151"/>
                <w:sz w:val="20"/>
              </w:rPr>
              <w:t>Texture</w:t>
            </w:r>
          </w:p>
        </w:tc>
        <w:tc>
          <w:tcPr>
            <w:tcW w:type="dxa" w:w="1881"/>
          </w:tcPr>
          <w:p>
            <w:pPr>
              <w:spacing w:before="60" w:after="60"/>
            </w:pPr>
            <w:r/>
            <w:r>
              <w:rPr>
                <w:rFonts w:ascii="Lato" w:hAnsi="Lato"/>
                <w:b w:val="0"/>
                <w:i w:val="0"/>
                <w:color w:val="374151"/>
                <w:sz w:val="20"/>
              </w:rPr>
              <w:t>710</w:t>
            </w:r>
          </w:p>
        </w:tc>
        <w:tc>
          <w:tcPr>
            <w:tcW w:type="dxa" w:w="1881"/>
          </w:tcPr>
          <w:p>
            <w:pPr>
              <w:spacing w:before="60" w:after="60"/>
            </w:pPr>
            <w:r/>
            <w:r>
              <w:rPr>
                <w:rFonts w:ascii="Lato" w:hAnsi="Lato"/>
                <w:b w:val="0"/>
                <w:i w:val="0"/>
                <w:color w:val="374151"/>
                <w:sz w:val="20"/>
              </w:rPr>
              <w:t>298</w:t>
            </w:r>
          </w:p>
        </w:tc>
        <w:tc>
          <w:tcPr>
            <w:tcW w:type="dxa" w:w="1881"/>
          </w:tcPr>
          <w:p>
            <w:pPr>
              <w:spacing w:before="60" w:after="60"/>
            </w:pPr>
            <w:r/>
            <w:r>
              <w:rPr>
                <w:rFonts w:ascii="Lato" w:hAnsi="Lato"/>
                <w:b w:val="0"/>
                <w:i w:val="0"/>
                <w:color w:val="374151"/>
                <w:sz w:val="20"/>
              </w:rPr>
              <w:t>22</w:t>
            </w:r>
          </w:p>
        </w:tc>
        <w:tc>
          <w:tcPr>
            <w:tcW w:type="dxa" w:w="1881"/>
          </w:tcPr>
          <w:p>
            <w:pPr>
              <w:spacing w:before="60" w:after="60"/>
            </w:pPr>
            <w:r/>
            <w:r>
              <w:rPr>
                <w:rFonts w:ascii="Lato" w:hAnsi="Lato"/>
                <w:b w:val="0"/>
                <w:i w:val="0"/>
                <w:color w:val="374151"/>
                <w:sz w:val="20"/>
              </w:rPr>
              <w:t>+39%</w:t>
            </w:r>
          </w:p>
        </w:tc>
      </w:tr>
      <w:tr>
        <w:tc>
          <w:tcPr>
            <w:tcW w:type="dxa" w:w="1881"/>
          </w:tcPr>
          <w:p>
            <w:pPr>
              <w:spacing w:before="60" w:after="60"/>
            </w:pPr>
            <w:r/>
            <w:r>
              <w:rPr>
                <w:rFonts w:ascii="Lato" w:hAnsi="Lato"/>
                <w:b w:val="0"/>
                <w:i w:val="0"/>
                <w:color w:val="374151"/>
                <w:sz w:val="20"/>
              </w:rPr>
              <w:t>Coverage</w:t>
            </w:r>
          </w:p>
        </w:tc>
        <w:tc>
          <w:tcPr>
            <w:tcW w:type="dxa" w:w="1881"/>
          </w:tcPr>
          <w:p>
            <w:pPr>
              <w:spacing w:before="60" w:after="60"/>
            </w:pPr>
            <w:r/>
            <w:r>
              <w:rPr>
                <w:rFonts w:ascii="Lato" w:hAnsi="Lato"/>
                <w:b w:val="0"/>
                <w:i w:val="0"/>
                <w:color w:val="374151"/>
                <w:sz w:val="20"/>
              </w:rPr>
              <w:t>638</w:t>
            </w:r>
          </w:p>
        </w:tc>
        <w:tc>
          <w:tcPr>
            <w:tcW w:type="dxa" w:w="1881"/>
          </w:tcPr>
          <w:p>
            <w:pPr>
              <w:spacing w:before="60" w:after="60"/>
            </w:pPr>
            <w:r/>
            <w:r>
              <w:rPr>
                <w:rFonts w:ascii="Lato" w:hAnsi="Lato"/>
                <w:b w:val="0"/>
                <w:i w:val="0"/>
                <w:color w:val="374151"/>
                <w:sz w:val="20"/>
              </w:rPr>
              <w:t>223</w:t>
            </w:r>
          </w:p>
        </w:tc>
        <w:tc>
          <w:tcPr>
            <w:tcW w:type="dxa" w:w="1881"/>
          </w:tcPr>
          <w:p>
            <w:pPr>
              <w:spacing w:before="60" w:after="60"/>
            </w:pPr>
            <w:r/>
            <w:r>
              <w:rPr>
                <w:rFonts w:ascii="Lato" w:hAnsi="Lato"/>
                <w:b w:val="0"/>
                <w:i w:val="0"/>
                <w:color w:val="374151"/>
                <w:sz w:val="20"/>
              </w:rPr>
              <w:t>34</w:t>
            </w:r>
          </w:p>
        </w:tc>
        <w:tc>
          <w:tcPr>
            <w:tcW w:type="dxa" w:w="1881"/>
          </w:tcPr>
          <w:p>
            <w:pPr>
              <w:spacing w:before="60" w:after="60"/>
            </w:pPr>
            <w:r/>
            <w:r>
              <w:rPr>
                <w:rFonts w:ascii="Lato" w:hAnsi="Lato"/>
                <w:b w:val="0"/>
                <w:i w:val="0"/>
                <w:color w:val="374151"/>
                <w:sz w:val="20"/>
              </w:rPr>
              <w:t>+30%</w:t>
            </w:r>
          </w:p>
        </w:tc>
      </w:tr>
      <w:tr>
        <w:tc>
          <w:tcPr>
            <w:tcW w:type="dxa" w:w="1881"/>
          </w:tcPr>
          <w:p>
            <w:pPr>
              <w:spacing w:before="60" w:after="60"/>
            </w:pPr>
            <w:r/>
            <w:r>
              <w:rPr>
                <w:rFonts w:ascii="Lato" w:hAnsi="Lato"/>
                <w:b w:val="0"/>
                <w:i w:val="0"/>
                <w:color w:val="374151"/>
                <w:sz w:val="20"/>
              </w:rPr>
              <w:t>Smell</w:t>
            </w:r>
          </w:p>
        </w:tc>
        <w:tc>
          <w:tcPr>
            <w:tcW w:type="dxa" w:w="1881"/>
          </w:tcPr>
          <w:p>
            <w:pPr>
              <w:spacing w:before="60" w:after="60"/>
            </w:pPr>
            <w:r/>
            <w:r>
              <w:rPr>
                <w:rFonts w:ascii="Lato" w:hAnsi="Lato"/>
                <w:b w:val="0"/>
                <w:i w:val="0"/>
                <w:color w:val="374151"/>
                <w:sz w:val="20"/>
              </w:rPr>
              <w:t>280</w:t>
            </w:r>
          </w:p>
        </w:tc>
        <w:tc>
          <w:tcPr>
            <w:tcW w:type="dxa" w:w="1881"/>
          </w:tcPr>
          <w:p>
            <w:pPr>
              <w:spacing w:before="60" w:after="60"/>
            </w:pPr>
            <w:r/>
            <w:r>
              <w:rPr>
                <w:rFonts w:ascii="Lato" w:hAnsi="Lato"/>
                <w:b w:val="0"/>
                <w:i w:val="0"/>
                <w:color w:val="374151"/>
                <w:sz w:val="20"/>
              </w:rPr>
              <w:t>99</w:t>
            </w:r>
          </w:p>
        </w:tc>
        <w:tc>
          <w:tcPr>
            <w:tcW w:type="dxa" w:w="1881"/>
          </w:tcPr>
          <w:p>
            <w:pPr>
              <w:spacing w:before="60" w:after="60"/>
            </w:pPr>
            <w:r/>
            <w:r>
              <w:rPr>
                <w:rFonts w:ascii="Lato" w:hAnsi="Lato"/>
                <w:b w:val="0"/>
                <w:i w:val="0"/>
                <w:color w:val="374151"/>
                <w:sz w:val="20"/>
              </w:rPr>
              <w:t>27</w:t>
            </w:r>
          </w:p>
        </w:tc>
        <w:tc>
          <w:tcPr>
            <w:tcW w:type="dxa" w:w="1881"/>
          </w:tcPr>
          <w:p>
            <w:pPr>
              <w:spacing w:before="60" w:after="60"/>
            </w:pPr>
            <w:r/>
            <w:r>
              <w:rPr>
                <w:rFonts w:ascii="Lato" w:hAnsi="Lato"/>
                <w:b w:val="0"/>
                <w:i w:val="0"/>
                <w:color w:val="374151"/>
                <w:sz w:val="20"/>
              </w:rPr>
              <w:t>+26%</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3322940"/>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3322940"/>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16 insights were identified from 8,969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DIY Home Colouring Experience</w:t>
            </w:r>
          </w:p>
        </w:tc>
        <w:tc>
          <w:tcPr>
            <w:tcW w:type="dxa" w:w="1568"/>
          </w:tcPr>
          <w:p>
            <w:pPr>
              <w:spacing w:before="60" w:after="60"/>
            </w:pPr>
            <w:r/>
            <w:r>
              <w:rPr>
                <w:rFonts w:ascii="Lato" w:hAnsi="Lato"/>
                <w:b w:val="0"/>
                <w:i w:val="0"/>
                <w:color w:val="374151"/>
                <w:sz w:val="20"/>
              </w:rPr>
              <w:t>3730</w:t>
            </w:r>
          </w:p>
        </w:tc>
        <w:tc>
          <w:tcPr>
            <w:tcW w:type="dxa" w:w="1568"/>
          </w:tcPr>
          <w:p>
            <w:pPr>
              <w:spacing w:before="60" w:after="60"/>
            </w:pPr>
            <w:r/>
            <w:r>
              <w:rPr>
                <w:rFonts w:ascii="Lato" w:hAnsi="Lato"/>
                <w:b w:val="0"/>
                <w:i w:val="0"/>
                <w:color w:val="374151"/>
                <w:sz w:val="20"/>
              </w:rPr>
              <w:t>41.6%</w:t>
            </w:r>
          </w:p>
        </w:tc>
        <w:tc>
          <w:tcPr>
            <w:tcW w:type="dxa" w:w="1568"/>
          </w:tcPr>
          <w:p>
            <w:pPr>
              <w:spacing w:before="60" w:after="60"/>
            </w:pPr>
            <w:r/>
            <w:r>
              <w:rPr>
                <w:rFonts w:ascii="Lato" w:hAnsi="Lato"/>
                <w:b w:val="0"/>
                <w:i w:val="0"/>
                <w:color w:val="374151"/>
                <w:sz w:val="20"/>
              </w:rPr>
              <w:t>72%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+20%</w:t>
            </w:r>
          </w:p>
        </w:tc>
      </w:tr>
      <w:tr>
        <w:tc>
          <w:tcPr>
            <w:tcW w:type="dxa" w:w="1568"/>
          </w:tcPr>
          <w:p>
            <w:pPr>
              <w:spacing w:before="60" w:after="60"/>
            </w:pPr>
            <w:r/>
            <w:r>
              <w:rPr>
                <w:rFonts w:ascii="Lato" w:hAnsi="Lato"/>
                <w:b w:val="0"/>
                <w:i w:val="0"/>
                <w:color w:val="374151"/>
                <w:sz w:val="20"/>
              </w:rPr>
              <w:t>Shade Selection &amp; Colour Accuracy</w:t>
            </w:r>
          </w:p>
        </w:tc>
        <w:tc>
          <w:tcPr>
            <w:tcW w:type="dxa" w:w="1568"/>
          </w:tcPr>
          <w:p>
            <w:pPr>
              <w:spacing w:before="60" w:after="60"/>
            </w:pPr>
            <w:r/>
            <w:r>
              <w:rPr>
                <w:rFonts w:ascii="Lato" w:hAnsi="Lato"/>
                <w:b w:val="0"/>
                <w:i w:val="0"/>
                <w:color w:val="374151"/>
                <w:sz w:val="20"/>
              </w:rPr>
              <w:t>1599</w:t>
            </w:r>
          </w:p>
        </w:tc>
        <w:tc>
          <w:tcPr>
            <w:tcW w:type="dxa" w:w="1568"/>
          </w:tcPr>
          <w:p>
            <w:pPr>
              <w:spacing w:before="60" w:after="60"/>
            </w:pPr>
            <w:r/>
            <w:r>
              <w:rPr>
                <w:rFonts w:ascii="Lato" w:hAnsi="Lato"/>
                <w:b w:val="0"/>
                <w:i w:val="0"/>
                <w:color w:val="374151"/>
                <w:sz w:val="20"/>
              </w:rPr>
              <w:t>17.8%</w:t>
            </w:r>
          </w:p>
        </w:tc>
        <w:tc>
          <w:tcPr>
            <w:tcW w:type="dxa" w:w="1568"/>
          </w:tcPr>
          <w:p>
            <w:pPr>
              <w:spacing w:before="60" w:after="60"/>
            </w:pPr>
            <w:r/>
            <w:r>
              <w:rPr>
                <w:rFonts w:ascii="Lato" w:hAnsi="Lato"/>
                <w:b w:val="0"/>
                <w:i w:val="0"/>
                <w:color w:val="374151"/>
                <w:sz w:val="20"/>
              </w:rPr>
              <w:t>57% (Moderate)</w:t>
            </w:r>
          </w:p>
        </w:tc>
        <w:tc>
          <w:tcPr>
            <w:tcW w:type="dxa" w:w="1568"/>
          </w:tcPr>
          <w:p>
            <w:pPr>
              <w:spacing w:before="60" w:after="60"/>
            </w:pPr>
            <w:r/>
            <w:r>
              <w:rPr>
                <w:rFonts w:ascii="Lato" w:hAnsi="Lato"/>
                <w:b w:val="0"/>
                <w:i w:val="0"/>
                <w:color w:val="374151"/>
                <w:sz w:val="20"/>
              </w:rPr>
              <w:t>56% (Medium)</w:t>
            </w:r>
          </w:p>
        </w:tc>
        <w:tc>
          <w:tcPr>
            <w:tcW w:type="dxa" w:w="1568"/>
          </w:tcPr>
          <w:p>
            <w:pPr>
              <w:spacing w:before="60" w:after="60"/>
            </w:pPr>
            <w:r/>
            <w:r>
              <w:rPr>
                <w:rFonts w:ascii="Lato" w:hAnsi="Lato"/>
                <w:b w:val="0"/>
                <w:i w:val="0"/>
                <w:color w:val="374151"/>
                <w:sz w:val="20"/>
              </w:rPr>
              <w:t>+65%</w:t>
            </w:r>
          </w:p>
        </w:tc>
      </w:tr>
      <w:tr>
        <w:tc>
          <w:tcPr>
            <w:tcW w:type="dxa" w:w="1568"/>
          </w:tcPr>
          <w:p>
            <w:pPr>
              <w:spacing w:before="60" w:after="60"/>
            </w:pPr>
            <w:r/>
            <w:r>
              <w:rPr>
                <w:rFonts w:ascii="Lato" w:hAnsi="Lato"/>
                <w:b w:val="0"/>
                <w:i w:val="0"/>
                <w:color w:val="374151"/>
                <w:sz w:val="20"/>
              </w:rPr>
              <w:t>Product Format Innovation</w:t>
            </w:r>
          </w:p>
        </w:tc>
        <w:tc>
          <w:tcPr>
            <w:tcW w:type="dxa" w:w="1568"/>
          </w:tcPr>
          <w:p>
            <w:pPr>
              <w:spacing w:before="60" w:after="60"/>
            </w:pPr>
            <w:r/>
            <w:r>
              <w:rPr>
                <w:rFonts w:ascii="Lato" w:hAnsi="Lato"/>
                <w:b w:val="0"/>
                <w:i w:val="0"/>
                <w:color w:val="374151"/>
                <w:sz w:val="20"/>
              </w:rPr>
              <w:t>1348</w:t>
            </w:r>
          </w:p>
        </w:tc>
        <w:tc>
          <w:tcPr>
            <w:tcW w:type="dxa" w:w="1568"/>
          </w:tcPr>
          <w:p>
            <w:pPr>
              <w:spacing w:before="60" w:after="60"/>
            </w:pPr>
            <w:r/>
            <w:r>
              <w:rPr>
                <w:rFonts w:ascii="Lato" w:hAnsi="Lato"/>
                <w:b w:val="0"/>
                <w:i w:val="0"/>
                <w:color w:val="374151"/>
                <w:sz w:val="20"/>
              </w:rPr>
              <w:t>15.0%</w:t>
            </w:r>
          </w:p>
        </w:tc>
        <w:tc>
          <w:tcPr>
            <w:tcW w:type="dxa" w:w="1568"/>
          </w:tcPr>
          <w:p>
            <w:pPr>
              <w:spacing w:before="60" w:after="60"/>
            </w:pPr>
            <w:r/>
            <w:r>
              <w:rPr>
                <w:rFonts w:ascii="Lato" w:hAnsi="Lato"/>
                <w:b w:val="0"/>
                <w:i w:val="0"/>
                <w:color w:val="374151"/>
                <w:sz w:val="20"/>
              </w:rPr>
              <w:t>57% (Moderate)</w:t>
            </w:r>
          </w:p>
        </w:tc>
        <w:tc>
          <w:tcPr>
            <w:tcW w:type="dxa" w:w="1568"/>
          </w:tcPr>
          <w:p>
            <w:pPr>
              <w:spacing w:before="60" w:after="60"/>
            </w:pPr>
            <w:r/>
            <w:r>
              <w:rPr>
                <w:rFonts w:ascii="Lato" w:hAnsi="Lato"/>
                <w:b w:val="0"/>
                <w:i w:val="0"/>
                <w:color w:val="374151"/>
                <w:sz w:val="20"/>
              </w:rPr>
              <w:t>52% (Medium)</w:t>
            </w:r>
          </w:p>
        </w:tc>
        <w:tc>
          <w:tcPr>
            <w:tcW w:type="dxa" w:w="1568"/>
          </w:tcPr>
          <w:p>
            <w:pPr>
              <w:spacing w:before="60" w:after="60"/>
            </w:pPr>
            <w:r/>
            <w:r>
              <w:rPr>
                <w:rFonts w:ascii="Lato" w:hAnsi="Lato"/>
                <w:b w:val="0"/>
                <w:i w:val="0"/>
                <w:color w:val="374151"/>
                <w:sz w:val="20"/>
              </w:rPr>
              <w:t>+24%</w:t>
            </w:r>
          </w:p>
        </w:tc>
      </w:tr>
      <w:tr>
        <w:tc>
          <w:tcPr>
            <w:tcW w:type="dxa" w:w="1568"/>
          </w:tcPr>
          <w:p>
            <w:pPr>
              <w:spacing w:before="60" w:after="60"/>
            </w:pPr>
            <w:r/>
            <w:r>
              <w:rPr>
                <w:rFonts w:ascii="Lato" w:hAnsi="Lato"/>
                <w:b w:val="0"/>
                <w:i w:val="0"/>
                <w:color w:val="374151"/>
                <w:sz w:val="20"/>
              </w:rPr>
              <w:t>Colour Longevity &amp; Fading</w:t>
            </w:r>
          </w:p>
        </w:tc>
        <w:tc>
          <w:tcPr>
            <w:tcW w:type="dxa" w:w="1568"/>
          </w:tcPr>
          <w:p>
            <w:pPr>
              <w:spacing w:before="60" w:after="60"/>
            </w:pPr>
            <w:r/>
            <w:r>
              <w:rPr>
                <w:rFonts w:ascii="Lato" w:hAnsi="Lato"/>
                <w:b w:val="0"/>
                <w:i w:val="0"/>
                <w:color w:val="374151"/>
                <w:sz w:val="20"/>
              </w:rPr>
              <w:t>1333</w:t>
            </w:r>
          </w:p>
        </w:tc>
        <w:tc>
          <w:tcPr>
            <w:tcW w:type="dxa" w:w="1568"/>
          </w:tcPr>
          <w:p>
            <w:pPr>
              <w:spacing w:before="60" w:after="60"/>
            </w:pPr>
            <w:r/>
            <w:r>
              <w:rPr>
                <w:rFonts w:ascii="Lato" w:hAnsi="Lato"/>
                <w:b w:val="0"/>
                <w:i w:val="0"/>
                <w:color w:val="374151"/>
                <w:sz w:val="20"/>
              </w:rPr>
              <w:t>14.9%</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51% (Medium)</w:t>
            </w:r>
          </w:p>
        </w:tc>
        <w:tc>
          <w:tcPr>
            <w:tcW w:type="dxa" w:w="1568"/>
          </w:tcPr>
          <w:p>
            <w:pPr>
              <w:spacing w:before="60" w:after="60"/>
            </w:pPr>
            <w:r/>
            <w:r>
              <w:rPr>
                <w:rFonts w:ascii="Lato" w:hAnsi="Lato"/>
                <w:b w:val="0"/>
                <w:i w:val="0"/>
                <w:color w:val="374151"/>
                <w:sz w:val="20"/>
              </w:rPr>
              <w:t>+22%</w:t>
            </w:r>
          </w:p>
        </w:tc>
      </w:tr>
      <w:tr>
        <w:tc>
          <w:tcPr>
            <w:tcW w:type="dxa" w:w="1568"/>
          </w:tcPr>
          <w:p>
            <w:pPr>
              <w:spacing w:before="60" w:after="60"/>
            </w:pPr>
            <w:r/>
            <w:r>
              <w:rPr>
                <w:rFonts w:ascii="Lato" w:hAnsi="Lato"/>
                <w:b w:val="0"/>
                <w:i w:val="0"/>
                <w:color w:val="374151"/>
                <w:sz w:val="20"/>
              </w:rPr>
              <w:t>Natural &amp; Herbal Hair Colour</w:t>
            </w:r>
          </w:p>
        </w:tc>
        <w:tc>
          <w:tcPr>
            <w:tcW w:type="dxa" w:w="1568"/>
          </w:tcPr>
          <w:p>
            <w:pPr>
              <w:spacing w:before="60" w:after="60"/>
            </w:pPr>
            <w:r/>
            <w:r>
              <w:rPr>
                <w:rFonts w:ascii="Lato" w:hAnsi="Lato"/>
                <w:b w:val="0"/>
                <w:i w:val="0"/>
                <w:color w:val="374151"/>
                <w:sz w:val="20"/>
              </w:rPr>
              <w:t>954</w:t>
            </w:r>
          </w:p>
        </w:tc>
        <w:tc>
          <w:tcPr>
            <w:tcW w:type="dxa" w:w="1568"/>
          </w:tcPr>
          <w:p>
            <w:pPr>
              <w:spacing w:before="60" w:after="60"/>
            </w:pPr>
            <w:r/>
            <w:r>
              <w:rPr>
                <w:rFonts w:ascii="Lato" w:hAnsi="Lato"/>
                <w:b w:val="0"/>
                <w:i w:val="0"/>
                <w:color w:val="374151"/>
                <w:sz w:val="20"/>
              </w:rPr>
              <w:t>10.6%</w:t>
            </w:r>
          </w:p>
        </w:tc>
        <w:tc>
          <w:tcPr>
            <w:tcW w:type="dxa" w:w="1568"/>
          </w:tcPr>
          <w:p>
            <w:pPr>
              <w:spacing w:before="60" w:after="60"/>
            </w:pPr>
            <w:r/>
            <w:r>
              <w:rPr>
                <w:rFonts w:ascii="Lato" w:hAnsi="Lato"/>
                <w:b w:val="0"/>
                <w:i w:val="0"/>
                <w:color w:val="374151"/>
                <w:sz w:val="20"/>
              </w:rPr>
              <w:t>59% (Moderate)</w:t>
            </w:r>
          </w:p>
        </w:tc>
        <w:tc>
          <w:tcPr>
            <w:tcW w:type="dxa" w:w="1568"/>
          </w:tcPr>
          <w:p>
            <w:pPr>
              <w:spacing w:before="60" w:after="60"/>
            </w:pPr>
            <w:r/>
            <w:r>
              <w:rPr>
                <w:rFonts w:ascii="Lato" w:hAnsi="Lato"/>
                <w:b w:val="0"/>
                <w:i w:val="0"/>
                <w:color w:val="374151"/>
                <w:sz w:val="20"/>
              </w:rPr>
              <w:t>52% (Medium)</w:t>
            </w:r>
          </w:p>
        </w:tc>
        <w:tc>
          <w:tcPr>
            <w:tcW w:type="dxa" w:w="1568"/>
          </w:tcPr>
          <w:p>
            <w:pPr>
              <w:spacing w:before="60" w:after="60"/>
            </w:pPr>
            <w:r/>
            <w:r>
              <w:rPr>
                <w:rFonts w:ascii="Lato" w:hAnsi="Lato"/>
                <w:b w:val="0"/>
                <w:i w:val="0"/>
                <w:color w:val="374151"/>
                <w:sz w:val="20"/>
              </w:rPr>
              <w:t>+36%</w:t>
            </w:r>
          </w:p>
        </w:tc>
      </w:tr>
      <w:tr>
        <w:tc>
          <w:tcPr>
            <w:tcW w:type="dxa" w:w="1568"/>
          </w:tcPr>
          <w:p>
            <w:pPr>
              <w:spacing w:before="60" w:after="60"/>
            </w:pPr>
            <w:r/>
            <w:r>
              <w:rPr>
                <w:rFonts w:ascii="Lato" w:hAnsi="Lato"/>
                <w:b w:val="0"/>
                <w:i w:val="0"/>
                <w:color w:val="374151"/>
                <w:sz w:val="20"/>
              </w:rPr>
              <w:t>Grey Hair Coverage &amp; Root Touch-Up</w:t>
            </w:r>
          </w:p>
        </w:tc>
        <w:tc>
          <w:tcPr>
            <w:tcW w:type="dxa" w:w="1568"/>
          </w:tcPr>
          <w:p>
            <w:pPr>
              <w:spacing w:before="60" w:after="60"/>
            </w:pPr>
            <w:r/>
            <w:r>
              <w:rPr>
                <w:rFonts w:ascii="Lato" w:hAnsi="Lato"/>
                <w:b w:val="0"/>
                <w:i w:val="0"/>
                <w:color w:val="374151"/>
                <w:sz w:val="20"/>
              </w:rPr>
              <w:t>937</w:t>
            </w:r>
          </w:p>
        </w:tc>
        <w:tc>
          <w:tcPr>
            <w:tcW w:type="dxa" w:w="1568"/>
          </w:tcPr>
          <w:p>
            <w:pPr>
              <w:spacing w:before="60" w:after="60"/>
            </w:pPr>
            <w:r/>
            <w:r>
              <w:rPr>
                <w:rFonts w:ascii="Lato" w:hAnsi="Lato"/>
                <w:b w:val="0"/>
                <w:i w:val="0"/>
                <w:color w:val="374151"/>
                <w:sz w:val="20"/>
              </w:rPr>
              <w:t>10.4%</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52% (Medium)</w:t>
            </w:r>
          </w:p>
        </w:tc>
        <w:tc>
          <w:tcPr>
            <w:tcW w:type="dxa" w:w="1568"/>
          </w:tcPr>
          <w:p>
            <w:pPr>
              <w:spacing w:before="60" w:after="60"/>
            </w:pPr>
            <w:r/>
            <w:r>
              <w:rPr>
                <w:rFonts w:ascii="Lato" w:hAnsi="Lato"/>
                <w:b w:val="0"/>
                <w:i w:val="0"/>
                <w:color w:val="374151"/>
                <w:sz w:val="20"/>
              </w:rPr>
              <w:t>+41%</w:t>
            </w:r>
          </w:p>
        </w:tc>
      </w:tr>
      <w:tr>
        <w:tc>
          <w:tcPr>
            <w:tcW w:type="dxa" w:w="1568"/>
          </w:tcPr>
          <w:p>
            <w:pPr>
              <w:spacing w:before="60" w:after="60"/>
            </w:pPr>
            <w:r/>
            <w:r>
              <w:rPr>
                <w:rFonts w:ascii="Lato" w:hAnsi="Lato"/>
                <w:b w:val="0"/>
                <w:i w:val="0"/>
                <w:color w:val="374151"/>
                <w:sz w:val="20"/>
              </w:rPr>
              <w:t>Trending Colours &amp; Fashion Influence</w:t>
            </w:r>
          </w:p>
        </w:tc>
        <w:tc>
          <w:tcPr>
            <w:tcW w:type="dxa" w:w="1568"/>
          </w:tcPr>
          <w:p>
            <w:pPr>
              <w:spacing w:before="60" w:after="60"/>
            </w:pPr>
            <w:r/>
            <w:r>
              <w:rPr>
                <w:rFonts w:ascii="Lato" w:hAnsi="Lato"/>
                <w:b w:val="0"/>
                <w:i w:val="0"/>
                <w:color w:val="374151"/>
                <w:sz w:val="20"/>
              </w:rPr>
              <w:t>915</w:t>
            </w:r>
          </w:p>
        </w:tc>
        <w:tc>
          <w:tcPr>
            <w:tcW w:type="dxa" w:w="1568"/>
          </w:tcPr>
          <w:p>
            <w:pPr>
              <w:spacing w:before="60" w:after="60"/>
            </w:pPr>
            <w:r/>
            <w:r>
              <w:rPr>
                <w:rFonts w:ascii="Lato" w:hAnsi="Lato"/>
                <w:b w:val="0"/>
                <w:i w:val="0"/>
                <w:color w:val="374151"/>
                <w:sz w:val="20"/>
              </w:rPr>
              <w:t>10.2%</w:t>
            </w:r>
          </w:p>
        </w:tc>
        <w:tc>
          <w:tcPr>
            <w:tcW w:type="dxa" w:w="1568"/>
          </w:tcPr>
          <w:p>
            <w:pPr>
              <w:spacing w:before="60" w:after="60"/>
            </w:pPr>
            <w:r/>
            <w:r>
              <w:rPr>
                <w:rFonts w:ascii="Lato" w:hAnsi="Lato"/>
                <w:b w:val="0"/>
                <w:i w:val="0"/>
                <w:color w:val="374151"/>
                <w:sz w:val="20"/>
              </w:rPr>
              <w:t>62% (Moderate)</w:t>
            </w:r>
          </w:p>
        </w:tc>
        <w:tc>
          <w:tcPr>
            <w:tcW w:type="dxa" w:w="1568"/>
          </w:tcPr>
          <w:p>
            <w:pPr>
              <w:spacing w:before="60" w:after="60"/>
            </w:pPr>
            <w:r/>
            <w:r>
              <w:rPr>
                <w:rFonts w:ascii="Lato" w:hAnsi="Lato"/>
                <w:b w:val="0"/>
                <w:i w:val="0"/>
                <w:color w:val="374151"/>
                <w:sz w:val="20"/>
              </w:rPr>
              <w:t>51% (Medium)</w:t>
            </w:r>
          </w:p>
        </w:tc>
        <w:tc>
          <w:tcPr>
            <w:tcW w:type="dxa" w:w="1568"/>
          </w:tcPr>
          <w:p>
            <w:pPr>
              <w:spacing w:before="60" w:after="60"/>
            </w:pPr>
            <w:r/>
            <w:r>
              <w:rPr>
                <w:rFonts w:ascii="Lato" w:hAnsi="Lato"/>
                <w:b w:val="0"/>
                <w:i w:val="0"/>
                <w:color w:val="374151"/>
                <w:sz w:val="20"/>
              </w:rPr>
              <w:t>+20%</w:t>
            </w:r>
          </w:p>
        </w:tc>
      </w:tr>
      <w:tr>
        <w:tc>
          <w:tcPr>
            <w:tcW w:type="dxa" w:w="1568"/>
          </w:tcPr>
          <w:p>
            <w:pPr>
              <w:spacing w:before="60" w:after="60"/>
            </w:pPr>
            <w:r/>
            <w:r>
              <w:rPr>
                <w:rFonts w:ascii="Lato" w:hAnsi="Lato"/>
                <w:b w:val="0"/>
                <w:i w:val="0"/>
                <w:color w:val="374151"/>
                <w:sz w:val="20"/>
              </w:rPr>
              <w:t>Safety Concerns &amp; Chemical Sensitivity</w:t>
            </w:r>
          </w:p>
        </w:tc>
        <w:tc>
          <w:tcPr>
            <w:tcW w:type="dxa" w:w="1568"/>
          </w:tcPr>
          <w:p>
            <w:pPr>
              <w:spacing w:before="60" w:after="60"/>
            </w:pPr>
            <w:r/>
            <w:r>
              <w:rPr>
                <w:rFonts w:ascii="Lato" w:hAnsi="Lato"/>
                <w:b w:val="0"/>
                <w:i w:val="0"/>
                <w:color w:val="374151"/>
                <w:sz w:val="20"/>
              </w:rPr>
              <w:t>753</w:t>
            </w:r>
          </w:p>
        </w:tc>
        <w:tc>
          <w:tcPr>
            <w:tcW w:type="dxa" w:w="1568"/>
          </w:tcPr>
          <w:p>
            <w:pPr>
              <w:spacing w:before="60" w:after="60"/>
            </w:pPr>
            <w:r/>
            <w:r>
              <w:rPr>
                <w:rFonts w:ascii="Lato" w:hAnsi="Lato"/>
                <w:b w:val="0"/>
                <w:i w:val="0"/>
                <w:color w:val="374151"/>
                <w:sz w:val="20"/>
              </w:rPr>
              <w:t>8.4%</w:t>
            </w:r>
          </w:p>
        </w:tc>
        <w:tc>
          <w:tcPr>
            <w:tcW w:type="dxa" w:w="1568"/>
          </w:tcPr>
          <w:p>
            <w:pPr>
              <w:spacing w:before="60" w:after="60"/>
            </w:pPr>
            <w:r/>
            <w:r>
              <w:rPr>
                <w:rFonts w:ascii="Lato" w:hAnsi="Lato"/>
                <w:b w:val="0"/>
                <w:i w:val="0"/>
                <w:color w:val="374151"/>
                <w:sz w:val="20"/>
              </w:rPr>
              <w:t>52% (Moderate)</w:t>
            </w:r>
          </w:p>
        </w:tc>
        <w:tc>
          <w:tcPr>
            <w:tcW w:type="dxa" w:w="1568"/>
          </w:tcPr>
          <w:p>
            <w:pPr>
              <w:spacing w:before="60" w:after="60"/>
            </w:pPr>
            <w:r/>
            <w:r>
              <w:rPr>
                <w:rFonts w:ascii="Lato" w:hAnsi="Lato"/>
                <w:b w:val="0"/>
                <w:i w:val="0"/>
                <w:color w:val="374151"/>
                <w:sz w:val="20"/>
              </w:rPr>
              <w:t>48% (Directional)</w:t>
            </w:r>
          </w:p>
        </w:tc>
        <w:tc>
          <w:tcPr>
            <w:tcW w:type="dxa" w:w="1568"/>
          </w:tcPr>
          <w:p>
            <w:pPr>
              <w:spacing w:before="60" w:after="60"/>
            </w:pPr>
            <w:r/>
            <w:r>
              <w:rPr>
                <w:rFonts w:ascii="Lato" w:hAnsi="Lato"/>
                <w:b w:val="0"/>
                <w:i w:val="0"/>
                <w:color w:val="374151"/>
                <w:sz w:val="20"/>
              </w:rPr>
              <w:t>-13%</w:t>
            </w:r>
          </w:p>
        </w:tc>
      </w:tr>
      <w:tr>
        <w:tc>
          <w:tcPr>
            <w:tcW w:type="dxa" w:w="1568"/>
          </w:tcPr>
          <w:p>
            <w:pPr>
              <w:spacing w:before="60" w:after="60"/>
            </w:pPr>
            <w:r/>
            <w:r>
              <w:rPr>
                <w:rFonts w:ascii="Lato" w:hAnsi="Lato"/>
                <w:b w:val="0"/>
                <w:i w:val="0"/>
                <w:color w:val="374151"/>
                <w:sz w:val="20"/>
              </w:rPr>
              <w:t>Brand Comparisons &amp; Recommendations</w:t>
            </w:r>
          </w:p>
        </w:tc>
        <w:tc>
          <w:tcPr>
            <w:tcW w:type="dxa" w:w="1568"/>
          </w:tcPr>
          <w:p>
            <w:pPr>
              <w:spacing w:before="60" w:after="60"/>
            </w:pPr>
            <w:r/>
            <w:r>
              <w:rPr>
                <w:rFonts w:ascii="Lato" w:hAnsi="Lato"/>
                <w:b w:val="0"/>
                <w:i w:val="0"/>
                <w:color w:val="374151"/>
                <w:sz w:val="20"/>
              </w:rPr>
              <w:t>705</w:t>
            </w:r>
          </w:p>
        </w:tc>
        <w:tc>
          <w:tcPr>
            <w:tcW w:type="dxa" w:w="1568"/>
          </w:tcPr>
          <w:p>
            <w:pPr>
              <w:spacing w:before="60" w:after="60"/>
            </w:pPr>
            <w:r/>
            <w:r>
              <w:rPr>
                <w:rFonts w:ascii="Lato" w:hAnsi="Lato"/>
                <w:b w:val="0"/>
                <w:i w:val="0"/>
                <w:color w:val="374151"/>
                <w:sz w:val="20"/>
              </w:rPr>
              <w:t>7.9%</w:t>
            </w:r>
          </w:p>
        </w:tc>
        <w:tc>
          <w:tcPr>
            <w:tcW w:type="dxa" w:w="1568"/>
          </w:tcPr>
          <w:p>
            <w:pPr>
              <w:spacing w:before="60" w:after="60"/>
            </w:pPr>
            <w:r/>
            <w:r>
              <w:rPr>
                <w:rFonts w:ascii="Lato" w:hAnsi="Lato"/>
                <w:b w:val="0"/>
                <w:i w:val="0"/>
                <w:color w:val="374151"/>
                <w:sz w:val="20"/>
              </w:rPr>
              <w:t>54% (Moderate)</w:t>
            </w:r>
          </w:p>
        </w:tc>
        <w:tc>
          <w:tcPr>
            <w:tcW w:type="dxa" w:w="1568"/>
          </w:tcPr>
          <w:p>
            <w:pPr>
              <w:spacing w:before="60" w:after="60"/>
            </w:pPr>
            <w:r/>
            <w:r>
              <w:rPr>
                <w:rFonts w:ascii="Lato" w:hAnsi="Lato"/>
                <w:b w:val="0"/>
                <w:i w:val="0"/>
                <w:color w:val="374151"/>
                <w:sz w:val="20"/>
              </w:rPr>
              <w:t>49% (Directional)</w:t>
            </w:r>
          </w:p>
        </w:tc>
        <w:tc>
          <w:tcPr>
            <w:tcW w:type="dxa" w:w="1568"/>
          </w:tcPr>
          <w:p>
            <w:pPr>
              <w:spacing w:before="60" w:after="60"/>
            </w:pPr>
            <w:r/>
            <w:r>
              <w:rPr>
                <w:rFonts w:ascii="Lato" w:hAnsi="Lato"/>
                <w:b w:val="0"/>
                <w:i w:val="0"/>
                <w:color w:val="374151"/>
                <w:sz w:val="20"/>
              </w:rPr>
              <w:t>+38%</w:t>
            </w:r>
          </w:p>
        </w:tc>
      </w:tr>
      <w:tr>
        <w:tc>
          <w:tcPr>
            <w:tcW w:type="dxa" w:w="1568"/>
          </w:tcPr>
          <w:p>
            <w:pPr>
              <w:spacing w:before="60" w:after="60"/>
            </w:pPr>
            <w:r/>
            <w:r>
              <w:rPr>
                <w:rFonts w:ascii="Lato" w:hAnsi="Lato"/>
                <w:b w:val="0"/>
                <w:i w:val="0"/>
                <w:color w:val="374151"/>
                <w:sz w:val="20"/>
              </w:rPr>
              <w:t>Value &amp; Affordability</w:t>
            </w:r>
          </w:p>
        </w:tc>
        <w:tc>
          <w:tcPr>
            <w:tcW w:type="dxa" w:w="1568"/>
          </w:tcPr>
          <w:p>
            <w:pPr>
              <w:spacing w:before="60" w:after="60"/>
            </w:pPr>
            <w:r/>
            <w:r>
              <w:rPr>
                <w:rFonts w:ascii="Lato" w:hAnsi="Lato"/>
                <w:b w:val="0"/>
                <w:i w:val="0"/>
                <w:color w:val="374151"/>
                <w:sz w:val="20"/>
              </w:rPr>
              <w:t>684</w:t>
            </w:r>
          </w:p>
        </w:tc>
        <w:tc>
          <w:tcPr>
            <w:tcW w:type="dxa" w:w="1568"/>
          </w:tcPr>
          <w:p>
            <w:pPr>
              <w:spacing w:before="60" w:after="60"/>
            </w:pPr>
            <w:r/>
            <w:r>
              <w:rPr>
                <w:rFonts w:ascii="Lato" w:hAnsi="Lato"/>
                <w:b w:val="0"/>
                <w:i w:val="0"/>
                <w:color w:val="374151"/>
                <w:sz w:val="20"/>
              </w:rPr>
              <w:t>7.6%</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50% (Medium)</w:t>
            </w:r>
          </w:p>
        </w:tc>
        <w:tc>
          <w:tcPr>
            <w:tcW w:type="dxa" w:w="1568"/>
          </w:tcPr>
          <w:p>
            <w:pPr>
              <w:spacing w:before="60" w:after="60"/>
            </w:pPr>
            <w:r/>
            <w:r>
              <w:rPr>
                <w:rFonts w:ascii="Lato" w:hAnsi="Lato"/>
                <w:b w:val="0"/>
                <w:i w:val="0"/>
                <w:color w:val="374151"/>
                <w:sz w:val="20"/>
              </w:rPr>
              <w:t>+45%</w:t>
            </w:r>
          </w:p>
        </w:tc>
      </w:tr>
      <w:tr>
        <w:tc>
          <w:tcPr>
            <w:tcW w:type="dxa" w:w="1568"/>
          </w:tcPr>
          <w:p>
            <w:pPr>
              <w:spacing w:before="60" w:after="60"/>
            </w:pPr>
            <w:r/>
            <w:r>
              <w:rPr>
                <w:rFonts w:ascii="Lato" w:hAnsi="Lato"/>
                <w:b w:val="0"/>
                <w:i w:val="0"/>
                <w:color w:val="374151"/>
                <w:sz w:val="20"/>
              </w:rPr>
              <w:t>Salon vs Home Colouring Debate</w:t>
            </w:r>
          </w:p>
        </w:tc>
        <w:tc>
          <w:tcPr>
            <w:tcW w:type="dxa" w:w="1568"/>
          </w:tcPr>
          <w:p>
            <w:pPr>
              <w:spacing w:before="60" w:after="60"/>
            </w:pPr>
            <w:r/>
            <w:r>
              <w:rPr>
                <w:rFonts w:ascii="Lato" w:hAnsi="Lato"/>
                <w:b w:val="0"/>
                <w:i w:val="0"/>
                <w:color w:val="374151"/>
                <w:sz w:val="20"/>
              </w:rPr>
              <w:t>484</w:t>
            </w:r>
          </w:p>
        </w:tc>
        <w:tc>
          <w:tcPr>
            <w:tcW w:type="dxa" w:w="1568"/>
          </w:tcPr>
          <w:p>
            <w:pPr>
              <w:spacing w:before="60" w:after="60"/>
            </w:pPr>
            <w:r/>
            <w:r>
              <w:rPr>
                <w:rFonts w:ascii="Lato" w:hAnsi="Lato"/>
                <w:b w:val="0"/>
                <w:i w:val="0"/>
                <w:color w:val="374151"/>
                <w:sz w:val="20"/>
              </w:rPr>
              <w:t>5.4%</w:t>
            </w:r>
          </w:p>
        </w:tc>
        <w:tc>
          <w:tcPr>
            <w:tcW w:type="dxa" w:w="1568"/>
          </w:tcPr>
          <w:p>
            <w:pPr>
              <w:spacing w:before="60" w:after="60"/>
            </w:pPr>
            <w:r/>
            <w:r>
              <w:rPr>
                <w:rFonts w:ascii="Lato" w:hAnsi="Lato"/>
                <w:b w:val="0"/>
                <w:i w:val="0"/>
                <w:color w:val="374151"/>
                <w:sz w:val="20"/>
              </w:rPr>
              <w:t>59% (Moderate)</w:t>
            </w:r>
          </w:p>
        </w:tc>
        <w:tc>
          <w:tcPr>
            <w:tcW w:type="dxa" w:w="1568"/>
          </w:tcPr>
          <w:p>
            <w:pPr>
              <w:spacing w:before="60" w:after="60"/>
            </w:pPr>
            <w:r/>
            <w:r>
              <w:rPr>
                <w:rFonts w:ascii="Lato" w:hAnsi="Lato"/>
                <w:b w:val="0"/>
                <w:i w:val="0"/>
                <w:color w:val="374151"/>
                <w:sz w:val="20"/>
              </w:rPr>
              <w:t>49% (Directional)</w:t>
            </w:r>
          </w:p>
        </w:tc>
        <w:tc>
          <w:tcPr>
            <w:tcW w:type="dxa" w:w="1568"/>
          </w:tcPr>
          <w:p>
            <w:pPr>
              <w:spacing w:before="60" w:after="60"/>
            </w:pPr>
            <w:r/>
            <w:r>
              <w:rPr>
                <w:rFonts w:ascii="Lato" w:hAnsi="Lato"/>
                <w:b w:val="0"/>
                <w:i w:val="0"/>
                <w:color w:val="374151"/>
                <w:sz w:val="20"/>
              </w:rPr>
              <w:t>+43%</w:t>
            </w:r>
          </w:p>
        </w:tc>
      </w:tr>
      <w:tr>
        <w:tc>
          <w:tcPr>
            <w:tcW w:type="dxa" w:w="1568"/>
          </w:tcPr>
          <w:p>
            <w:pPr>
              <w:spacing w:before="60" w:after="60"/>
            </w:pPr>
            <w:r/>
            <w:r>
              <w:rPr>
                <w:rFonts w:ascii="Lato" w:hAnsi="Lato"/>
                <w:b w:val="0"/>
                <w:i w:val="0"/>
                <w:color w:val="374151"/>
                <w:sz w:val="20"/>
              </w:rPr>
              <w:t>Post-Colour Hair Damage &amp; Repair</w:t>
            </w:r>
          </w:p>
        </w:tc>
        <w:tc>
          <w:tcPr>
            <w:tcW w:type="dxa" w:w="1568"/>
          </w:tcPr>
          <w:p>
            <w:pPr>
              <w:spacing w:before="60" w:after="60"/>
            </w:pPr>
            <w:r/>
            <w:r>
              <w:rPr>
                <w:rFonts w:ascii="Lato" w:hAnsi="Lato"/>
                <w:b w:val="0"/>
                <w:i w:val="0"/>
                <w:color w:val="374151"/>
                <w:sz w:val="20"/>
              </w:rPr>
              <w:t>348</w:t>
            </w:r>
          </w:p>
        </w:tc>
        <w:tc>
          <w:tcPr>
            <w:tcW w:type="dxa" w:w="1568"/>
          </w:tcPr>
          <w:p>
            <w:pPr>
              <w:spacing w:before="60" w:after="60"/>
            </w:pPr>
            <w:r/>
            <w:r>
              <w:rPr>
                <w:rFonts w:ascii="Lato" w:hAnsi="Lato"/>
                <w:b w:val="0"/>
                <w:i w:val="0"/>
                <w:color w:val="374151"/>
                <w:sz w:val="20"/>
              </w:rPr>
              <w:t>3.9%</w:t>
            </w:r>
          </w:p>
        </w:tc>
        <w:tc>
          <w:tcPr>
            <w:tcW w:type="dxa" w:w="1568"/>
          </w:tcPr>
          <w:p>
            <w:pPr>
              <w:spacing w:before="60" w:after="60"/>
            </w:pPr>
            <w:r/>
            <w:r>
              <w:rPr>
                <w:rFonts w:ascii="Lato" w:hAnsi="Lato"/>
                <w:b w:val="0"/>
                <w:i w:val="0"/>
                <w:color w:val="374151"/>
                <w:sz w:val="20"/>
              </w:rPr>
              <w:t>56% (Moderate)</w:t>
            </w:r>
          </w:p>
        </w:tc>
        <w:tc>
          <w:tcPr>
            <w:tcW w:type="dxa" w:w="1568"/>
          </w:tcPr>
          <w:p>
            <w:pPr>
              <w:spacing w:before="60" w:after="60"/>
            </w:pPr>
            <w:r/>
            <w:r>
              <w:rPr>
                <w:rFonts w:ascii="Lato" w:hAnsi="Lato"/>
                <w:b w:val="0"/>
                <w:i w:val="0"/>
                <w:color w:val="374151"/>
                <w:sz w:val="20"/>
              </w:rPr>
              <w:t>45% (Directional)</w:t>
            </w:r>
          </w:p>
        </w:tc>
        <w:tc>
          <w:tcPr>
            <w:tcW w:type="dxa" w:w="1568"/>
          </w:tcPr>
          <w:p>
            <w:pPr>
              <w:spacing w:before="60" w:after="60"/>
            </w:pPr>
            <w:r/>
            <w:r>
              <w:rPr>
                <w:rFonts w:ascii="Lato" w:hAnsi="Lato"/>
                <w:b w:val="0"/>
                <w:i w:val="0"/>
                <w:color w:val="374151"/>
                <w:sz w:val="20"/>
              </w:rPr>
              <w:t>+18%</w:t>
            </w:r>
          </w:p>
        </w:tc>
      </w:tr>
      <w:tr>
        <w:tc>
          <w:tcPr>
            <w:tcW w:type="dxa" w:w="1568"/>
          </w:tcPr>
          <w:p>
            <w:pPr>
              <w:spacing w:before="60" w:after="60"/>
            </w:pPr>
            <w:r/>
            <w:r>
              <w:rPr>
                <w:rFonts w:ascii="Lato" w:hAnsi="Lato"/>
                <w:b w:val="0"/>
                <w:i w:val="0"/>
                <w:color w:val="374151"/>
                <w:sz w:val="20"/>
              </w:rPr>
              <w:t>Self-Expression &amp; Identity Through Hair Colour</w:t>
            </w:r>
          </w:p>
        </w:tc>
        <w:tc>
          <w:tcPr>
            <w:tcW w:type="dxa" w:w="1568"/>
          </w:tcPr>
          <w:p>
            <w:pPr>
              <w:spacing w:before="60" w:after="60"/>
            </w:pPr>
            <w:r/>
            <w:r>
              <w:rPr>
                <w:rFonts w:ascii="Lato" w:hAnsi="Lato"/>
                <w:b w:val="0"/>
                <w:i w:val="0"/>
                <w:color w:val="374151"/>
                <w:sz w:val="20"/>
              </w:rPr>
              <w:t>308</w:t>
            </w:r>
          </w:p>
        </w:tc>
        <w:tc>
          <w:tcPr>
            <w:tcW w:type="dxa" w:w="1568"/>
          </w:tcPr>
          <w:p>
            <w:pPr>
              <w:spacing w:before="60" w:after="60"/>
            </w:pPr>
            <w:r/>
            <w:r>
              <w:rPr>
                <w:rFonts w:ascii="Lato" w:hAnsi="Lato"/>
                <w:b w:val="0"/>
                <w:i w:val="0"/>
                <w:color w:val="374151"/>
                <w:sz w:val="20"/>
              </w:rPr>
              <w:t>3.4%</w:t>
            </w:r>
          </w:p>
        </w:tc>
        <w:tc>
          <w:tcPr>
            <w:tcW w:type="dxa" w:w="1568"/>
          </w:tcPr>
          <w:p>
            <w:pPr>
              <w:spacing w:before="60" w:after="60"/>
            </w:pPr>
            <w:r/>
            <w:r>
              <w:rPr>
                <w:rFonts w:ascii="Lato" w:hAnsi="Lato"/>
                <w:b w:val="0"/>
                <w:i w:val="0"/>
                <w:color w:val="374151"/>
                <w:sz w:val="20"/>
              </w:rPr>
              <w:t>55% (Moderate)</w:t>
            </w:r>
          </w:p>
        </w:tc>
        <w:tc>
          <w:tcPr>
            <w:tcW w:type="dxa" w:w="1568"/>
          </w:tcPr>
          <w:p>
            <w:pPr>
              <w:spacing w:before="60" w:after="60"/>
            </w:pPr>
            <w:r/>
            <w:r>
              <w:rPr>
                <w:rFonts w:ascii="Lato" w:hAnsi="Lato"/>
                <w:b w:val="0"/>
                <w:i w:val="0"/>
                <w:color w:val="374151"/>
                <w:sz w:val="20"/>
              </w:rPr>
              <w:t>46% (Directional)</w:t>
            </w:r>
          </w:p>
        </w:tc>
        <w:tc>
          <w:tcPr>
            <w:tcW w:type="dxa" w:w="1568"/>
          </w:tcPr>
          <w:p>
            <w:pPr>
              <w:spacing w:before="60" w:after="60"/>
            </w:pPr>
            <w:r/>
            <w:r>
              <w:rPr>
                <w:rFonts w:ascii="Lato" w:hAnsi="Lato"/>
                <w:b w:val="0"/>
                <w:i w:val="0"/>
                <w:color w:val="374151"/>
                <w:sz w:val="20"/>
              </w:rPr>
              <w:t>+52%</w:t>
            </w:r>
          </w:p>
        </w:tc>
      </w:tr>
      <w:tr>
        <w:tc>
          <w:tcPr>
            <w:tcW w:type="dxa" w:w="1568"/>
          </w:tcPr>
          <w:p>
            <w:pPr>
              <w:spacing w:before="60" w:after="60"/>
            </w:pPr>
            <w:r/>
            <w:r>
              <w:rPr>
                <w:rFonts w:ascii="Lato" w:hAnsi="Lato"/>
                <w:b w:val="0"/>
                <w:i w:val="0"/>
                <w:color w:val="374151"/>
                <w:sz w:val="20"/>
              </w:rPr>
              <w:t>Beard &amp; Men's Grooming Colour</w:t>
            </w:r>
          </w:p>
        </w:tc>
        <w:tc>
          <w:tcPr>
            <w:tcW w:type="dxa" w:w="1568"/>
          </w:tcPr>
          <w:p>
            <w:pPr>
              <w:spacing w:before="60" w:after="60"/>
            </w:pPr>
            <w:r/>
            <w:r>
              <w:rPr>
                <w:rFonts w:ascii="Lato" w:hAnsi="Lato"/>
                <w:b w:val="0"/>
                <w:i w:val="0"/>
                <w:color w:val="374151"/>
                <w:sz w:val="20"/>
              </w:rPr>
              <w:t>223</w:t>
            </w:r>
          </w:p>
        </w:tc>
        <w:tc>
          <w:tcPr>
            <w:tcW w:type="dxa" w:w="1568"/>
          </w:tcPr>
          <w:p>
            <w:pPr>
              <w:spacing w:before="60" w:after="60"/>
            </w:pPr>
            <w:r/>
            <w:r>
              <w:rPr>
                <w:rFonts w:ascii="Lato" w:hAnsi="Lato"/>
                <w:b w:val="0"/>
                <w:i w:val="0"/>
                <w:color w:val="374151"/>
                <w:sz w:val="20"/>
              </w:rPr>
              <w:t>2.5%</w:t>
            </w:r>
          </w:p>
        </w:tc>
        <w:tc>
          <w:tcPr>
            <w:tcW w:type="dxa" w:w="1568"/>
          </w:tcPr>
          <w:p>
            <w:pPr>
              <w:spacing w:before="60" w:after="60"/>
            </w:pPr>
            <w:r/>
            <w:r>
              <w:rPr>
                <w:rFonts w:ascii="Lato" w:hAnsi="Lato"/>
                <w:b w:val="0"/>
                <w:i w:val="0"/>
                <w:color w:val="374151"/>
                <w:sz w:val="20"/>
              </w:rPr>
              <w:t>52% (Moderate)</w:t>
            </w:r>
          </w:p>
        </w:tc>
        <w:tc>
          <w:tcPr>
            <w:tcW w:type="dxa" w:w="1568"/>
          </w:tcPr>
          <w:p>
            <w:pPr>
              <w:spacing w:before="60" w:after="60"/>
            </w:pPr>
            <w:r/>
            <w:r>
              <w:rPr>
                <w:rFonts w:ascii="Lato" w:hAnsi="Lato"/>
                <w:b w:val="0"/>
                <w:i w:val="0"/>
                <w:color w:val="374151"/>
                <w:sz w:val="20"/>
              </w:rPr>
              <w:t>44% (Directional)</w:t>
            </w:r>
          </w:p>
        </w:tc>
        <w:tc>
          <w:tcPr>
            <w:tcW w:type="dxa" w:w="1568"/>
          </w:tcPr>
          <w:p>
            <w:pPr>
              <w:spacing w:before="60" w:after="60"/>
            </w:pPr>
            <w:r/>
            <w:r>
              <w:rPr>
                <w:rFonts w:ascii="Lato" w:hAnsi="Lato"/>
                <w:b w:val="0"/>
                <w:i w:val="0"/>
                <w:color w:val="374151"/>
                <w:sz w:val="20"/>
              </w:rPr>
              <w:t>+37%</w:t>
            </w:r>
          </w:p>
        </w:tc>
      </w:tr>
      <w:tr>
        <w:tc>
          <w:tcPr>
            <w:tcW w:type="dxa" w:w="1568"/>
          </w:tcPr>
          <w:p>
            <w:pPr>
              <w:spacing w:before="60" w:after="60"/>
            </w:pPr>
            <w:r/>
            <w:r>
              <w:rPr>
                <w:rFonts w:ascii="Lato" w:hAnsi="Lato"/>
                <w:b w:val="0"/>
                <w:i w:val="0"/>
                <w:color w:val="374151"/>
                <w:sz w:val="20"/>
              </w:rPr>
              <w:t>Grey Hair Misinformation &amp; Miracle Claims</w:t>
            </w:r>
          </w:p>
        </w:tc>
        <w:tc>
          <w:tcPr>
            <w:tcW w:type="dxa" w:w="1568"/>
          </w:tcPr>
          <w:p>
            <w:pPr>
              <w:spacing w:before="60" w:after="60"/>
            </w:pPr>
            <w:r/>
            <w:r>
              <w:rPr>
                <w:rFonts w:ascii="Lato" w:hAnsi="Lato"/>
                <w:b w:val="0"/>
                <w:i w:val="0"/>
                <w:color w:val="374151"/>
                <w:sz w:val="20"/>
              </w:rPr>
              <w:t>86</w:t>
            </w:r>
          </w:p>
        </w:tc>
        <w:tc>
          <w:tcPr>
            <w:tcW w:type="dxa" w:w="1568"/>
          </w:tcPr>
          <w:p>
            <w:pPr>
              <w:spacing w:before="60" w:after="60"/>
            </w:pPr>
            <w:r/>
            <w:r>
              <w:rPr>
                <w:rFonts w:ascii="Lato" w:hAnsi="Lato"/>
                <w:b w:val="0"/>
                <w:i w:val="0"/>
                <w:color w:val="374151"/>
                <w:sz w:val="20"/>
              </w:rPr>
              <w:t>1.0%</w:t>
            </w:r>
          </w:p>
        </w:tc>
        <w:tc>
          <w:tcPr>
            <w:tcW w:type="dxa" w:w="1568"/>
          </w:tcPr>
          <w:p>
            <w:pPr>
              <w:spacing w:before="60" w:after="60"/>
            </w:pPr>
            <w:r/>
            <w:r>
              <w:rPr>
                <w:rFonts w:ascii="Lato" w:hAnsi="Lato"/>
                <w:b w:val="0"/>
                <w:i w:val="0"/>
                <w:color w:val="374151"/>
                <w:sz w:val="20"/>
              </w:rPr>
              <w:t>43% (Weak)</w:t>
            </w:r>
          </w:p>
        </w:tc>
        <w:tc>
          <w:tcPr>
            <w:tcW w:type="dxa" w:w="1568"/>
          </w:tcPr>
          <w:p>
            <w:pPr>
              <w:spacing w:before="60" w:after="60"/>
            </w:pPr>
            <w:r/>
            <w:r>
              <w:rPr>
                <w:rFonts w:ascii="Lato" w:hAnsi="Lato"/>
                <w:b w:val="0"/>
                <w:i w:val="0"/>
                <w:color w:val="374151"/>
                <w:sz w:val="20"/>
              </w:rPr>
              <w:t>40% (Directional)</w:t>
            </w:r>
          </w:p>
        </w:tc>
        <w:tc>
          <w:tcPr>
            <w:tcW w:type="dxa" w:w="1568"/>
          </w:tcPr>
          <w:p>
            <w:pPr>
              <w:spacing w:before="60" w:after="60"/>
            </w:pPr>
            <w:r/>
            <w:r>
              <w:rPr>
                <w:rFonts w:ascii="Lato" w:hAnsi="Lato"/>
                <w:b w:val="0"/>
                <w:i w:val="0"/>
                <w:color w:val="374151"/>
                <w:sz w:val="20"/>
              </w:rPr>
              <w:t>+43%</w:t>
            </w:r>
          </w:p>
        </w:tc>
      </w:tr>
      <w:tr>
        <w:tc>
          <w:tcPr>
            <w:tcW w:type="dxa" w:w="1568"/>
          </w:tcPr>
          <w:p>
            <w:pPr>
              <w:spacing w:before="60" w:after="60"/>
            </w:pPr>
            <w:r/>
            <w:r>
              <w:rPr>
                <w:rFonts w:ascii="Lato" w:hAnsi="Lato"/>
                <w:b w:val="0"/>
                <w:i w:val="0"/>
                <w:color w:val="374151"/>
                <w:sz w:val="20"/>
              </w:rPr>
              <w:t>Colour Transfer &amp; Staining</w:t>
            </w:r>
          </w:p>
        </w:tc>
        <w:tc>
          <w:tcPr>
            <w:tcW w:type="dxa" w:w="1568"/>
          </w:tcPr>
          <w:p>
            <w:pPr>
              <w:spacing w:before="60" w:after="60"/>
            </w:pPr>
            <w:r/>
            <w:r>
              <w:rPr>
                <w:rFonts w:ascii="Lato" w:hAnsi="Lato"/>
                <w:b w:val="0"/>
                <w:i w:val="0"/>
                <w:color w:val="374151"/>
                <w:sz w:val="20"/>
              </w:rPr>
              <w:t>52</w:t>
            </w:r>
          </w:p>
        </w:tc>
        <w:tc>
          <w:tcPr>
            <w:tcW w:type="dxa" w:w="1568"/>
          </w:tcPr>
          <w:p>
            <w:pPr>
              <w:spacing w:before="60" w:after="60"/>
            </w:pPr>
            <w:r/>
            <w:r>
              <w:rPr>
                <w:rFonts w:ascii="Lato" w:hAnsi="Lato"/>
                <w:b w:val="0"/>
                <w:i w:val="0"/>
                <w:color w:val="374151"/>
                <w:sz w:val="20"/>
              </w:rPr>
              <w:t>0.6%</w:t>
            </w:r>
          </w:p>
        </w:tc>
        <w:tc>
          <w:tcPr>
            <w:tcW w:type="dxa" w:w="1568"/>
          </w:tcPr>
          <w:p>
            <w:pPr>
              <w:spacing w:before="60" w:after="60"/>
            </w:pPr>
            <w:r/>
            <w:r>
              <w:rPr>
                <w:rFonts w:ascii="Lato" w:hAnsi="Lato"/>
                <w:b w:val="0"/>
                <w:i w:val="0"/>
                <w:color w:val="374151"/>
                <w:sz w:val="20"/>
              </w:rPr>
              <w:t>29% (Weak)</w:t>
            </w:r>
          </w:p>
        </w:tc>
        <w:tc>
          <w:tcPr>
            <w:tcW w:type="dxa" w:w="1568"/>
          </w:tcPr>
          <w:p>
            <w:pPr>
              <w:spacing w:before="60" w:after="60"/>
            </w:pPr>
            <w:r/>
            <w:r>
              <w:rPr>
                <w:rFonts w:ascii="Lato" w:hAnsi="Lato"/>
                <w:b w:val="0"/>
                <w:i w:val="0"/>
                <w:color w:val="374151"/>
                <w:sz w:val="20"/>
              </w:rPr>
              <w:t>41% (Directional)</w:t>
            </w:r>
          </w:p>
        </w:tc>
        <w:tc>
          <w:tcPr>
            <w:tcW w:type="dxa" w:w="1568"/>
          </w:tcPr>
          <w:p>
            <w:pPr>
              <w:spacing w:before="60" w:after="60"/>
            </w:pPr>
            <w:r/>
            <w:r>
              <w:rPr>
                <w:rFonts w:ascii="Lato" w:hAnsi="Lato"/>
                <w:b w:val="0"/>
                <w:i w:val="0"/>
                <w:color w:val="374151"/>
                <w:sz w:val="20"/>
              </w:rPr>
              <w:t>+19%</w:t>
            </w:r>
          </w:p>
        </w:tc>
      </w:tr>
    </w:tbl>
    <w:p>
      <w:pPr>
        <w:jc w:val="center"/>
      </w:pPr>
      <w:r>
        <w:drawing>
          <wp:inline xmlns:a="http://schemas.openxmlformats.org/drawingml/2006/main" xmlns:pic="http://schemas.openxmlformats.org/drawingml/2006/picture">
            <wp:extent cx="5029200" cy="5035566"/>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503556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DIY Home Colouring Experience</w:t>
      </w:r>
    </w:p>
    <w:p>
      <w:pPr>
        <w:spacing w:after="160"/>
      </w:pPr>
      <w:r>
        <w:rPr>
          <w:rFonts w:ascii="Lato" w:hAnsi="Lato"/>
          <w:b w:val="0"/>
          <w:i w:val="0"/>
          <w:color w:val="6B7280"/>
          <w:sz w:val="18"/>
        </w:rPr>
        <w:t>n=3730</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72% (Moderate)</w:t>
      </w:r>
      <w:r>
        <w:rPr>
          <w:rFonts w:ascii="Lato" w:hAnsi="Lato"/>
          <w:b w:val="0"/>
          <w:i w:val="0"/>
          <w:color w:val="6B7280"/>
          <w:sz w:val="18"/>
        </w:rPr>
        <w:t xml:space="preserve">  |  41.6%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4.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DIY Home Colouring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DIY Home Colouring Experience is the dominant theme at 3,730 items (41.6% prevalence) with moderate positive sentiment (1,011 positive, 264 negative, 2,316 neutral, 139 mixed; NSS +20.0%). The very high neutral count (62% of items) and presence across all five platforms indicates this is largely informational and tutorial-driven content.</w:t>
      </w:r>
    </w:p>
    <w:p>
      <w:pPr>
        <w:pStyle w:val="Heading3"/>
        <w:jc w:val="left"/>
      </w:pPr>
      <w:r>
        <w:rPr>
          <w:rFonts w:ascii="Lato" w:hAnsi="Lato"/>
          <w:b/>
          <w:color w:val="1E3A5F"/>
          <w:sz w:val="26"/>
        </w:rPr>
        <w:t>What it Means</w:t>
      </w:r>
    </w:p>
    <w:p>
      <w:pPr>
        <w:spacing w:after="120" w:before="0"/>
      </w:pPr>
      <w:r>
        <w:rPr>
          <w:rFonts w:ascii="Lato" w:hAnsi="Lato"/>
          <w:b w:val="0"/>
          <w:i w:val="0"/>
          <w:sz w:val="22"/>
        </w:rPr>
        <w:t>The massive scale of DIY colouring content (4 in 10 corpus items) combined with the unusually high neutral proportion reveals that hair colouring at home is treated as a skill to be learned rather than a product to be purchased. Consumers are seeking instruction and validation - they want to know they are doing it right. The 264 negative mentions likely cluster around application failures (uneven results, mess, skin staining) rather than product dissatisfaction, meaning the brand's reputation is being shaped by the consumer's technique as much as the formulation itself. This creates a paradox: the product gets blamed for the user's skill deficit.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brand that owns the education layer of home colouring captures the consumer at the moment of highest uncertainty and lowest confidence - application time. This is a defensible competitive advantage because tutorial content creates habitual product-technique pairings that competitors cannot easily break. The 2,316 neutral items represent an enormous unmonetised audience seeking guidance - these are consumers who have not yet formed strong product opinions and are most susceptible to brand influence through helpful content.</w:t>
      </w:r>
    </w:p>
    <w:p>
      <w:pPr>
        <w:pStyle w:val="Heading3"/>
        <w:jc w:val="left"/>
      </w:pPr>
      <w:r>
        <w:rPr>
          <w:rFonts w:ascii="Lato" w:hAnsi="Lato"/>
          <w:b/>
          <w:color w:val="1E3A5F"/>
          <w:sz w:val="26"/>
        </w:rPr>
        <w:t>Recommendation</w:t>
      </w:r>
    </w:p>
    <w:p>
      <w:pPr>
        <w:spacing w:after="120" w:before="0"/>
      </w:pPr>
      <w:r>
        <w:rPr>
          <w:rFonts w:ascii="Lato" w:hAnsi="Lato"/>
          <w:b w:val="0"/>
          <w:i w:val="0"/>
          <w:sz w:val="22"/>
        </w:rPr>
        <w:t>Invest in a comprehensive DIY education ecosystem: (1) Create a tiered YouTube tutorial series - 'First Timer', 'Intermediate', and 'Salon-Quality at Home' - for each major product line, featuring real consumers not professionals. (2) Develop in-pack QR codes linking to shade-specific application videos. (3) Build an AI-powered shade advisor tool on the brand website/app that recommends products AND shows application technique for the consumer's hair type. (4) Partner with 10-15 mid-tier beauty creators (50K-500K followers) for authentic DIY content on Instagram Reels and YouTube Shorts, with measurement via branded hashtag tracking.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UX research study (n=30, recorded home colouring sessions with think-aloud protocol, split by first-time and experienced users) to identify the top 5 application failure points and the specific moments where consumers feel uncertain. Key question: 'At what point during application did you feel least confident, and what information would have helped?'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"When I teach someone how to draw the hair part, I don’t make it too spiky but they make it like how you described it."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"Instant colour: Best for instant colour and easy to use stays long lasting and very useful"</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"@aisherth If women have rules, then men shouldn’t get a free pass either. Government officers keeping long hair or messy beards it is gross &amp;amp; unprofessional at govt officers it should be neatly trimmed, uniformed"</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Shade Selection &amp; Colour Accuracy</w:t>
      </w:r>
    </w:p>
    <w:p>
      <w:pPr>
        <w:spacing w:after="160"/>
      </w:pPr>
      <w:r>
        <w:rPr>
          <w:rFonts w:ascii="Lato" w:hAnsi="Lato"/>
          <w:b w:val="0"/>
          <w:i w:val="0"/>
          <w:color w:val="6B7280"/>
          <w:sz w:val="18"/>
        </w:rPr>
        <w:t>n=1599</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17.8% of Dataset</w:t>
      </w:r>
      <w:r>
        <w:rPr>
          <w:rFonts w:ascii="Lato" w:hAnsi="Lato"/>
          <w:b w:val="0"/>
          <w:i w:val="0"/>
          <w:color w:val="6B7280"/>
          <w:sz w:val="18"/>
        </w:rPr>
        <w:t xml:space="preserve">  |  NSS: </w:t>
      </w:r>
      <w:r>
        <w:rPr>
          <w:rFonts w:ascii="Lato" w:hAnsi="Lato"/>
          <w:b/>
          <w:i w:val="0"/>
          <w:color w:val="059669"/>
          <w:sz w:val="18"/>
        </w:rPr>
        <w:t>+65%</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6.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Shade Selection &amp; Colour Accuracy</w:t>
      </w:r>
    </w:p>
    <w:p>
      <w:pPr>
        <w:pStyle w:val="Heading3"/>
        <w:jc w:val="left"/>
      </w:pPr>
      <w:r>
        <w:rPr>
          <w:rFonts w:ascii="Lato" w:hAnsi="Lato"/>
          <w:b/>
          <w:color w:val="1E3A5F"/>
          <w:sz w:val="26"/>
        </w:rPr>
        <w:t>What the Data Shows</w:t>
      </w:r>
    </w:p>
    <w:p>
      <w:pPr>
        <w:spacing w:after="120" w:before="0"/>
      </w:pPr>
      <w:r>
        <w:rPr>
          <w:rFonts w:ascii="Lato" w:hAnsi="Lato"/>
          <w:b w:val="0"/>
          <w:i w:val="0"/>
          <w:sz w:val="22"/>
        </w:rPr>
        <w:t>Shade Selection &amp; Colour Accuracy is the second-largest theme at 1,599 items (17.8% prevalence) with the highest positive sentiment of any theme (1,121 positive, 84 negative, 347 neutral, 47 mixed; NSS +64.9%). Conversations focus on shade preferences, colour vibrancy, naturalness of results, and shade matching expectations.</w:t>
      </w:r>
    </w:p>
    <w:p>
      <w:pPr>
        <w:pStyle w:val="Heading3"/>
        <w:jc w:val="left"/>
      </w:pPr>
      <w:r>
        <w:rPr>
          <w:rFonts w:ascii="Lato" w:hAnsi="Lato"/>
          <w:b/>
          <w:color w:val="1E3A5F"/>
          <w:sz w:val="26"/>
        </w:rPr>
        <w:t>What it Means</w:t>
      </w:r>
    </w:p>
    <w:p>
      <w:pPr>
        <w:spacing w:after="120" w:before="0"/>
      </w:pPr>
      <w:r>
        <w:rPr>
          <w:rFonts w:ascii="Lato" w:hAnsi="Lato"/>
          <w:b w:val="0"/>
          <w:i w:val="0"/>
          <w:sz w:val="22"/>
        </w:rPr>
        <w:t>The exceptionally high NSS (+64.9%) combined with the relatively low negative count (only 84 of 1,599) reveals that shade selection is the primary driver of delight in hair colour - not application ease, not longevity, not safety. When consumers get the shade right, the experience is overwhelmingly positive. This suggests that shade accuracy functions as a 'gateway satisfaction factor' - get it right and other frictions (messy application, slight fading) are forgiven; get it wrong and nothing else matters. The 84 negative mentions, though few, likely carry outsized impact because shade disappointment is visually obvious and socially embarrassing in a way that other product failures are not.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Shade accuracy is the single highest-leverage investment a hair colour brand can make. It has the best sentiment-to-volume ratio in the entire corpus, meaning improvements here yield the highest return per consumer touched. Brands that invest in shade accuracy technology (better pigment formulation, more precise shade guides, virtual try-on) gain a compounding advantage: satisfied shade consumers become organic advocates, while shade-disappointed consumers become vocal detractors.</w:t>
      </w:r>
    </w:p>
    <w:p>
      <w:pPr>
        <w:pStyle w:val="Heading3"/>
        <w:jc w:val="left"/>
      </w:pPr>
      <w:r>
        <w:rPr>
          <w:rFonts w:ascii="Lato" w:hAnsi="Lato"/>
          <w:b/>
          <w:color w:val="1E3A5F"/>
          <w:sz w:val="26"/>
        </w:rPr>
        <w:t>Recommendation</w:t>
      </w:r>
    </w:p>
    <w:p>
      <w:pPr>
        <w:spacing w:after="120" w:before="0"/>
      </w:pPr>
      <w:r>
        <w:rPr>
          <w:rFonts w:ascii="Lato" w:hAnsi="Lato"/>
          <w:b w:val="0"/>
          <w:i w:val="0"/>
          <w:sz w:val="22"/>
        </w:rPr>
        <w:t>Triple down on shade accuracy as the core brand differentiator: (1) Develop an AR shade try-on tool for the brand app/website using the consumer's selfie camera, with lighting correction to show realistic results. (2) Expand shade libraries with Indian skin tone and hair texture specificity - current shade cards are often optimised for Western hair types. (3) Introduce a 'Shade Match Guarantee' - if the shade result does not match the guide, offer a free replacement in a corrected shade. (4) Commission professional shade swatch photography on diverse Indian hair types (grey, black, brown base) for e-commerce listings to reduce expectation gaps.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conjoint analysis (n=400, active hair colour users in India) measuring the relative utility of shade accuracy vs. longevity vs. safety vs. price vs. ease of application in driving purchase preference. Specific question: 'How much more would you pay for guaranteed shade accuracy?' to quantify the willingness-to-pay premium for shade precision.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"@PanYijingFlora My hair is also quite dark. I’m already dreading the bleaching. I used to be redhead for a looooong while (with some blond phases in between) until i reverted back to dark brown.</w:t>
        <w:br/>
        <w:br/>
        <w:t>Not only uncomfortable but i was found that the smell of bleach gave me a headache."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"Hi! I used to use igora royal 4-65 which I LOVED, but was discontinued 😢. I started using 4-60 and it covered my grey/silver well, but looks flat and wig-like.  Do you have a recommendation for a replacement? I picked up Ion from sally in 4G which has the same name as the 4-65 (medium chocolate gold) but the roots turned yellow metallic gold. Unsure what to do. Wondering if I could mix igora royal 4-6 and another shade to recreate the beautiful 4-65."</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"Very good: Works. Better than any other instant hair color touch up available in the market. Doesn’t make hair sticky and gives a natural look. Stays till you wash your hair"</w:t>
      </w:r>
      <w:r>
        <w:rPr>
          <w:rFonts w:ascii="Lato" w:hAnsi="Lato"/>
          <w:b w:val="0"/>
          <w:i w:val="0"/>
          <w:color w:val="6B7280"/>
          <w:sz w:val="18"/>
        </w:rPr>
        <w:t xml:space="preserve">  - amazon</w:t>
      </w:r>
    </w:p>
    <w:p>
      <w:pPr>
        <w:spacing w:before="80" w:after="80"/>
        <w:pBdr>
          <w:bottom w:val="single" w:sz="4" w:space="1" w:color="6B7280"/>
        </w:pBdr>
      </w:pPr>
    </w:p>
    <w:p>
      <w:pPr>
        <w:pStyle w:val="Heading2"/>
        <w:jc w:val="left"/>
      </w:pPr>
      <w:r>
        <w:rPr>
          <w:rFonts w:ascii="Lato" w:hAnsi="Lato"/>
          <w:b/>
          <w:color w:val="1E3A5F"/>
          <w:sz w:val="32"/>
        </w:rPr>
        <w:t>03. Natural &amp; Herbal Hair Colour</w:t>
      </w:r>
    </w:p>
    <w:p>
      <w:pPr>
        <w:spacing w:after="160"/>
      </w:pPr>
      <w:r>
        <w:rPr>
          <w:rFonts w:ascii="Lato" w:hAnsi="Lato"/>
          <w:b w:val="0"/>
          <w:i w:val="0"/>
          <w:color w:val="6B7280"/>
          <w:sz w:val="18"/>
        </w:rPr>
        <w:t>n=954</w:t>
      </w:r>
      <w:r>
        <w:rPr>
          <w:rFonts w:ascii="Lato" w:hAnsi="Lato"/>
          <w:b w:val="0"/>
          <w:i w:val="0"/>
          <w:color w:val="374151"/>
          <w:sz w:val="18"/>
        </w:rPr>
        <w:t xml:space="preserve">  |  Confidence: </w:t>
      </w:r>
      <w:r>
        <w:rPr>
          <w:rFonts w:ascii="Lato" w:hAnsi="Lato"/>
          <w:b/>
          <w:i w:val="0"/>
          <w:color w:val="D97706"/>
          <w:sz w:val="18"/>
        </w:rPr>
        <w:t>52%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10.6%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2.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&amp; Herbal Hair Colour</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&amp; Herbal Hair Colour is the second-largest theme at 954 items (10.6% prevalence) with positive sentiment (463 positive, 117 negative, 314 neutral, 60 mixed; NSS +36.3%). Discussion centres on henna, mehendi, amla, indigo, and ayurvedic approaches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The demand for natural/herbal colour is driven less by ingredient knowledge and more by a trust deficit with chemical products. Consumers use 'natural' as a proxy for 'safe' in a market where they lack the technical literacy to evaluate ingredient lists. Henna occupies a unique cultural position in India - it is not merely a 'natural alternative' but a heritage practice with generational endorsement. This creates an asymmetric competitive dynamic: chemical brands must prove safety (negative framing), while herbal brands inherit trust (positive framing).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Chemical hair colour brands face a structural credibility challenge in the Indian market that cannot be solved with ingredient transparency alone, because the trust gap is cultural rather than informational. Brands that try to compete with herbal positioning without authentic heritage credentials risk being seen as opportunistic. The opportunity for chemical brands is to reframe the conversation from 'safe vs. unsafe ingredients' to 'predictable vs. unpredictable results' - an axis where chemical formulations have a genuine advantage over henna.</w:t>
      </w:r>
    </w:p>
    <w:p>
      <w:pPr>
        <w:pStyle w:val="Heading3"/>
        <w:jc w:val="left"/>
      </w:pPr>
      <w:r>
        <w:rPr>
          <w:rFonts w:ascii="Lato" w:hAnsi="Lato"/>
          <w:b/>
          <w:color w:val="1E3A5F"/>
          <w:sz w:val="26"/>
        </w:rPr>
        <w:t>Recommendation</w:t>
      </w:r>
    </w:p>
    <w:p>
      <w:pPr>
        <w:spacing w:after="120" w:before="0"/>
      </w:pPr>
      <w:r>
        <w:rPr>
          <w:rFonts w:ascii="Lato" w:hAnsi="Lato"/>
          <w:b w:val="0"/>
          <w:i w:val="0"/>
          <w:sz w:val="22"/>
        </w:rPr>
        <w:t>For chemical brands: launch an educational content series on YouTube and Instagram demonstrating side-by-side colour predictability (chemical vs. henna) with diverse hair types, emphasising consistency of results rather than safety claims. Partner with dermatologists for credibility. For herbal brands: invest in standardisation and shade range expansion - the 117 negative mentions likely include frustration with limited shade options and inconsistent results. Develop a 'Heritage + Science' positioning that pairs ayurvedic ingredients with modern formulation technology.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(8 focus groups, 6-8 participants each, split by current chemical vs. herbal users across 4 Indian metros) exploring the decision heuristics consumers use when choosing between chemical and natural products. Key question: 'What would need to change about chemical/herbal products for you to switch to the other type?' to identify the actual barriers vs. stated preferences.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"Natural Color: Color looks natural, covered greys fully, no strong smell, hair feels soft after use, easy instructions, lasted weeks well enough."</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"Clear skin सपोर्ट हेतु Planet Ayurveda का Gleaming Skin Hair Nails Formula Capsules त्वचा पोषण में सहायक है।"</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"@code_mom_ @stardewy_ I have always done box dyes, and the only time I ever have color issues is when going from blonde to a non-natural color. I've never gotten green or grey unintentionally when going from blonde to brown, and I've done it quite a few times without issue."</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04. Grey Hair Coverage &amp; Root Touch-Up</w:t>
      </w:r>
    </w:p>
    <w:p>
      <w:pPr>
        <w:spacing w:after="160"/>
      </w:pPr>
      <w:r>
        <w:rPr>
          <w:rFonts w:ascii="Lato" w:hAnsi="Lato"/>
          <w:b w:val="0"/>
          <w:i w:val="0"/>
          <w:color w:val="6B7280"/>
          <w:sz w:val="18"/>
        </w:rPr>
        <w:t>n=937</w:t>
      </w:r>
      <w:r>
        <w:rPr>
          <w:rFonts w:ascii="Lato" w:hAnsi="Lato"/>
          <w:b w:val="0"/>
          <w:i w:val="0"/>
          <w:color w:val="374151"/>
          <w:sz w:val="18"/>
        </w:rPr>
        <w:t xml:space="preserve">  |  Confidence: </w:t>
      </w:r>
      <w:r>
        <w:rPr>
          <w:rFonts w:ascii="Lato" w:hAnsi="Lato"/>
          <w:b/>
          <w:i w:val="0"/>
          <w:color w:val="D97706"/>
          <w:sz w:val="18"/>
        </w:rPr>
        <w:t>52%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10.4%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1.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Grey Hair Coverage &amp; Root Touch-Up</w:t>
      </w:r>
    </w:p>
    <w:p>
      <w:pPr>
        <w:pStyle w:val="Heading3"/>
        <w:jc w:val="left"/>
      </w:pPr>
      <w:r>
        <w:rPr>
          <w:rFonts w:ascii="Lato" w:hAnsi="Lato"/>
          <w:b/>
          <w:color w:val="1E3A5F"/>
          <w:sz w:val="26"/>
        </w:rPr>
        <w:t>What the Data Shows</w:t>
      </w:r>
    </w:p>
    <w:p>
      <w:pPr>
        <w:spacing w:after="120" w:before="0"/>
      </w:pPr>
      <w:r>
        <w:rPr>
          <w:rFonts w:ascii="Lato" w:hAnsi="Lato"/>
          <w:b w:val="0"/>
          <w:i w:val="0"/>
          <w:sz w:val="22"/>
        </w:rPr>
        <w:t>Grey Hair Coverage &amp; Root Touch-Up is the third-largest theme at 937 items (10.4% prevalence) with strongly positive sentiment (475 positive, 95 negative, 325 neutral, 42 mixed; NSS +40.6%). Conversations span all five platforms, blending product reviews with emotionally charged discussions about ageing and premature greying.</w:t>
      </w:r>
    </w:p>
    <w:p>
      <w:pPr>
        <w:pStyle w:val="Heading3"/>
        <w:jc w:val="left"/>
      </w:pPr>
      <w:r>
        <w:rPr>
          <w:rFonts w:ascii="Lato" w:hAnsi="Lato"/>
          <w:b/>
          <w:color w:val="1E3A5F"/>
          <w:sz w:val="26"/>
        </w:rPr>
        <w:t>What it Means</w:t>
      </w:r>
    </w:p>
    <w:p>
      <w:pPr>
        <w:spacing w:after="120" w:before="0"/>
      </w:pPr>
      <w:r>
        <w:rPr>
          <w:rFonts w:ascii="Lato" w:hAnsi="Lato"/>
          <w:b w:val="0"/>
          <w:i w:val="0"/>
          <w:sz w:val="22"/>
        </w:rPr>
        <w:t>Grey coverage is not a cosmetic preference - it is an anxiety management ritual. Consumers frame greying as a loss of control over how they are perceived socially and professionally. The high positive sentiment reflects relief when a product successfully restores a sense of youthfulness, not satisfaction with the product per se. This explains why consumers tolerate imperfect formulations (smell, texture, mess) if the coverage result is convincing - the emotional payoff outweighs the functional friction.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position grey coverage products purely on functional claims (percentage coverage, lasting power) miss the emotional core of the purchase decision. The opportunity is in owning the emotional territory of 'confidence restored' rather than competing on coverage percentages where differentiation is minimal. Conversely, any product failure in grey coverage carries disproportionate emotional weight - it is not just a bad product experience but a failed anxiety remedy.</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dedicated grey coverage sub-brand or product line with messaging centred on confidence and self-assurance rather than technical coverage claims. Launch a 'Root Confidence' campaign featuring real consumers (not models) discussing the emotional before-and-after, distributed via YouTube pre-roll and Instagram Reels targeting women 30-50. Include a 'satisfaction guarantee' specific to grey coverage products to reduce purchase anxiety.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(n=500, women 25-55 who colour grey hair, stratified by metro/non-metro India) testing the relative importance of emotional benefits (confidence, youthfulness, social perception) vs. functional benefits (coverage %, longevity, ease) in hair colour purchase decisions. Specific question: 'When your grey coverage product works well, what is the primary feeling you experience?' with forced-choice options spanning functional satisfaction to emotional relief.</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"I’m 46 and have decided to just go grey naturally. I haven’t dyed my hair in years and it’s just so much healthier now. Fingers crossed I look as cool as her later (I only have a few strands of white for now)!"</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"Need to improve a bit: Pros - Good coverage for short Greys. Cons - The black crayon falls off from the tube easily so you have to be very careful while opening the tube. Secondly, it is not transfer-proof. The colour will transfer to your fingers if you touch it after applying."</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"@GoalLoaded If you want to hide your grey hairs try this hair fiber powder https://t.co/8ylXvVnFPT"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Product Format Innovation</w:t>
      </w:r>
    </w:p>
    <w:p>
      <w:pPr>
        <w:spacing w:after="160"/>
      </w:pPr>
      <w:r>
        <w:rPr>
          <w:rFonts w:ascii="Lato" w:hAnsi="Lato"/>
          <w:b w:val="0"/>
          <w:i w:val="0"/>
          <w:color w:val="6B7280"/>
          <w:sz w:val="18"/>
        </w:rPr>
        <w:t>n=1348</w:t>
      </w:r>
      <w:r>
        <w:rPr>
          <w:rFonts w:ascii="Lato" w:hAnsi="Lato"/>
          <w:b w:val="0"/>
          <w:i w:val="0"/>
          <w:color w:val="374151"/>
          <w:sz w:val="18"/>
        </w:rPr>
        <w:t xml:space="preserve">  |  Confidence: </w:t>
      </w:r>
      <w:r>
        <w:rPr>
          <w:rFonts w:ascii="Lato" w:hAnsi="Lato"/>
          <w:b/>
          <w:i w:val="0"/>
          <w:color w:val="D97706"/>
          <w:sz w:val="18"/>
        </w:rPr>
        <w:t>52%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15.0%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4.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Format Innovation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Format Innovation has 1,348 items (15.0% prevalence) with moderately positive sentiment (428 positive, 111 negative, 758 neutral, 51 mixed; NSS +23.5%). Discussions cover foam dyes, shampoo colours, hair chalk, colour wax, spray colours, and colour sticks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Format innovation is the category's primary growth lever, but consumers evaluate new formats through an ease-of-use lens rather than a novelty lens. The 758 neutral items (56% of theme) are product discovery and exploration content - consumers encountering new formats and seeking information about how they work. The 111 negative items cluster around formats that promised ease but delivered complexity (foam dyes that drip, shampoo colours that stain hands, chalk that transfers). The core consumer demand is not 'I want something new' but 'I want something that requires less skill than traditional dye.' Format innovation succeeds when it lowers the skill barrier; it fails when novelty creates new skill requirements.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R&amp;D investment in format innovation should be prioritised by skill-barrier reduction rather than by technological novelty. A format that eliminates one application step (e.g., no mixing, no timing, no gloves needed) will outperform a format that adds a new capability (e.g., multi-tonal colour) but maintains complexity. The 758 neutral discovery items represent a segment actively evaluating whether to switch from traditional formats - their conversion depends on whether new formats demonstrably reduce effort.</w:t>
      </w:r>
    </w:p>
    <w:p>
      <w:pPr>
        <w:pStyle w:val="Heading3"/>
        <w:jc w:val="left"/>
      </w:pPr>
      <w:r>
        <w:rPr>
          <w:rFonts w:ascii="Lato" w:hAnsi="Lato"/>
          <w:b/>
          <w:color w:val="1E3A5F"/>
          <w:sz w:val="26"/>
        </w:rPr>
        <w:t>Recommendation</w:t>
      </w:r>
    </w:p>
    <w:p>
      <w:pPr>
        <w:spacing w:after="120" w:before="0"/>
      </w:pPr>
      <w:r>
        <w:rPr>
          <w:rFonts w:ascii="Lato" w:hAnsi="Lato"/>
          <w:b w:val="0"/>
          <w:i w:val="0"/>
          <w:sz w:val="22"/>
        </w:rPr>
        <w:t>Redesign the format innovation pipeline around skill-barrier testing: (1) Before launching any new format, conduct usability testing with first-time users (not product testers) and measure application success rate, time to completion, and mess created. Only launch formats with &gt;80% first-attempt success rate. (2) Reposition existing easy formats (shampoo colour, colour wax) with 'zero skill required' messaging and demo videos showing first-time application. (3) Develop a 'mess-free' product line with integrated applicators that eliminate gloves, mixing bowls, and brushes - the mess factor is a consistent barrier across 3,730+ DIY items (THM_04) and 52 staining items (THM_16). (4) Create a format comparison guide on the brand website helping consumers self-select the right format for their skill level.</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comparative usability study (n=60, 20 per format - traditional dye, foam, shampoo colour - first-time users only) measuring task completion rate, time, satisfaction, and willingness to repurchase. Record sessions to identify specific failure points per format. Key question: 'Could a first-time user achieve an acceptable result without watching a tutorial?'</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"Instant hair color: Fantastically color the hair without putting any effort loving this"</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"Not true, my son has texture powder clay and sea salt spray spray and clay the only thing that holds his hair"</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"@MvpRoaring I know about hair color and it's chemicals. I have had blue hair before. But whatever it's applied on hair was thru spray form which is not ideal hair color application whether it's permanent or temp"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Colour Longevity &amp; Fading</w:t>
      </w:r>
    </w:p>
    <w:p>
      <w:pPr>
        <w:spacing w:after="160"/>
      </w:pPr>
      <w:r>
        <w:rPr>
          <w:rFonts w:ascii="Lato" w:hAnsi="Lato"/>
          <w:b w:val="0"/>
          <w:i w:val="0"/>
          <w:color w:val="6B7280"/>
          <w:sz w:val="18"/>
        </w:rPr>
        <w:t>n=1333</w:t>
      </w:r>
      <w:r>
        <w:rPr>
          <w:rFonts w:ascii="Lato" w:hAnsi="Lato"/>
          <w:b w:val="0"/>
          <w:i w:val="0"/>
          <w:color w:val="374151"/>
          <w:sz w:val="18"/>
        </w:rPr>
        <w:t xml:space="preserve">  |  Confidence: </w:t>
      </w:r>
      <w:r>
        <w:rPr>
          <w:rFonts w:ascii="Lato" w:hAnsi="Lato"/>
          <w:b/>
          <w:i w:val="0"/>
          <w:color w:val="D97706"/>
          <w:sz w:val="18"/>
        </w:rPr>
        <w:t>51%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14.9%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5.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Colour Longevity &amp; Fading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Colour Longevity &amp; Fading has 1,333 items (14.9% prevalence) with moderately positive sentiment (495 positive, 203 negative, 554 neutral, 81 mixed; NSS +21.9%). Discussion spans temporary vs. permanent vs. semi-permanent distinctions, wash-out behaviour, and colour retention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Longevity dissatisfaction is primarily an expectations-setting failure rather than a formulation failure. Consumers operate with a binary mental model - 'it works' or 'it fades' - without understanding the designed behaviour differences between temporary, semi-permanent, and permanent formulations. The 203 negative mentions are concentrated among consumers who purchased temporary or semi-permanent products expecting permanent results, or permanent products expecting salon-equivalent longevity without salon-equivalent aftercare. The product performed as designed but failed against the consumer's uninformed expectations.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Every longevity complaint that stems from expectations mismatch is a preventable negative review. In e-commerce environments where star ratings drive purchase, these preventable complaints directly erode conversion. The strategic opportunity is to shift from defending longevity claims to proactively educating on the longevity spectrum before purchase - turning a source of complaints into a differentiation axis where the brand demonstrates superior transparency.</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a 'Longevity Expectation System' across all touchpoints: (1) Add a clear visual longevity scale on packaging and e-commerce listings showing expected washes/weeks for each product tier. (2) Create comparison content ('Temporary vs Semi-Permanent vs Permanent - Which Is Right For You?') for YouTube and blog SEO targeting high-intent search queries. (3) Add post-purchase SMS/WhatsApp aftercare tips at Day 1, Week 1, and Week 3 after purchase (via e-commerce order data) that set realistic expectations and extend perceived longevity through care advice. (4) Train e-commerce customer service to proactively categorise longevity complaints as expectations-related vs. formulation-related for product development feedback.</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controlled experiment (n=200, random assignment to 'standard packaging' vs. 'longevity-educated packaging' with clear duration expectations) measuring post-use satisfaction scores and likelihood of leaving a negative review. Specific hypothesis: explicit longevity education reduces negative reviews attributable to fading by at least 30%.</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"Instant colour: Best for instant colour and easy to use stays long lasting and very useful"</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"Fantastic video, I haven't coloured my hair at home in years.  I used to put semi permanent hair colour in when I was at schools, so it wasn't to much of a hair colour change. Great video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should as it creates a coating. They use demi permanent for grey blending as well. Otherwise you can also opt for semi permanent colour which is also less damaging. I think a consultation at a good salon should give you the best info according to the result you want"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07. Trending Colours &amp; Fashion Influence</w:t>
      </w:r>
    </w:p>
    <w:p>
      <w:pPr>
        <w:spacing w:after="160"/>
      </w:pPr>
      <w:r>
        <w:rPr>
          <w:rFonts w:ascii="Lato" w:hAnsi="Lato"/>
          <w:b w:val="0"/>
          <w:i w:val="0"/>
          <w:color w:val="6B7280"/>
          <w:sz w:val="18"/>
        </w:rPr>
        <w:t>n=915</w:t>
      </w:r>
      <w:r>
        <w:rPr>
          <w:rFonts w:ascii="Lato" w:hAnsi="Lato"/>
          <w:b w:val="0"/>
          <w:i w:val="0"/>
          <w:color w:val="374151"/>
          <w:sz w:val="18"/>
        </w:rPr>
        <w:t xml:space="preserve">  |  Confidence: </w:t>
      </w:r>
      <w:r>
        <w:rPr>
          <w:rFonts w:ascii="Lato" w:hAnsi="Lato"/>
          <w:b/>
          <w:i w:val="0"/>
          <w:color w:val="D97706"/>
          <w:sz w:val="18"/>
        </w:rPr>
        <w:t>51%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10.2%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11.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Trending Colours &amp; Fashion Influence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Trending Colours &amp; Fashion Influence has 915 items (10.2% prevalence) with moderately positive sentiment (274 positive, 89 negative, 524 neutral, 28 mixed; NSS +20.2%). The high neutral count (57% of items) and coverage across all five platforms suggests this theme is dominated by aspirational browsing and trend-watching rather than purchase-related discussion.</w:t>
      </w:r>
    </w:p>
    <w:p>
      <w:pPr>
        <w:pStyle w:val="Heading3"/>
        <w:jc w:val="left"/>
      </w:pPr>
      <w:r>
        <w:rPr>
          <w:rFonts w:ascii="Lato" w:hAnsi="Lato"/>
          <w:b/>
          <w:color w:val="1E3A5F"/>
          <w:sz w:val="26"/>
        </w:rPr>
        <w:t>What it Means</w:t>
      </w:r>
    </w:p>
    <w:p>
      <w:pPr>
        <w:spacing w:after="120" w:before="0"/>
      </w:pPr>
      <w:r>
        <w:rPr>
          <w:rFonts w:ascii="Lato" w:hAnsi="Lato"/>
          <w:b w:val="0"/>
          <w:i w:val="0"/>
          <w:sz w:val="22"/>
        </w:rPr>
        <w:t>The trend colour conversation in India has a large aspiration-action gap. The 524 neutral items are predominantly consumers sharing, saving, and discussing trendy colours (pinks, blues, purples, silver, K-pop-inspired shades) without converting to purchase. This browsing behaviour functions as entertainment and identity signalling ('I have trendy taste') rather than purchase intent. The 89 negative mentions likely reflect consumers who attempted unconventional colours and experienced disappointment with results on dark Indian hair - a formulation challenge where most global trend colours are designed for pre-bleached light hair. The aspiration exists; the product-market fit does not.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trend colour segment represents a future growth vector as India's Gen Z comes of age with more permissive attitudes toward unconventional hair colour. Brands that solve the dark-hair formulation challenge now build early loyalty with a demographic that will colour their hair for 30+ years. Ignoring this segment cedes it to international brands (Manic Panic, Arctic Fox) that may enter the Indian market with existing trend credibility but poor India-specific formulation.</w:t>
      </w:r>
    </w:p>
    <w:p>
      <w:pPr>
        <w:pStyle w:val="Heading3"/>
        <w:jc w:val="left"/>
      </w:pPr>
      <w:r>
        <w:rPr>
          <w:rFonts w:ascii="Lato" w:hAnsi="Lato"/>
          <w:b/>
          <w:color w:val="1E3A5F"/>
          <w:sz w:val="26"/>
        </w:rPr>
        <w:t>Recommendation</w:t>
      </w:r>
    </w:p>
    <w:p>
      <w:pPr>
        <w:spacing w:after="120" w:before="0"/>
      </w:pPr>
      <w:r>
        <w:rPr>
          <w:rFonts w:ascii="Lato" w:hAnsi="Lato"/>
          <w:b w:val="0"/>
          <w:i w:val="0"/>
          <w:sz w:val="22"/>
        </w:rPr>
        <w:t>Address the aspiration-action gap with India-specific trend colour formulations: (1) Develop a 'Trend Lab' limited-edition line with 4-6 fashion colours specifically formulated for dark hair without requiring bleaching - position as the brand that 'makes trends work for Indian hair.' (2) Launch a quarterly 'Trending Now' social media campaign on Instagram and YouTube featuring Indian creators with diverse hair textures wearing the latest global colour trends, achieved with the brand's products. (3) Create a temporary/washable trend colour line (colour sprays, chalk, wax) as a low-commitment entry point for trend-curious consumers - this converts the 524 neutral browsers into trial users. (4) Partner with 2-3 K-pop or Bollywood fan communities for limited-edition shade releases tied to cultural moments.</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concept test (n=300, Gen Z and Millennials 18-30, online survey with product concept visuals) measuring purchase intent for a 'trend colour for dark hair' product line vs. existing options. Include a price sensitivity component. Specific question: 'If a brand offered fashion colours that worked on your natural dark hair without bleaching, how likely would you be to try it, and how much would you pay?'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"My boyfriend and I were just talking about this: brown isn’t a real color, its just a funky dark orange. Like when you paint skin tones, you use mostly yellow and red (then blue for shadows and balance)."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"@kathadtheworld ty i thought about doing that but i wanted it to stay for awhile. Also can i just say i used the shade "jade" and my hair turned bright neon blue everywhere that it was white 😑"</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"Very good product: Paradyes Comfi Purple gives a vibrant, bold purple shade that really stands out, especially on pre-lightened hair. The formula feels gentle and conditioning, leaving hair soft with minimal dryness. Color payoff is good, though it may fade slightly with frequent washes."</w:t>
      </w:r>
      <w:r>
        <w:rPr>
          <w:rFonts w:ascii="Lato" w:hAnsi="Lato"/>
          <w:b w:val="0"/>
          <w:i w:val="0"/>
          <w:color w:val="6B7280"/>
          <w:sz w:val="18"/>
        </w:rPr>
        <w:t xml:space="preserve">  - amazon</w:t>
      </w:r>
    </w:p>
    <w:p>
      <w:pPr>
        <w:spacing w:before="80" w:after="80"/>
        <w:pBdr>
          <w:bottom w:val="single" w:sz="4" w:space="1" w:color="6B7280"/>
        </w:pBdr>
      </w:pPr>
    </w:p>
    <w:p>
      <w:pPr>
        <w:pStyle w:val="Heading2"/>
        <w:jc w:val="left"/>
      </w:pPr>
      <w:r>
        <w:rPr>
          <w:rFonts w:ascii="Lato" w:hAnsi="Lato"/>
          <w:b/>
          <w:color w:val="1E3A5F"/>
          <w:sz w:val="32"/>
        </w:rPr>
        <w:t>08. Value &amp; Affordability</w:t>
      </w:r>
    </w:p>
    <w:p>
      <w:pPr>
        <w:spacing w:after="160"/>
      </w:pPr>
      <w:r>
        <w:rPr>
          <w:rFonts w:ascii="Lato" w:hAnsi="Lato"/>
          <w:b w:val="0"/>
          <w:i w:val="0"/>
          <w:color w:val="6B7280"/>
          <w:sz w:val="18"/>
        </w:rPr>
        <w:t>n=684</w:t>
      </w:r>
      <w:r>
        <w:rPr>
          <w:rFonts w:ascii="Lato" w:hAnsi="Lato"/>
          <w:b w:val="0"/>
          <w:i w:val="0"/>
          <w:color w:val="374151"/>
          <w:sz w:val="18"/>
        </w:rPr>
        <w:t xml:space="preserve">  |  Confidence: </w:t>
      </w:r>
      <w:r>
        <w:rPr>
          <w:rFonts w:ascii="Lato" w:hAnsi="Lato"/>
          <w:b/>
          <w:i w:val="0"/>
          <w:color w:val="D97706"/>
          <w:sz w:val="18"/>
        </w:rPr>
        <w:t>50%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7.6% of Dataset</w:t>
      </w:r>
      <w:r>
        <w:rPr>
          <w:rFonts w:ascii="Lato" w:hAnsi="Lato"/>
          <w:b w:val="0"/>
          <w:i w:val="0"/>
          <w:color w:val="6B7280"/>
          <w:sz w:val="18"/>
        </w:rPr>
        <w:t xml:space="preserve">  |  NSS: </w:t>
      </w:r>
      <w:r>
        <w:rPr>
          <w:rFonts w:ascii="Lato" w:hAnsi="Lato"/>
          <w:b/>
          <w:i w:val="0"/>
          <w:color w:val="059669"/>
          <w:sz w:val="18"/>
        </w:rPr>
        <w:t>+45%</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9.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Value &amp; Affordability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Value &amp; Affordability has 684 items (7.6% prevalence) with positive sentiment (397 positive, 90 negative, 169 neutral, 28 mixed; NSS +44.9%). Discussions span price sensitivity, salon vs. home cost comparisons, and value-for-money assessments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Price discussion in hair colour is not about absolute affordability - it is about cost-per-use justification. The high positive NSS (+44.9%) indicates that consumers who discuss price are largely satisfied with the value proposition, suggesting current price points are acceptable. The 90 negative mentions cluster around two distinct segments: (1) consumers comparing home colour cost to salon cost and finding the gap insufficient to justify DIY hassle, and (2) consumers comparing Indian brands to international brands and questioning the premium. The value equation is not 'is this affordable' but 'is the effort-to-savings ratio worth it compared to my alternatives.'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Price competition in hair colour is a race to the bottom that erodes margins without expanding the category. The insight that value is judged against effort-savings ratio means brands can increase perceived value by reducing application effort (simpler formats, less mess, faster processing) rather than by cutting price. The 397 positive mentions indicate a satisfied value segment that should not be disrupted with unnecessary price promotions.</w:t>
      </w:r>
    </w:p>
    <w:p>
      <w:pPr>
        <w:pStyle w:val="Heading3"/>
        <w:jc w:val="left"/>
      </w:pPr>
      <w:r>
        <w:rPr>
          <w:rFonts w:ascii="Lato" w:hAnsi="Lato"/>
          <w:b/>
          <w:color w:val="1E3A5F"/>
          <w:sz w:val="26"/>
        </w:rPr>
        <w:t>Recommendation</w:t>
      </w:r>
    </w:p>
    <w:p>
      <w:pPr>
        <w:spacing w:after="120" w:before="0"/>
      </w:pPr>
      <w:r>
        <w:rPr>
          <w:rFonts w:ascii="Lato" w:hAnsi="Lato"/>
          <w:b w:val="0"/>
          <w:i w:val="0"/>
          <w:sz w:val="22"/>
        </w:rPr>
        <w:t>Shift value communication from price-per-box to cost-per-use: (1) Add 'applications per box' prominently on packaging and e-commerce listings. (2) Create comparison content showing cost-per-colour-session at home vs. salon for specific metro cities (Mumbai, Delhi, Bangalore) with real salon price benchmarks. (3) Introduce multi-pack value bundles for loyal users who colour monthly (3-pack and 6-pack subscription options on e-commerce platforms). (4) For premium lines, emphasise time saved and professional-quality results rather than absolute price - the effort-to-savings ratio matters more than the price point.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price sensitivity analysis (Van Westendorp's Price Sensitivity Meter, n=300, active home hair colour users across income segments and metro/non-metro) to identify the optimal price point and the price thresholds at which consumers switch to salon visits or downgrade brands. Specific question: 'At what price point would home hair colour no longer be worth the effort compared to going to a salon?'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"Very useful product: Really happy with this purchase! The product arrived on time and was well packed. Quality is very good and it works exactly as described. Easy to use and gives a neat, natural finish. Totally worth the price. I would definitely recommend this to others and will repurchase if needed."</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"Could you offer any tips for promoting healthy hair growth after shaving the head?"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 did my legs, complete brazilian including scrotum, and armpits. I noticed a reduction in regrowth after the first treatment, and approx 60% reduction after 6 treatments. The pain is tolerable for the most part, but spots that hurt getting waxed also hurt getting lasered. I now have a Tria home laser and an epilator to keep myself smooth.</w:t>
        <w:br/>
        <w:br/>
        <w:t>It's not cheap, but if you've got the right skin/hair colour and are willing to spend the money, it's a great option for reducing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09. Brand Comparisons &amp; Recommendations</w:t>
      </w:r>
    </w:p>
    <w:p>
      <w:pPr>
        <w:spacing w:after="160"/>
      </w:pPr>
      <w:r>
        <w:rPr>
          <w:rFonts w:ascii="Lato" w:hAnsi="Lato"/>
          <w:b w:val="0"/>
          <w:i w:val="0"/>
          <w:color w:val="6B7280"/>
          <w:sz w:val="18"/>
        </w:rPr>
        <w:t>n=705</w:t>
      </w:r>
      <w:r>
        <w:rPr>
          <w:rFonts w:ascii="Lato" w:hAnsi="Lato"/>
          <w:b w:val="0"/>
          <w:i w:val="0"/>
          <w:color w:val="374151"/>
          <w:sz w:val="18"/>
        </w:rPr>
        <w:t xml:space="preserve">  |  Confidence: </w:t>
      </w:r>
      <w:r>
        <w:rPr>
          <w:rFonts w:ascii="Lato" w:hAnsi="Lato"/>
          <w:b/>
          <w:i w:val="0"/>
          <w:color w:val="6B7280"/>
          <w:sz w:val="18"/>
        </w:rPr>
        <w:t>49% (Directional)</w:t>
      </w:r>
      <w:r>
        <w:rPr>
          <w:rFonts w:ascii="Lato" w:hAnsi="Lato"/>
          <w:b w:val="0"/>
          <w:i w:val="0"/>
          <w:color w:val="374151"/>
          <w:sz w:val="18"/>
        </w:rPr>
        <w:t xml:space="preserve">  |  Signal: </w:t>
      </w:r>
      <w:r>
        <w:rPr>
          <w:rFonts w:ascii="Lato" w:hAnsi="Lato"/>
          <w:b/>
          <w:i w:val="0"/>
          <w:color w:val="374151"/>
          <w:sz w:val="18"/>
        </w:rPr>
        <w:t>54% (Moderate)</w:t>
      </w:r>
      <w:r>
        <w:rPr>
          <w:rFonts w:ascii="Lato" w:hAnsi="Lato"/>
          <w:b w:val="0"/>
          <w:i w:val="0"/>
          <w:color w:val="6B7280"/>
          <w:sz w:val="18"/>
        </w:rPr>
        <w:t xml:space="preserve">  |  7.9% of Dataset</w:t>
      </w:r>
      <w:r>
        <w:rPr>
          <w:rFonts w:ascii="Lato" w:hAnsi="Lato"/>
          <w:b w:val="0"/>
          <w:i w:val="0"/>
          <w:color w:val="6B7280"/>
          <w:sz w:val="18"/>
        </w:rPr>
        <w:t xml:space="preserve">  |  NSS: </w:t>
      </w:r>
      <w:r>
        <w:rPr>
          <w:rFonts w:ascii="Lato" w:hAnsi="Lato"/>
          <w:b/>
          <w:i w:val="0"/>
          <w:color w:val="059669"/>
          <w:sz w:val="18"/>
        </w:rPr>
        <w:t>+38%</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7.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Comparisons &amp; Recommendations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Comparisons &amp; Recommendations contains 705 items (7.9% prevalence) with positive sentiment (324 positive, 58 negative, 293 neutral, 30 mixed; NSS +37.7%). Key brands discussed include Godrej, Garnier, L'Oreal, Streax, Paradyes, Bigen, Nisha, Kokila, BBlunt, and Indica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Brand comparisons in Indian hair colour are not structured around product attributes - they follow a social proof hierarchy. Consumers recommend brands based on who else uses them (family members, friends, influencers) rather than ingredient lists or clinical evidence. The high neutral count (293 of 705) reflects comparison-shopping behaviour where consumers are actively soliciting recommendations, not evaluating products. This peer-recommendation dynamic means brand equity in this category is built through social networks rather than advertising reach. A brand recommended by a consumer's mother or sister carries more weight than any celebrity endorsement.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Traditional advertising ROI models undervalue word-of-mouth in this category. The 324 positive brand mentions represent organic advocates whose influence extends far beyond the individual post - each recommendation potentially influences a family network's brand choice for years. Brands that invest in creating recommendable experiences (not just satisfactory ones) capture this network effect. The risk for challenger brands is that incumbent brands (Godrej, Garnier) have multi-generational recommendation moats that cannot be broken with advertising spend alone.</w:t>
      </w:r>
    </w:p>
    <w:p>
      <w:pPr>
        <w:pStyle w:val="Heading3"/>
        <w:jc w:val="left"/>
      </w:pPr>
      <w:r>
        <w:rPr>
          <w:rFonts w:ascii="Lato" w:hAnsi="Lato"/>
          <w:b/>
          <w:color w:val="1E3A5F"/>
          <w:sz w:val="26"/>
        </w:rPr>
        <w:t>Recommendation</w:t>
      </w:r>
    </w:p>
    <w:p>
      <w:pPr>
        <w:spacing w:after="120" w:before="0"/>
      </w:pPr>
      <w:r>
        <w:rPr>
          <w:rFonts w:ascii="Lato" w:hAnsi="Lato"/>
          <w:b w:val="0"/>
          <w:i w:val="0"/>
          <w:sz w:val="22"/>
        </w:rPr>
        <w:t>Build a structured advocacy programme: (1) Launch a referral programme offering a free sample when a current user shares a personalised recommendation link with family or friends. (2) Create 'Mother-Daughter' and 'Family Colour Day' content for YouTube and Instagram that taps the intergenerational recommendation dynamic. (3) Seed product with 500 mid-tier micro-influencers (10K-100K followers) in Tier 2 and Tier 3 Indian cities where brand preferences are less entrenched. (4) Monitor brand comparison queries on Reddit, YouTube, and Quora and deploy community managers to provide helpful (non-promotional) responses within 24 hours.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social network analysis study (n=200 households, survey all adult members who colour hair about brand choice, recommendation source, and switching history) to map the intergenerational brand recommendation chains. Key question: 'Who first recommended the hair colour brand you currently use, and when?' to quantify the family influence effect and identify the primary recommendation source (mother, sister, friend, influencer, advertisement).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"Hi! I used to use igora royal 4-65 which I LOVED, but was discontinued 😢. I started using 4-60 and it covered my grey/silver well, but looks flat and wig-like.  Do you have a recommendation for a replacement? I picked up Ion from sally in 4G which has the same name as the 4-65 (medium chocolate gold) but the roots turned yellow metallic gold. Unsure what to do. Wondering if I could mix igora royal 4-6 and another shade to recreate the beautiful 4-65."</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"Product is amazing: The product was recived in good quality and it's good on application for someone who has grey roots it works well and easy to use... Will recommend this product to others too... It helped me a lot I am happy with the product..."</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"Yes, there are a few genuinely temporary options. Hair color sprays, hair chalks, and washable color creams from brands like L’Oréal Colorista, Streax Insta, and Manic Panic wash out in 1 to 3 washes depending on hair type."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Salon vs Home Colouring Debate</w:t>
      </w:r>
    </w:p>
    <w:p>
      <w:pPr>
        <w:spacing w:after="160"/>
      </w:pPr>
      <w:r>
        <w:rPr>
          <w:rFonts w:ascii="Lato" w:hAnsi="Lato"/>
          <w:b w:val="0"/>
          <w:i w:val="0"/>
          <w:color w:val="6B7280"/>
          <w:sz w:val="18"/>
        </w:rPr>
        <w:t>n=484</w:t>
      </w:r>
      <w:r>
        <w:rPr>
          <w:rFonts w:ascii="Lato" w:hAnsi="Lato"/>
          <w:b w:val="0"/>
          <w:i w:val="0"/>
          <w:color w:val="374151"/>
          <w:sz w:val="18"/>
        </w:rPr>
        <w:t xml:space="preserve">  |  Confidence: </w:t>
      </w:r>
      <w:r>
        <w:rPr>
          <w:rFonts w:ascii="Lato" w:hAnsi="Lato"/>
          <w:b/>
          <w:i w:val="0"/>
          <w:color w:val="6B7280"/>
          <w:sz w:val="18"/>
        </w:rPr>
        <w:t>49% (Directional)</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5.4% of Dataset</w:t>
      </w:r>
      <w:r>
        <w:rPr>
          <w:rFonts w:ascii="Lato" w:hAnsi="Lato"/>
          <w:b w:val="0"/>
          <w:i w:val="0"/>
          <w:color w:val="6B7280"/>
          <w:sz w:val="18"/>
        </w:rPr>
        <w:t xml:space="preserve">  |  NSS: </w:t>
      </w:r>
      <w:r>
        <w:rPr>
          <w:rFonts w:ascii="Lato" w:hAnsi="Lato"/>
          <w:b/>
          <w:i w:val="0"/>
          <w:color w:val="059669"/>
          <w:sz w:val="18"/>
        </w:rPr>
        <w:t>+43%</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0.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Salon vs Home Colouring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Salon vs Home Colouring Debate has 484 items (5.4% prevalence) with positive sentiment (266 positive, 57 negative, 121 neutral, 40 mixed; NSS +43.2%). The debate spans quality, cost, expertise, and convenience trade-offs across all five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The salon vs. home debate is not a product competition - it is a confidence threshold. Consumers who have mastered home colouring techniques speak positively about home products and dismiss salon costs; consumers who lack confidence frame salon visits as insurance against failure. The 40 mixed-sentiment items (8.3% of theme) are disproportionately high compared to the corpus average, indicating genuine ambivalence rather than settled opinion. This suggests a segment of consumers who oscillate between channels depending on the occasion - salon for visible events (weddings, festivals), home for routine maintenance. These dual-channel consumers represent the highest lifetime value in the category because they purchase both professional and retail products.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position home colour as 'just as good as salon' create an adversarial relationship with salon professionals who are key influencers. The strategic opportunity is to design for the dual-channel consumer - helping them get salon-quality results at home for maintenance while acknowledging that salon visits serve a different emotional need (pampering, expertise, occasion preparation). Brands that serve both channels capture a larger share of the consumer's total colour spend.</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'Between Salon Visits' product positioning for a select product range: (1) Partner with salon chains (Naturals, VLCC, Jawed Habib) to create co-branded root touch-up kits sold at salon reception desks for use between appointments. (2) Develop a salon-recommended home maintenance guide included with salon colour services, branded to the at-home product line. (3) Create YouTube content featuring salon professionals teaching at-home techniques - bridging rather than competing with the salon channel. (4) Introduce a 'Salon Match' shade finder that helps consumers buy the at-home product matching their salon shade formula.</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purchase diary study (n=100 women who use both salon and home colour, 6-month diary tracking each colour occasion) to map the decision triggers for choosing salon vs. home. Key question: 'For each colouring occasion, what made you choose salon vs. home, and how satisfied were you with the result relative to expectation?'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"Nice product: Customers find this hair dye to be salon-quality with a natural brown shade that provides perfect grey coverage and leaves hair looking healthy and vibrant. The product is free from ammonia and harsh chemicals, and customers appreciate its long-lasting color that fades gradually. They describe the application process as smooth and easy to use at home, while also noting that it makes hair shiny and gives a natural-looking finish."</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"Namaste mam Mari shadi hai mujhko beauty parlour Vali mam na botox karna ko kaha hai mujhko hair fall be hai please batahiya main Karu ya nahi danyvad mam ji"</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should as it creates a coating. They use demi permanent for grey blending as well. Otherwise you can also opt for semi permanent colour which is also less damaging. I think a consultation at a good salon should give you the best info according to the result you want"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11. Safety Concerns &amp; Chemical Sensitivity</w:t>
      </w:r>
    </w:p>
    <w:p>
      <w:pPr>
        <w:spacing w:after="160"/>
      </w:pPr>
      <w:r>
        <w:rPr>
          <w:rFonts w:ascii="Lato" w:hAnsi="Lato"/>
          <w:b w:val="0"/>
          <w:i w:val="0"/>
          <w:color w:val="6B7280"/>
          <w:sz w:val="18"/>
        </w:rPr>
        <w:t>n=753</w:t>
      </w:r>
      <w:r>
        <w:rPr>
          <w:rFonts w:ascii="Lato" w:hAnsi="Lato"/>
          <w:b w:val="0"/>
          <w:i w:val="0"/>
          <w:color w:val="374151"/>
          <w:sz w:val="18"/>
        </w:rPr>
        <w:t xml:space="preserve">  |  Confidence: </w:t>
      </w:r>
      <w:r>
        <w:rPr>
          <w:rFonts w:ascii="Lato" w:hAnsi="Lato"/>
          <w:b/>
          <w:i w:val="0"/>
          <w:color w:val="6B7280"/>
          <w:sz w:val="18"/>
        </w:rPr>
        <w:t>48% (Directional)</w:t>
      </w:r>
      <w:r>
        <w:rPr>
          <w:rFonts w:ascii="Lato" w:hAnsi="Lato"/>
          <w:b w:val="0"/>
          <w:i w:val="0"/>
          <w:color w:val="374151"/>
          <w:sz w:val="18"/>
        </w:rPr>
        <w:t xml:space="preserve">  |  Signal: </w:t>
      </w:r>
      <w:r>
        <w:rPr>
          <w:rFonts w:ascii="Lato" w:hAnsi="Lato"/>
          <w:b/>
          <w:i w:val="0"/>
          <w:color w:val="374151"/>
          <w:sz w:val="18"/>
        </w:rPr>
        <w:t>52% (Moderate)</w:t>
      </w:r>
      <w:r>
        <w:rPr>
          <w:rFonts w:ascii="Lato" w:hAnsi="Lato"/>
          <w:b w:val="0"/>
          <w:i w:val="0"/>
          <w:color w:val="6B7280"/>
          <w:sz w:val="18"/>
        </w:rPr>
        <w:t xml:space="preserve">  |  8.4% of Dataset</w:t>
      </w:r>
      <w:r>
        <w:rPr>
          <w:rFonts w:ascii="Lato" w:hAnsi="Lato"/>
          <w:b w:val="0"/>
          <w:i w:val="0"/>
          <w:color w:val="6B7280"/>
          <w:sz w:val="18"/>
        </w:rPr>
        <w:t xml:space="preserve">  |  NSS: </w:t>
      </w:r>
      <w:r>
        <w:rPr>
          <w:rFonts w:ascii="Lato" w:hAnsi="Lato"/>
          <w:b/>
          <w:i w:val="0"/>
          <w:color w:val="DC2626"/>
          <w:sz w:val="18"/>
        </w:rPr>
        <w:t>-13%</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3.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Safety Concerns &amp; Chemical Sensitivity</w:t>
      </w:r>
    </w:p>
    <w:p>
      <w:pPr>
        <w:pStyle w:val="Heading3"/>
        <w:jc w:val="left"/>
      </w:pPr>
      <w:r>
        <w:rPr>
          <w:rFonts w:ascii="Lato" w:hAnsi="Lato"/>
          <w:b/>
          <w:color w:val="1E3A5F"/>
          <w:sz w:val="26"/>
        </w:rPr>
        <w:t>What the Data Shows</w:t>
      </w:r>
    </w:p>
    <w:p>
      <w:pPr>
        <w:spacing w:after="120" w:before="0"/>
      </w:pPr>
      <w:r>
        <w:rPr>
          <w:rFonts w:ascii="Lato" w:hAnsi="Lato"/>
          <w:b w:val="0"/>
          <w:i w:val="0"/>
          <w:sz w:val="22"/>
        </w:rPr>
        <w:t>Safety Concerns &amp; Chemical Sensitivity contains 753 items (8.4% prevalence) and is the only major theme with net negative sentiment (278 positive, 373 negative, 61 neutral, 41 mixed; NSS -12.6%). This theme is flagged as contested, with active disagreement across all five platforms about the health effects of chemical dyes, PPD sensitivity, and ammonia damage.</w:t>
      </w:r>
    </w:p>
    <w:p>
      <w:pPr>
        <w:pStyle w:val="Heading3"/>
        <w:jc w:val="left"/>
      </w:pPr>
      <w:r>
        <w:rPr>
          <w:rFonts w:ascii="Lato" w:hAnsi="Lato"/>
          <w:b/>
          <w:color w:val="1E3A5F"/>
          <w:sz w:val="26"/>
        </w:rPr>
        <w:t>What it Means</w:t>
      </w:r>
    </w:p>
    <w:p>
      <w:pPr>
        <w:spacing w:after="120" w:before="0"/>
      </w:pPr>
      <w:r>
        <w:rPr>
          <w:rFonts w:ascii="Lato" w:hAnsi="Lato"/>
          <w:b w:val="0"/>
          <w:i w:val="0"/>
          <w:sz w:val="22"/>
        </w:rPr>
        <w:t>Safety concern in hair colour is not a single coherent fear - it is a spectrum ranging from clinically validated allergic reactions (PPD sensitivity, contact dermatitis) to unfounded anxieties (hair colour causing cancer, permanent scalp damage). Consumers cannot distinguish between these, and the contested nature of the conversation (negative NSS with active disagreement) suggests that misinformation and legitimate safety signals are entangled. The low neutral count (only 61 of 753) indicates this is a topic where consumers take strong positions rather than seeking balanced information - making it resistant to rational counter-messaging.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face a dilemma: ignoring safety concerns cedes the narrative to alarmist voices, but engaging directly risks amplifying fears. The contested nature means any brand communication enters a polarised environment where it will be challenged. The strategic risk is that safety concerns migrate from a niche worry (8.4% of corpus) to a mainstream purchase barrier if amplified by media or regulatory attention. The 373 negative mentions represent potential category detractors who may discourage others from colouring entirely.</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standalone safety resource hub (microsite + WhatsApp-shareable content) that addresses the top 5 safety concerns with dermatologist-backed evidence, clearly separating validated risks (patch test necessity, PPD allergy prevalence) from myths (permanent damage claims). Avoid placing this on the brand's main product pages where it could introduce doubt at point of purchase. Partner with 3-5 dermatologist influencers on Instagram and YouTube to create 'myth vs. fact' content. Implement mandatory patch test reminders in all packaging and digital touchpoints.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clinical evidence review (systematic literature review of hair dye adverse events in Indian populations, covering published studies 2015-2025) to establish the actual incidence rate of allergic reactions in the Indian market. Pair with a consumer survey (n=800, hair colour users and non-users) asking: 'Which of these health concerns about hair colour do you believe are true?' with a mix of validated and mythical claims, to quantify the misinformation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"Really covered my black hair: Really works on my hairs No side effects Really covered my black hair"</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"When I was growing up I wasn’t allowed to color my hair, but I got away with using lemon juice out in the sunlight - It’s AMAZING!!! If my hair got dry after (which it rarely did) I used coconut oil as an over night hair and scalp mask. I promise it works really well and lemons are natural so you don’t have to worry about chemistry and color theory! Just be careful for your scalp, lemon juice is very acidic and you can burn your skin depending on how your skin reacts."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"The video appears edited or staged for clicks-gray hair can't be permanently reversed in 5 minutes with egg, lemon, toothpaste, baby oil, and coconut oil. Scientifically, graying is due to melanin loss, and no natural mix instantly fixes it. Such claims are often misinformation; consult a dermatologist for real options."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Self-Expression &amp; Identity Through Hair Colour</w:t>
      </w:r>
    </w:p>
    <w:p>
      <w:pPr>
        <w:spacing w:after="160"/>
      </w:pPr>
      <w:r>
        <w:rPr>
          <w:rFonts w:ascii="Lato" w:hAnsi="Lato"/>
          <w:b w:val="0"/>
          <w:i w:val="0"/>
          <w:color w:val="6B7280"/>
          <w:sz w:val="18"/>
        </w:rPr>
        <w:t>n=308</w:t>
      </w:r>
      <w:r>
        <w:rPr>
          <w:rFonts w:ascii="Lato" w:hAnsi="Lato"/>
          <w:b w:val="0"/>
          <w:i w:val="0"/>
          <w:color w:val="374151"/>
          <w:sz w:val="18"/>
        </w:rPr>
        <w:t xml:space="preserve">  |  Confidence: </w:t>
      </w:r>
      <w:r>
        <w:rPr>
          <w:rFonts w:ascii="Lato" w:hAnsi="Lato"/>
          <w:b/>
          <w:i w:val="0"/>
          <w:color w:val="6B7280"/>
          <w:sz w:val="18"/>
        </w:rPr>
        <w:t>46% (Directional)</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3.4% of Dataset</w:t>
      </w:r>
      <w:r>
        <w:rPr>
          <w:rFonts w:ascii="Lato" w:hAnsi="Lato"/>
          <w:b w:val="0"/>
          <w:i w:val="0"/>
          <w:color w:val="6B7280"/>
          <w:sz w:val="18"/>
        </w:rPr>
        <w:t xml:space="preserve">  |  NSS: </w:t>
      </w:r>
      <w:r>
        <w:rPr>
          <w:rFonts w:ascii="Lato" w:hAnsi="Lato"/>
          <w:b/>
          <w:i w:val="0"/>
          <w:color w:val="059669"/>
          <w:sz w:val="18"/>
        </w:rPr>
        <w:t>+52%</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8.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Self-Expression &amp; Identity Through Hair Colour</w:t>
      </w:r>
    </w:p>
    <w:p>
      <w:pPr>
        <w:pStyle w:val="Heading3"/>
        <w:jc w:val="left"/>
      </w:pPr>
      <w:r>
        <w:rPr>
          <w:rFonts w:ascii="Lato" w:hAnsi="Lato"/>
          <w:b/>
          <w:color w:val="1E3A5F"/>
          <w:sz w:val="26"/>
        </w:rPr>
        <w:t>What the Data Shows</w:t>
      </w:r>
    </w:p>
    <w:p>
      <w:pPr>
        <w:spacing w:after="120" w:before="0"/>
      </w:pPr>
      <w:r>
        <w:rPr>
          <w:rFonts w:ascii="Lato" w:hAnsi="Lato"/>
          <w:b w:val="0"/>
          <w:i w:val="0"/>
          <w:sz w:val="22"/>
        </w:rPr>
        <w:t>Self-Expression &amp; Identity Through Hair Colour has 308 items (3.4% prevalence) with strongly positive sentiment (176 positive, 15 negative, 98 neutral, 19 mixed; NSS +52.3%). This is the second-highest NSS among all themes. The very low negative count (only 15 items) makes this the least contested theme in the corpus.</w:t>
      </w:r>
    </w:p>
    <w:p>
      <w:pPr>
        <w:pStyle w:val="Heading3"/>
        <w:jc w:val="left"/>
      </w:pPr>
      <w:r>
        <w:rPr>
          <w:rFonts w:ascii="Lato" w:hAnsi="Lato"/>
          <w:b/>
          <w:color w:val="1E3A5F"/>
          <w:sz w:val="26"/>
        </w:rPr>
        <w:t>What it Means</w:t>
      </w:r>
    </w:p>
    <w:p>
      <w:pPr>
        <w:spacing w:after="120" w:before="0"/>
      </w:pPr>
      <w:r>
        <w:rPr>
          <w:rFonts w:ascii="Lato" w:hAnsi="Lato"/>
          <w:b w:val="0"/>
          <w:i w:val="0"/>
          <w:sz w:val="22"/>
        </w:rPr>
        <w:t>Self-expression through hair colour in India operates in a permission-seeking frame rather than an assertion frame. Unlike Western markets where bold hair colour is an act of individual rebellion, Indian consumers frame colour choices as seeking permission from their social context - workplace acceptability, family approval, peer validation. The 176 positive mentions are overwhelmingly about receiving compliments and validation post-colouring, not about the act of self-expression itself. This means the emotional reward is social approval for the transformation, not autonomous self-expression. The near-absence of negative sentiment (15 items) suggests consumers who face social disapproval simply do not colour rather than colour-and-regret.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import Western 'be bold, be you' messaging for the Indian market may be targeting an aspiration that consumers do not actually hold. The opportunity is not in encouraging rebellion but in normalising colour choices by providing social proof that specific shades are workplace-appropriate, family-approved, and occasion-suitable. This is a distinct positioning from both the grey coverage segment (anxiety-driven) and the trend segment (fashion-driven).</w:t>
      </w:r>
    </w:p>
    <w:p>
      <w:pPr>
        <w:pStyle w:val="Heading3"/>
        <w:jc w:val="left"/>
      </w:pPr>
      <w:r>
        <w:rPr>
          <w:rFonts w:ascii="Lato" w:hAnsi="Lato"/>
          <w:b/>
          <w:color w:val="1E3A5F"/>
          <w:sz w:val="26"/>
        </w:rPr>
        <w:t>Recommendation</w:t>
      </w:r>
    </w:p>
    <w:p>
      <w:pPr>
        <w:spacing w:after="120" w:before="0"/>
      </w:pPr>
      <w:r>
        <w:rPr>
          <w:rFonts w:ascii="Lato" w:hAnsi="Lato"/>
          <w:b w:val="0"/>
          <w:i w:val="0"/>
          <w:sz w:val="22"/>
        </w:rPr>
        <w:t>Develop 'Colour Confidence' campaign content showing hair colour in socially validated Indian contexts: office presentations, family gatherings, festive occasions, and job interviews. Feature real consumers (not celebrities) in relatable settings receiving positive reactions. Create a shade recommendation engine organised by occasion and social context ('Professional Meetings', 'Wedding Season', 'College Life') rather than by colour spectrum. Deploy on Instagram and YouTube with testimonial-style content emphasising social validation received after colouring.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in-depth interviews (n=25, women 20-40 who have coloured their hair in the past year, across metros and Tier 2 cities) exploring the social negotiation process around hair colour decisions. Key question: 'Walk me through the conversation you had with family/friends/colleagues before and after your last hair colour change - what feedback did you receive and how did it affect your next choice?'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"Probably wont be changing my hair until I get paid this month, but I will have a new look by the end of this month that is for sure!"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"Very good product: Paradyes Comfi Purple gives a vibrant, bold purple shade that really stands out, especially on pre-lightened hair. The formula feels gentle and conditioning, leaving hair soft with minimal dryness. Color payoff is good, though it may fade slightly with frequent washes."</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 Transform your look with Majanta Hair Colouring - a bold blend of richness and vibrance! 🌸💜 From subtle highlights to full coverage, it gives your hair a silky shine 🌟 and long-lasting colour 💎🔥. Perfect for anyone who loves to stand out with elegance and style! 💃🌹</w:t>
        <w:br/>
        <w:br/>
        <w:t>For more content, subscribe to my YouTube channel."</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13. Post-Colour Hair Damage &amp; Repair</w:t>
      </w:r>
    </w:p>
    <w:p>
      <w:pPr>
        <w:spacing w:after="160"/>
      </w:pPr>
      <w:r>
        <w:rPr>
          <w:rFonts w:ascii="Lato" w:hAnsi="Lato"/>
          <w:b w:val="0"/>
          <w:i w:val="0"/>
          <w:color w:val="6B7280"/>
          <w:sz w:val="18"/>
        </w:rPr>
        <w:t>n=348</w:t>
      </w:r>
      <w:r>
        <w:rPr>
          <w:rFonts w:ascii="Lato" w:hAnsi="Lato"/>
          <w:b w:val="0"/>
          <w:i w:val="0"/>
          <w:color w:val="374151"/>
          <w:sz w:val="18"/>
        </w:rPr>
        <w:t xml:space="preserve">  |  Confidence: </w:t>
      </w:r>
      <w:r>
        <w:rPr>
          <w:rFonts w:ascii="Lato" w:hAnsi="Lato"/>
          <w:b/>
          <w:i w:val="0"/>
          <w:color w:val="6B7280"/>
          <w:sz w:val="18"/>
        </w:rPr>
        <w:t>45% (Directional)</w:t>
      </w:r>
      <w:r>
        <w:rPr>
          <w:rFonts w:ascii="Lato" w:hAnsi="Lato"/>
          <w:b w:val="0"/>
          <w:i w:val="0"/>
          <w:color w:val="374151"/>
          <w:sz w:val="18"/>
        </w:rPr>
        <w:t xml:space="preserve">  |  Signal: </w:t>
      </w:r>
      <w:r>
        <w:rPr>
          <w:rFonts w:ascii="Lato" w:hAnsi="Lato"/>
          <w:b/>
          <w:i w:val="0"/>
          <w:color w:val="374151"/>
          <w:sz w:val="18"/>
        </w:rPr>
        <w:t>56% (Moderate)</w:t>
      </w:r>
      <w:r>
        <w:rPr>
          <w:rFonts w:ascii="Lato" w:hAnsi="Lato"/>
          <w:b w:val="0"/>
          <w:i w:val="0"/>
          <w:color w:val="6B7280"/>
          <w:sz w:val="18"/>
        </w:rPr>
        <w:t xml:space="preserve">  |  3.9% of Dataset</w:t>
      </w:r>
      <w:r>
        <w:rPr>
          <w:rFonts w:ascii="Lato" w:hAnsi="Lato"/>
          <w:b w:val="0"/>
          <w:i w:val="0"/>
          <w:color w:val="6B7280"/>
          <w:sz w:val="18"/>
        </w:rPr>
        <w:t xml:space="preserve">  |  NSS: </w:t>
      </w:r>
      <w:r>
        <w:rPr>
          <w:rFonts w:ascii="Lato" w:hAnsi="Lato"/>
          <w:b/>
          <w:i w:val="0"/>
          <w:color w:val="059669"/>
          <w:sz w:val="18"/>
        </w:rPr>
        <w:t>+18%</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5.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Post-Colour Hair Damage &amp; Repair</w:t>
      </w:r>
    </w:p>
    <w:p>
      <w:pPr>
        <w:pStyle w:val="Heading3"/>
        <w:jc w:val="left"/>
      </w:pPr>
      <w:r>
        <w:rPr>
          <w:rFonts w:ascii="Lato" w:hAnsi="Lato"/>
          <w:b/>
          <w:color w:val="1E3A5F"/>
          <w:sz w:val="26"/>
        </w:rPr>
        <w:t>What the Data Shows</w:t>
      </w:r>
    </w:p>
    <w:p>
      <w:pPr>
        <w:spacing w:after="120" w:before="0"/>
      </w:pPr>
      <w:r>
        <w:rPr>
          <w:rFonts w:ascii="Lato" w:hAnsi="Lato"/>
          <w:b w:val="0"/>
          <w:i w:val="0"/>
          <w:sz w:val="22"/>
        </w:rPr>
        <w:t>Post-Colour Hair Damage &amp; Repair has 348 items (3.9% prevalence) with the most divided sentiment of any non-contested theme (152 positive, 91 negative, 70 neutral, 35 mixed; NSS +17.5%). Flagged as contested, with the highest mixed proportion (10.1%) and low neutral proportion (20.1%) indicating active polarisation. Covers bleach damage, breakage, dryness, hair fall after dyeing, and repair solutions.</w:t>
      </w:r>
    </w:p>
    <w:p>
      <w:pPr>
        <w:pStyle w:val="Heading3"/>
        <w:jc w:val="left"/>
      </w:pPr>
      <w:r>
        <w:rPr>
          <w:rFonts w:ascii="Lato" w:hAnsi="Lato"/>
          <w:b/>
          <w:color w:val="1E3A5F"/>
          <w:sz w:val="26"/>
        </w:rPr>
        <w:t>What it Means</w:t>
      </w:r>
    </w:p>
    <w:p>
      <w:pPr>
        <w:spacing w:after="120" w:before="0"/>
      </w:pPr>
      <w:r>
        <w:rPr>
          <w:rFonts w:ascii="Lato" w:hAnsi="Lato"/>
          <w:b w:val="0"/>
          <w:i w:val="0"/>
          <w:sz w:val="22"/>
        </w:rPr>
        <w:t>The damage conversation reveals a fundamental attribution error in the category: consumers blame the colour product for damage that is primarily caused by bleaching, over-processing, and poor aftercare - but they do not distinguish between these causes. The 152 positive items are consumers who found effective repair products or techniques, not consumers who had damage-free colouring experiences. This means 'damage' is being treated as an inevitable consequence of colouring rather than a preventable outcome. The 35 mixed-sentiment items (10.1%, the highest mixed proportion in the corpus) reflect consumers who love their colour result but resent the damage cost - a genuine value conflict that cannot be resolved by either better colour or better repair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Hair colour brands are losing consumers to category exit - some consumers stop colouring entirely because they believe damage is unavoidable. This is a category health threat, not just a brand challenge. The brands that proactively address damage prevention (not just damage repair) reduce category exit and increase lifetime colouring frequency. The opportunity is to reposition hair colour from a category that 'costs' hair health to one that 'includes' hair health.</w:t>
      </w:r>
    </w:p>
    <w:p>
      <w:pPr>
        <w:pStyle w:val="Heading3"/>
        <w:jc w:val="left"/>
      </w:pPr>
      <w:r>
        <w:rPr>
          <w:rFonts w:ascii="Lato" w:hAnsi="Lato"/>
          <w:b/>
          <w:color w:val="1E3A5F"/>
          <w:sz w:val="26"/>
        </w:rPr>
        <w:t>Recommendation</w:t>
      </w:r>
    </w:p>
    <w:p>
      <w:pPr>
        <w:spacing w:after="120" w:before="0"/>
      </w:pPr>
      <w:r>
        <w:rPr>
          <w:rFonts w:ascii="Lato" w:hAnsi="Lato"/>
          <w:b w:val="0"/>
          <w:i w:val="0"/>
          <w:sz w:val="22"/>
        </w:rPr>
        <w:t>Integrate damage prevention into the colouring product itself: (1) Launch a 'Colour + Care' range where every colour product includes a pre-colour protector and post-colour conditioner in the same box - not as a separate purchase but as an integral part of the colour system. (2) Add 'hair health score' language on packaging and e-commerce (e.g., 'Contains Bond Repair Technology' or equivalent) that signals the brand takes damage seriously. (3) Create a hair health content series on YouTube and Instagram featuring trichologists explaining how to colour without damage, including bleach-specific guidance for trend colour users. (4) Develop a post-colour care regimen card (physical in-box and digital via QR code) with week-by-week aftercare instructions customised to the colour type used.</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longitudinal hair health study (n=50, controlled groups using the brand's colour with and without the proposed pre/post-colour care system, measured at 0, 2, 4, and 8 weeks post-colouring) using standardised hair tensile strength and moisture measurements. Specific question: 'Does integrating a pre-colour protector and post-colour conditioner produce measurably less damage than the colour product alone?'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"Reduces dryness and frizz. Makes hair smooth and manageable. Prevents split ends and breakage with GO RICHH HAIR CONDITIONER from Planet aurveda"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"@ziyu_zp I hope Ziyu will consider wearing a wig instead of coloring her hair often, Bcs if dye your hair too often it will damage hair (such as causing prolonged hair loss)🥹🙏🏻"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"Colouring your hair won’t really make your hair white so don’t worry about it. Ofc there will be some damage but if you go to a good salon and they use it with some protection like olaplex then you will have minimal damage. And maintenance is really important."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14. Beard &amp; Men's Grooming Colour</w:t>
      </w:r>
    </w:p>
    <w:p>
      <w:pPr>
        <w:spacing w:after="160"/>
      </w:pPr>
      <w:r>
        <w:rPr>
          <w:rFonts w:ascii="Lato" w:hAnsi="Lato"/>
          <w:b w:val="0"/>
          <w:i w:val="0"/>
          <w:color w:val="6B7280"/>
          <w:sz w:val="18"/>
        </w:rPr>
        <w:t>n=223</w:t>
      </w:r>
      <w:r>
        <w:rPr>
          <w:rFonts w:ascii="Lato" w:hAnsi="Lato"/>
          <w:b w:val="0"/>
          <w:i w:val="0"/>
          <w:color w:val="374151"/>
          <w:sz w:val="18"/>
        </w:rPr>
        <w:t xml:space="preserve">  |  Confidence: </w:t>
      </w:r>
      <w:r>
        <w:rPr>
          <w:rFonts w:ascii="Lato" w:hAnsi="Lato"/>
          <w:b/>
          <w:i w:val="0"/>
          <w:color w:val="6B7280"/>
          <w:sz w:val="18"/>
        </w:rPr>
        <w:t>44% (Directional)</w:t>
      </w:r>
      <w:r>
        <w:rPr>
          <w:rFonts w:ascii="Lato" w:hAnsi="Lato"/>
          <w:b w:val="0"/>
          <w:i w:val="0"/>
          <w:color w:val="374151"/>
          <w:sz w:val="18"/>
        </w:rPr>
        <w:t xml:space="preserve">  |  Signal: </w:t>
      </w:r>
      <w:r>
        <w:rPr>
          <w:rFonts w:ascii="Lato" w:hAnsi="Lato"/>
          <w:b/>
          <w:i w:val="0"/>
          <w:color w:val="374151"/>
          <w:sz w:val="18"/>
        </w:rPr>
        <w:t>52% (Moderate)</w:t>
      </w:r>
      <w:r>
        <w:rPr>
          <w:rFonts w:ascii="Lato" w:hAnsi="Lato"/>
          <w:b w:val="0"/>
          <w:i w:val="0"/>
          <w:color w:val="6B7280"/>
          <w:sz w:val="18"/>
        </w:rPr>
        <w:t xml:space="preserve">  |  2.5%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13.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Beard &amp; Men's Grooming Colour</w:t>
      </w:r>
    </w:p>
    <w:p>
      <w:pPr>
        <w:pStyle w:val="Heading3"/>
        <w:jc w:val="left"/>
      </w:pPr>
      <w:r>
        <w:rPr>
          <w:rFonts w:ascii="Lato" w:hAnsi="Lato"/>
          <w:b/>
          <w:color w:val="1E3A5F"/>
          <w:sz w:val="26"/>
        </w:rPr>
        <w:t>What the Data Shows</w:t>
      </w:r>
    </w:p>
    <w:p>
      <w:pPr>
        <w:spacing w:after="120" w:before="0"/>
      </w:pPr>
      <w:r>
        <w:rPr>
          <w:rFonts w:ascii="Lato" w:hAnsi="Lato"/>
          <w:b w:val="0"/>
          <w:i w:val="0"/>
          <w:sz w:val="22"/>
        </w:rPr>
        <w:t>Beard &amp; Men's Grooming Colour has 223 items (2.5% prevalence) with positive sentiment (105 positive, 22 negative, 80 neutral, 16 mixed; NSS +37.2%). Present across all five platforms despite representing a small segment. Covers beard dyeing, men's grey coverage, and moustache colour.</w:t>
      </w:r>
    </w:p>
    <w:p>
      <w:pPr>
        <w:pStyle w:val="Heading3"/>
        <w:jc w:val="left"/>
      </w:pPr>
      <w:r>
        <w:rPr>
          <w:rFonts w:ascii="Lato" w:hAnsi="Lato"/>
          <w:b/>
          <w:color w:val="1E3A5F"/>
          <w:sz w:val="26"/>
        </w:rPr>
        <w:t>What it Means</w:t>
      </w:r>
    </w:p>
    <w:p>
      <w:pPr>
        <w:spacing w:after="120" w:before="0"/>
      </w:pPr>
      <w:r>
        <w:rPr>
          <w:rFonts w:ascii="Lato" w:hAnsi="Lato"/>
          <w:b w:val="0"/>
          <w:i w:val="0"/>
          <w:sz w:val="22"/>
        </w:rPr>
        <w:t>Men's grooming colour is a category that exists in practice but barely exists in marketing. The 223 items reveal an active consumer segment that is largely serving itself with women's products or generic unisex products. The 80 neutral items indicate men actively seeking product recommendations and guidance - a demand signal for a segment that most brands address as an afterthought SKU rather than a dedicated proposition. Men's colour needs are functionally distinct from women's (coarser hair texture, facial skin sensitivity, shorter processing time preference, different concealment goals - looking naturally dark vs. covering grey), but the market offers few products designed for these needs.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men's grooming colour segment is underserved relative to demand. With 2.5% of corpus and growing male grooming consciousness in India, this represents an early-mover opportunity. Brands that launch dedicated men's colour lines now establish category ownership before the segment matures. The risk of inaction is that a new entrant (possibly from the men's grooming space - Bombay Shaving Company, The Man Company) captures this segment with a purpose-built proposition while hair colour incumbents treat it as an afterthought.</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dedicated men's colour sub-brand or range: (1) Develop 3-5 beard and head colour SKUs with male-specific formulation (faster processing time under 10 minutes, natural-looking coverage rather than full colour change, reduced fragrance). (2) Distribute through men's grooming channels - barbershops, men's grooming e-commerce sections, and men's lifestyle influencer partnerships. (3) Create tutorial content specifically for men on YouTube (beard dyeing technique, quick grey coverage before meetings) featuring male creators in the 25-45 demographic. (4) Price competitively against existing men's grooming products, not against women's hair colour. (5) Position with masculine occasions and needs - professional appearance, wedding preparation, confidence for dating.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demand assessment survey (n=400, men 25-50 in Indian metros, screened for beard/moustache or head hair greying) measuring current product usage, unmet needs, and purchase intent for a dedicated men's colour range. Key question: 'What product are you currently using to colour your beard/hair, and what would an ideal product designed specifically for men look like?'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"@cherilee3941 do you know which product and color?  It seems they make a beard dye &amp; hair dye and I’d love to get the same color as she shows"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"@brownfrogs IT MAY OR MAY NOT BE FOR MY BEAUTIFUL MEL BROWNFROGS...................TWIRLS MUSTACHE"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"Good for facial Hair removal: This wax work amazingly Easy to use I love it's snap ... No hassle..👍"</w:t>
      </w:r>
      <w:r>
        <w:rPr>
          <w:rFonts w:ascii="Lato" w:hAnsi="Lato"/>
          <w:b w:val="0"/>
          <w:i w:val="0"/>
          <w:color w:val="6B7280"/>
          <w:sz w:val="18"/>
        </w:rPr>
        <w:t xml:space="preserve">  - amazon</w:t>
      </w:r>
    </w:p>
    <w:p>
      <w:pPr>
        <w:spacing w:before="80" w:after="80"/>
        <w:pBdr>
          <w:bottom w:val="single" w:sz="4" w:space="1" w:color="6B7280"/>
        </w:pBdr>
      </w:pPr>
    </w:p>
    <w:p>
      <w:pPr>
        <w:pStyle w:val="Heading2"/>
        <w:jc w:val="left"/>
      </w:pPr>
      <w:r>
        <w:rPr>
          <w:rFonts w:ascii="Lato" w:hAnsi="Lato"/>
          <w:b/>
          <w:color w:val="1E3A5F"/>
          <w:sz w:val="32"/>
        </w:rPr>
        <w:t>15. Colour Transfer &amp; Staining</w:t>
      </w:r>
    </w:p>
    <w:p>
      <w:pPr>
        <w:spacing w:after="160"/>
      </w:pPr>
      <w:r>
        <w:rPr>
          <w:rFonts w:ascii="Lato" w:hAnsi="Lato"/>
          <w:b w:val="0"/>
          <w:i w:val="0"/>
          <w:color w:val="6B7280"/>
          <w:sz w:val="18"/>
        </w:rPr>
        <w:t>n=52</w:t>
      </w:r>
      <w:r>
        <w:rPr>
          <w:rFonts w:ascii="Lato" w:hAnsi="Lato"/>
          <w:b w:val="0"/>
          <w:i w:val="0"/>
          <w:color w:val="374151"/>
          <w:sz w:val="18"/>
        </w:rPr>
        <w:t xml:space="preserve">  |  Confidence: </w:t>
      </w:r>
      <w:r>
        <w:rPr>
          <w:rFonts w:ascii="Lato" w:hAnsi="Lato"/>
          <w:b/>
          <w:i w:val="0"/>
          <w:color w:val="6B7280"/>
          <w:sz w:val="18"/>
        </w:rPr>
        <w:t>41% (Directional)</w:t>
      </w:r>
      <w:r>
        <w:rPr>
          <w:rFonts w:ascii="Lato" w:hAnsi="Lato"/>
          <w:b w:val="0"/>
          <w:i w:val="0"/>
          <w:color w:val="374151"/>
          <w:sz w:val="18"/>
        </w:rPr>
        <w:t xml:space="preserve">  |  Signal: </w:t>
      </w:r>
      <w:r>
        <w:rPr>
          <w:rFonts w:ascii="Lato" w:hAnsi="Lato"/>
          <w:b/>
          <w:i w:val="0"/>
          <w:color w:val="374151"/>
          <w:sz w:val="18"/>
        </w:rPr>
        <w:t>29% (Weak)</w:t>
      </w:r>
      <w:r>
        <w:rPr>
          <w:rFonts w:ascii="Lato" w:hAnsi="Lato"/>
          <w:b w:val="0"/>
          <w:i w:val="0"/>
          <w:color w:val="6B7280"/>
          <w:sz w:val="18"/>
        </w:rPr>
        <w:t xml:space="preserve">  |  0.6%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6.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Colour Transfer &amp; Staining</w:t>
      </w:r>
    </w:p>
    <w:p>
      <w:pPr>
        <w:pStyle w:val="Heading3"/>
        <w:jc w:val="left"/>
      </w:pPr>
      <w:r>
        <w:rPr>
          <w:rFonts w:ascii="Lato" w:hAnsi="Lato"/>
          <w:b/>
          <w:color w:val="1E3A5F"/>
          <w:sz w:val="26"/>
        </w:rPr>
        <w:t>What the Data Shows</w:t>
      </w:r>
    </w:p>
    <w:p>
      <w:pPr>
        <w:spacing w:after="120" w:before="0"/>
      </w:pPr>
      <w:r>
        <w:rPr>
          <w:rFonts w:ascii="Lato" w:hAnsi="Lato"/>
          <w:b w:val="0"/>
          <w:i w:val="0"/>
          <w:sz w:val="22"/>
        </w:rPr>
        <w:t>Colour Transfer &amp; Staining has only 52 items (0.6% prevalence) with positive-leaning sentiment (25 positive, 15 negative, 11 neutral, 1 mixed; NSS +19.2%). Flagged as contested. Present across all five platforms despite very small volume. Covers dye staining skin, clothes, pillows, and sinks.</w:t>
      </w:r>
    </w:p>
    <w:p>
      <w:pPr>
        <w:pStyle w:val="Heading3"/>
        <w:jc w:val="left"/>
      </w:pPr>
      <w:r>
        <w:rPr>
          <w:rFonts w:ascii="Lato" w:hAnsi="Lato"/>
          <w:b/>
          <w:color w:val="1E3A5F"/>
          <w:sz w:val="26"/>
        </w:rPr>
        <w:t>What it Means</w:t>
      </w:r>
    </w:p>
    <w:p>
      <w:pPr>
        <w:spacing w:after="120" w:before="0"/>
      </w:pPr>
      <w:r>
        <w:rPr>
          <w:rFonts w:ascii="Lato" w:hAnsi="Lato"/>
          <w:b w:val="0"/>
          <w:i w:val="0"/>
          <w:sz w:val="22"/>
        </w:rPr>
        <w:t>Despite being the smallest theme, staining functions as a disproportionate barrier to repurchase and recommendation. The 15 negative mentions in a 52-item theme (28.8% negative rate - well above the corpus average of 11.9%) indicate concentrated dissatisfaction. Staining is a 'hygiene factor' in the Herzberg sense - resolving it does not generate delight, but failing at it generates outsized frustration. The positive items (25) are likely consumers celebrating stain-free products or sharing stain removal tips - meaning even positive staining conversation is framed around a problem to be solved rather than a benefit to be enjoyed.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Staining may appear insignificant at 0.6% prevalence but it has a multiplier effect through the DIY experience theme (THM_04, 41.6%). Every staining incident during home colouring degrades the DIY experience and pushes consumers toward salon visits or category exit. Solving staining is a low-glamour, high-impact engineering challenge that most brands deprioritise in favour of shade innovation or marketing. The brand that demonstrably solves staining gains a quiet but powerful competitive advantage in consumer retention.</w:t>
      </w:r>
    </w:p>
    <w:p>
      <w:pPr>
        <w:pStyle w:val="Heading3"/>
        <w:jc w:val="left"/>
      </w:pPr>
      <w:r>
        <w:rPr>
          <w:rFonts w:ascii="Lato" w:hAnsi="Lato"/>
          <w:b/>
          <w:color w:val="1E3A5F"/>
          <w:sz w:val="26"/>
        </w:rPr>
        <w:t>Recommendation</w:t>
      </w:r>
    </w:p>
    <w:p>
      <w:pPr>
        <w:spacing w:after="120" w:before="0"/>
      </w:pPr>
      <w:r>
        <w:rPr>
          <w:rFonts w:ascii="Lato" w:hAnsi="Lato"/>
          <w:b w:val="0"/>
          <w:i w:val="0"/>
          <w:sz w:val="22"/>
        </w:rPr>
        <w:t>Address staining as a product engineering priority: (1) Include a 'stain guard' barrier cream sachet in every at-home colour kit for skin protection along hairline and ears. (2) Develop and market a colour-specific stain remover product (wipe format) sold as an accessory to colour kits. (3) Add clear stain prevention instructions with illustrations to in-pack guides and QR-linked video tutorials. (4) Test and certify 'low transfer' claims for pillow and clothing staining - if formulation allows, make this a marketing claim on packaging. (5) Feature 'no mess' as a key purchase driver in e-commerce product titles and A+ content, targeting the search terms consumers actually use when frustrated with staining.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product benchmarking test (controlled lab setting, n=30, comparing staining performance of 5 leading Indian hair colour brands on standardised fabric swatches and skin simulants) to establish a staining performance baseline. Specific question: 'Which brands and formats produce the least transfer to skin and fabric at 24 and 48 hours post-application?'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"Need to improve a bit: Pros - Good coverage for short Greys. Cons - The black crayon falls off from the tube easily so you have to be very careful while opening the tube. Secondly, it is not transfer-proof. The colour will transfer to your fingers if you touch it after applying."</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 xml:space="preserve">"it does bleed kaya don’t wear white or use white towel when dyeing. if u need to wear white, make sure your hair is dry enough~ use hair care products kasi it can be really drying. </w:t>
        <w:br/>
        <w:br/>
        <w:t>u can message me if may question kayo hehehe"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 have thick, wavy hair and it works well- you just have to wet the bar before using it. I typically rub it with water until it gets slippery and then swipe the bar directly onto my hair. Then, I rub it with water again to get it on my fingers and finger comb my hair with it."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16. Grey Hair Misinformation &amp; Miracle Claims</w:t>
      </w:r>
    </w:p>
    <w:p>
      <w:pPr>
        <w:spacing w:after="160"/>
      </w:pPr>
      <w:r>
        <w:rPr>
          <w:rFonts w:ascii="Lato" w:hAnsi="Lato"/>
          <w:b w:val="0"/>
          <w:i w:val="0"/>
          <w:color w:val="6B7280"/>
          <w:sz w:val="18"/>
        </w:rPr>
        <w:t>n=86</w:t>
      </w:r>
      <w:r>
        <w:rPr>
          <w:rFonts w:ascii="Lato" w:hAnsi="Lato"/>
          <w:b w:val="0"/>
          <w:i w:val="0"/>
          <w:color w:val="374151"/>
          <w:sz w:val="18"/>
        </w:rPr>
        <w:t xml:space="preserve">  |  Confidence: </w:t>
      </w:r>
      <w:r>
        <w:rPr>
          <w:rFonts w:ascii="Lato" w:hAnsi="Lato"/>
          <w:b/>
          <w:i w:val="0"/>
          <w:color w:val="6B7280"/>
          <w:sz w:val="18"/>
        </w:rPr>
        <w:t>40% (Directional)</w:t>
      </w:r>
      <w:r>
        <w:rPr>
          <w:rFonts w:ascii="Lato" w:hAnsi="Lato"/>
          <w:b w:val="0"/>
          <w:i w:val="0"/>
          <w:color w:val="374151"/>
          <w:sz w:val="18"/>
        </w:rPr>
        <w:t xml:space="preserve">  |  Signal: </w:t>
      </w:r>
      <w:r>
        <w:rPr>
          <w:rFonts w:ascii="Lato" w:hAnsi="Lato"/>
          <w:b/>
          <w:i w:val="0"/>
          <w:color w:val="374151"/>
          <w:sz w:val="18"/>
        </w:rPr>
        <w:t>43% (Weak)</w:t>
      </w:r>
      <w:r>
        <w:rPr>
          <w:rFonts w:ascii="Lato" w:hAnsi="Lato"/>
          <w:b w:val="0"/>
          <w:i w:val="0"/>
          <w:color w:val="6B7280"/>
          <w:sz w:val="18"/>
        </w:rPr>
        <w:t xml:space="preserve">  |  1.0% of Dataset</w:t>
      </w:r>
      <w:r>
        <w:rPr>
          <w:rFonts w:ascii="Lato" w:hAnsi="Lato"/>
          <w:b w:val="0"/>
          <w:i w:val="0"/>
          <w:color w:val="6B7280"/>
          <w:sz w:val="18"/>
        </w:rPr>
        <w:t xml:space="preserve">  |  NSS: </w:t>
      </w:r>
      <w:r>
        <w:rPr>
          <w:rFonts w:ascii="Lato" w:hAnsi="Lato"/>
          <w:b/>
          <w:i w:val="0"/>
          <w:color w:val="059669"/>
          <w:sz w:val="18"/>
        </w:rPr>
        <w:t>+43%</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12.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Grey Hair Misinformation &amp; Miracle Claims</w:t>
      </w:r>
    </w:p>
    <w:p>
      <w:pPr>
        <w:pStyle w:val="Heading3"/>
        <w:jc w:val="left"/>
      </w:pPr>
      <w:r>
        <w:rPr>
          <w:rFonts w:ascii="Lato" w:hAnsi="Lato"/>
          <w:b/>
          <w:color w:val="1E3A5F"/>
          <w:sz w:val="26"/>
        </w:rPr>
        <w:t>What the Data Shows</w:t>
      </w:r>
    </w:p>
    <w:p>
      <w:pPr>
        <w:spacing w:after="120" w:before="0"/>
      </w:pPr>
      <w:r>
        <w:rPr>
          <w:rFonts w:ascii="Lato" w:hAnsi="Lato"/>
          <w:b w:val="0"/>
          <w:i w:val="0"/>
          <w:sz w:val="22"/>
        </w:rPr>
        <w:t>Grey Hair Misinformation &amp; Miracle Claims has 86 items (1.0% prevalence) with surprisingly positive sentiment (48 positive, 11 negative, 23 neutral, 4 mixed; NSS +43.0%). Present on Amazon, Reddit, Twitter, and YouTube but not Instagram. Despite small volume, this theme has a high positive NSS driven by consumers who believe the miracle claims.</w:t>
      </w:r>
    </w:p>
    <w:p>
      <w:pPr>
        <w:pStyle w:val="Heading3"/>
        <w:jc w:val="left"/>
      </w:pPr>
      <w:r>
        <w:rPr>
          <w:rFonts w:ascii="Lato" w:hAnsi="Lato"/>
          <w:b/>
          <w:color w:val="1E3A5F"/>
          <w:sz w:val="26"/>
        </w:rPr>
        <w:t>What it Means</w:t>
      </w:r>
    </w:p>
    <w:p>
      <w:pPr>
        <w:spacing w:after="120" w:before="0"/>
      </w:pPr>
      <w:r>
        <w:rPr>
          <w:rFonts w:ascii="Lato" w:hAnsi="Lato"/>
          <w:b w:val="0"/>
          <w:i w:val="0"/>
          <w:sz w:val="22"/>
        </w:rPr>
        <w:t>The positive sentiment is itself the danger signal. The 48 positive items are consumers enthusiastically sharing or endorsing pseudoscientific grey reversal claims (onion juice, black seed oil, dietary supplements) - they are positive because they believe the misinformation, not because they have experienced results. This creates a competitive threat to legitimate hair colour products: if consumers believe grey can be reversed naturally, they delay or avoid purchasing hair colour entirely. The misinformation narrative is also a brand safety risk - any brand whose product appears adjacent to miracle claims in search results or social feeds suffers credibility contamination.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small theme (1.0%) has outsized strategic importance because misinformation content is algorithmically amplified - miracle claims generate clicks, shares, and engagement that boost them in platform rankings. A brand that does not actively counter-programme this narrative risks having its products displaced in search and recommendation feeds by miracle cure content. The 86 items in the corpus likely represent a much larger volume of content that was filtered for relevance - the misinformation ecosystem extends far beyond brand-adjacent conversations.</w:t>
      </w:r>
    </w:p>
    <w:p>
      <w:pPr>
        <w:pStyle w:val="Heading3"/>
        <w:jc w:val="left"/>
      </w:pPr>
      <w:r>
        <w:rPr>
          <w:rFonts w:ascii="Lato" w:hAnsi="Lato"/>
          <w:b/>
          <w:color w:val="1E3A5F"/>
          <w:sz w:val="26"/>
        </w:rPr>
        <w:t>Recommendation</w:t>
      </w:r>
    </w:p>
    <w:p>
      <w:pPr>
        <w:spacing w:after="120" w:before="0"/>
      </w:pPr>
      <w:r>
        <w:rPr>
          <w:rFonts w:ascii="Lato" w:hAnsi="Lato"/>
          <w:b w:val="0"/>
          <w:i w:val="0"/>
          <w:sz w:val="22"/>
        </w:rPr>
        <w:t>Deploy a proactive counter-misinformation strategy: (1) Commission and publish a consumer-friendly explainer with a trichologist or dermatologist debunking the top 5 grey hair reversal myths, formatted for YouTube (3-5 min), Instagram carousel, and WhatsApp shareability. (2) Run Google and YouTube Ads targeting grey hair reversal search queries ('reverse grey hair naturally', 'onion juice for grey hair') with educational content that redirects to the brand's grey coverage solutions. (3) Create a Reddit AMA with a dermatologist on r/IndianSkincareAddicts or r/India addressing hair colour myths. (4) Monitor Amazon product Q&amp;A sections for miracle claims adjacent to hair colour listings and respond with factual information.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content analysis (sample 500 grey hair reversal claims from YouTube and social media, coded by claim type, evidence cited, and engagement metrics) to map the misinformation landscape and identify the most viral claim categories. Specific question: 'Which grey reversal claims have the highest engagement-to-debunking ratio - i.e., which myths are most believed and least challenged?'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"Hair colour: This gives naturally black colour to the hair, I don't use dye, but this product is all natural no chemical no side-effects shikakai and bringraj strengthen the hair too."</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"The video appears edited or staged for clicks-gray hair can't be permanently reversed in 5 minutes with egg, lemon, toothpaste, baby oil, and coconut oil. Scientifically, graying is due to melanin loss, and no natural mix instantly fixes it. Such claims are often misinformation; consult a dermatologist for real options."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"yes naturally black! I used 30 in the beginning but my roots came out lighter than the rest of my hair so 20 is perfect now x"</w:t>
      </w:r>
      <w:r>
        <w:rPr>
          <w:rFonts w:ascii="Lato" w:hAnsi="Lato"/>
          <w:b w:val="0"/>
          <w:i w:val="0"/>
          <w:color w:val="6B7280"/>
          <w:sz w:val="18"/>
        </w:rPr>
        <w:t xml:space="preserve">  - youtube</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68/100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61.2</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88.3</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059669"/>
                <w:sz w:val="20"/>
              </w:rPr>
              <w:t>76.7</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D97706"/>
                <w:sz w:val="20"/>
              </w:rPr>
              <w:t>54.6</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39.5</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(40/100)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Data ingested from external sources across Amazon, Instagram, Reddit, Twitter, Youtube. Original collection methodology unknown.</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Twitter / X</w:t>
            </w:r>
          </w:p>
        </w:tc>
        <w:tc>
          <w:tcPr>
            <w:tcW w:type="dxa" w:w="2351"/>
          </w:tcPr>
          <w:p>
            <w:pPr>
              <w:spacing w:before="60" w:after="60"/>
            </w:pPr>
            <w:r/>
            <w:r>
              <w:rPr>
                <w:rFonts w:ascii="Lato" w:hAnsi="Lato"/>
                <w:b w:val="0"/>
                <w:i w:val="0"/>
                <w:color w:val="374151"/>
                <w:sz w:val="20"/>
              </w:rPr>
              <w:t>Tweets, replies, quote tweets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3,572</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2,359</w:t>
            </w:r>
          </w:p>
        </w:tc>
      </w:tr>
      <w:tr>
        <w:tc>
          <w:tcPr>
            <w:tcW w:type="dxa" w:w="2351"/>
          </w:tcPr>
          <w:p>
            <w:pPr>
              <w:spacing w:before="60" w:after="60"/>
            </w:pPr>
            <w:r/>
            <w:r>
              <w:rPr>
                <w:rFonts w:ascii="Lato" w:hAnsi="Lato"/>
                <w:b w:val="0"/>
                <w:i w:val="0"/>
                <w:color w:val="374151"/>
                <w:sz w:val="20"/>
              </w:rPr>
              <w:t>Amazon</w:t>
            </w:r>
          </w:p>
        </w:tc>
        <w:tc>
          <w:tcPr>
            <w:tcW w:type="dxa" w:w="2351"/>
          </w:tcPr>
          <w:p>
            <w:pPr>
              <w:spacing w:before="60" w:after="60"/>
            </w:pPr>
            <w:r/>
            <w:r>
              <w:rPr>
                <w:rFonts w:ascii="Lato" w:hAnsi="Lato"/>
                <w:b w:val="0"/>
                <w:i w:val="0"/>
                <w:color w:val="374151"/>
                <w:sz w:val="20"/>
              </w:rPr>
              <w:t>Product reviews</w:t>
            </w:r>
          </w:p>
        </w:tc>
        <w:tc>
          <w:tcPr>
            <w:tcW w:type="dxa" w:w="2351"/>
          </w:tcPr>
          <w:p>
            <w:pPr>
              <w:spacing w:before="60" w:after="60"/>
            </w:pPr>
            <w:r/>
            <w:r>
              <w:rPr>
                <w:rFonts w:ascii="Lato" w:hAnsi="Lato"/>
                <w:b w:val="0"/>
                <w:i w:val="0"/>
                <w:color w:val="374151"/>
                <w:sz w:val="20"/>
              </w:rPr>
              <w:t>Web scraping</w:t>
            </w:r>
          </w:p>
        </w:tc>
        <w:tc>
          <w:tcPr>
            <w:tcW w:type="dxa" w:w="2351"/>
          </w:tcPr>
          <w:p>
            <w:pPr>
              <w:spacing w:before="60" w:after="60"/>
            </w:pPr>
            <w:r/>
            <w:r>
              <w:rPr>
                <w:rFonts w:ascii="Lato" w:hAnsi="Lato"/>
                <w:b w:val="0"/>
                <w:i w:val="0"/>
                <w:color w:val="374151"/>
                <w:sz w:val="20"/>
              </w:rPr>
              <w:t>2,025</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775</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238</w:t>
            </w:r>
          </w:p>
        </w:tc>
      </w:tr>
    </w:tbl>
    <w:p>
      <w:pPr>
        <w:spacing w:after="120" w:before="0"/>
      </w:pPr>
      <w:r>
        <w:rPr>
          <w:rFonts w:ascii="Lato" w:hAnsi="Lato"/>
          <w:b w:val="0"/>
          <w:i w:val="0"/>
          <w:sz w:val="22"/>
        </w:rPr>
        <w:t>Corpus composition: 5,098 posts and 1,846 comments and 2,025 other items.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market context: India. Content is collected using market-specific queries (brand names, regional terms, India-specific keywords) and filtered for topical relevance. However, no platform provides verified geolocation data. Geographic origin is inferred from context (language, currency references, retailer mentions, cultural markers) rather than verified. Audit of comparable studies found 2-3% of corpus items originate from non-target markets (e.g., US product listings, UK healthcare discussions) that pass topical relevance filters. Findings in this report describe conversations about the brand in the India market context, not verified conversations from India consumers.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Jun 2016 - Jan 2026 (114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Twitter/X skews male, urban, politically engaged, and 25-44; high-follower accounts dominate visibility while ordinary consumer voices are underrepresented; Instagram skews female, urban, and 18-34 with strong influencer and health-creator content that shapes but does not represent consumer opinion; Amazon reviews skew toward verified purchasers but demographics are unknown;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