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20"/>
        <w:jc w:val="left"/>
      </w:pPr>
      <w:r>
        <w:rPr>
          <w:rFonts w:ascii="Lato" w:hAnsi="Lato"/>
          <w:b/>
          <w:i w:val="0"/>
          <w:color w:val="0F2440"/>
          <w:sz w:val="72"/>
        </w:rPr>
        <w:t>Make in India</w:t>
      </w:r>
    </w:p>
    <w:p>
      <w:pPr>
        <w:spacing w:after="80"/>
        <w:jc w:val="left"/>
      </w:pPr>
      <w:r>
        <w:rPr>
          <w:rFonts w:ascii="Lato" w:hAnsi="Lato"/>
          <w:b w:val="0"/>
          <w:i w:val="0"/>
          <w:color w:val="374151"/>
          <w:sz w:val="28"/>
        </w:rPr>
        <w:t>Research Report: Consumer Sentiment &amp; Brand Perception</w:t>
      </w:r>
    </w:p>
    <w:p>
      <w:pPr>
        <w:spacing w:after="560"/>
        <w:jc w:val="left"/>
      </w:pPr>
      <w:r>
        <w:rPr>
          <w:rFonts w:ascii="Lato" w:hAnsi="Lato"/>
          <w:b w:val="0"/>
          <w:i w:val="0"/>
          <w:color w:val="6B7280"/>
          <w:sz w:val="22"/>
        </w:rPr>
        <w:t>Analysis Date: April 2026</w:t>
      </w:r>
    </w:p>
    <w:p>
      <w:pPr>
        <w:spacing w:before="80" w:after="80"/>
        <w:pBdr>
          <w:bottom w:val="single" w:sz="4" w:space="1" w:color="6B7280"/>
        </w:pBdr>
      </w:pPr>
    </w:p>
    <w:p>
      <w:pPr>
        <w:pStyle w:val="Heading2"/>
        <w:jc w:val="left"/>
      </w:pPr>
      <w:r>
        <w:rPr>
          <w:rFonts w:ascii="Lato" w:hAnsi="Lato"/>
          <w:b/>
          <w:color w:val="1E3A5F"/>
          <w:sz w:val="32"/>
        </w:rPr>
        <w:t>Research Objectives</w:t>
      </w:r>
    </w:p>
    <w:p>
      <w:pPr>
        <w:pStyle w:val="ListBullet"/>
        <w:spacing w:after="80"/>
      </w:pPr>
      <w:r>
        <w:rPr>
          <w:rFonts w:ascii="Lato" w:hAnsi="Lato"/>
          <w:b w:val="0"/>
          <w:i w:val="0"/>
          <w:sz w:val="22"/>
        </w:rPr>
        <w:t>Understand public sentiment toward the Make in India initiative - is it seen as succeeding or failing?</w:t>
      </w:r>
    </w:p>
    <w:p>
      <w:pPr>
        <w:pStyle w:val="ListBullet"/>
        <w:spacing w:after="80"/>
      </w:pPr>
      <w:r>
        <w:rPr>
          <w:rFonts w:ascii="Lato" w:hAnsi="Lato"/>
          <w:b w:val="0"/>
          <w:i w:val="0"/>
          <w:sz w:val="22"/>
        </w:rPr>
        <w:t>Map consumer purchase behaviour - are people actually buying Indian over imported? What drives the choice?</w:t>
      </w:r>
    </w:p>
    <w:p>
      <w:pPr>
        <w:pStyle w:val="ListBullet"/>
        <w:spacing w:after="80"/>
      </w:pPr>
      <w:r>
        <w:rPr>
          <w:rFonts w:ascii="Lato" w:hAnsi="Lato"/>
          <w:b w:val="0"/>
          <w:i w:val="0"/>
          <w:sz w:val="22"/>
        </w:rPr>
        <w:t>Assess Vocal for Local adoption - has it translated into sustained behaviour change or is it performative?</w:t>
      </w:r>
    </w:p>
    <w:p>
      <w:pPr>
        <w:pStyle w:val="ListBullet"/>
        <w:spacing w:after="80"/>
      </w:pPr>
      <w:r>
        <w:rPr>
          <w:rFonts w:ascii="Lato" w:hAnsi="Lato"/>
          <w:b w:val="0"/>
          <w:i w:val="0"/>
          <w:sz w:val="22"/>
        </w:rPr>
        <w:t>Identify quality perception gaps - how do consumers perceive Made in India product quality vs. imports?</w:t>
      </w:r>
    </w:p>
    <w:p>
      <w:pPr>
        <w:pStyle w:val="ListBullet"/>
        <w:spacing w:after="80"/>
      </w:pPr>
      <w:r>
        <w:rPr>
          <w:rFonts w:ascii="Lato" w:hAnsi="Lato"/>
          <w:b w:val="0"/>
          <w:i w:val="0"/>
          <w:sz w:val="22"/>
        </w:rPr>
        <w:t>Surface sector-specific perceptions - which sectors are seen as MII successes vs. failures?</w:t>
      </w:r>
    </w:p>
    <w:p>
      <w:pPr>
        <w:pStyle w:val="ListBullet"/>
        <w:spacing w:after="80"/>
      </w:pPr>
      <w:r>
        <w:rPr>
          <w:rFonts w:ascii="Lato" w:hAnsi="Lato"/>
          <w:b w:val="0"/>
          <w:i w:val="0"/>
          <w:sz w:val="22"/>
        </w:rPr>
        <w:t>Understand how US-India tariff tensions and trade war have shaped the Make in India conversation in 2025</w:t>
      </w:r>
    </w:p>
    <w:p>
      <w:pPr>
        <w:pStyle w:val="ListBullet"/>
        <w:spacing w:after="80"/>
      </w:pPr>
      <w:r>
        <w:rPr>
          <w:rFonts w:ascii="Lato" w:hAnsi="Lato"/>
          <w:b w:val="0"/>
          <w:i w:val="0"/>
          <w:sz w:val="22"/>
        </w:rPr>
        <w:t>Explore the nationalism vs. pragmatism tension - where does patriotic buying end and practical choice begin?</w:t>
      </w:r>
    </w:p>
    <w:p>
      <w:pPr>
        <w:pStyle w:val="ListBullet"/>
        <w:spacing w:after="80"/>
      </w:pPr>
      <w:r>
        <w:rPr>
          <w:rFonts w:ascii="Lato" w:hAnsi="Lato"/>
          <w:b w:val="0"/>
          <w:i w:val="0"/>
          <w:sz w:val="22"/>
        </w:rPr>
        <w:t>Assess how Indian startups, D2C brands, and homegrown companies are perceived in this conversation</w:t>
      </w:r>
    </w:p>
    <w:p/>
    <w:p>
      <w:pPr>
        <w:spacing w:before="80" w:after="80"/>
        <w:pBdr>
          <w:bottom w:val="single" w:sz="4" w:space="1" w:color="6B7280"/>
        </w:pBdr>
      </w:pPr>
    </w:p>
    <w:p>
      <w:pPr>
        <w:pStyle w:val="Heading2"/>
        <w:jc w:val="left"/>
      </w:pPr>
      <w:r>
        <w:rPr>
          <w:rFonts w:ascii="Lato" w:hAnsi="Lato"/>
          <w:b/>
          <w:color w:val="1E3A5F"/>
          <w:sz w:val="32"/>
        </w:rPr>
        <w:t>Summary of Data and Findings</w:t>
      </w:r>
    </w:p>
    <w:tbl>
      <w:tblPr>
        <w:tblStyle w:val="TableGrid"/>
        <w:tblW w:type="auto" w:w="0"/>
        <w:jc w:val="left"/>
        <w:tblLook w:firstColumn="1" w:firstRow="1" w:lastColumn="0" w:lastRow="0" w:noHBand="0" w:noVBand="1" w:val="04A0"/>
      </w:tblPr>
      <w:tblGrid>
        <w:gridCol w:w="4703"/>
        <w:gridCol w:w="4703"/>
      </w:tblGrid>
      <w:tr>
        <w:tc>
          <w:tcPr>
            <w:tcW w:type="dxa" w:w="4703"/>
          </w:tcPr>
          <w:p>
            <w:pPr>
              <w:spacing w:before="80" w:after="80"/>
            </w:pPr>
            <w:r/>
            <w:r>
              <w:rPr>
                <w:rFonts w:ascii="Lato" w:hAnsi="Lato"/>
                <w:b w:val="0"/>
                <w:i w:val="0"/>
                <w:color w:val="374151"/>
                <w:sz w:val="22"/>
              </w:rPr>
              <w:t>Items Analysed</w:t>
            </w:r>
          </w:p>
        </w:tc>
        <w:tc>
          <w:tcPr>
            <w:tcW w:type="dxa" w:w="4703"/>
          </w:tcPr>
          <w:p>
            <w:pPr>
              <w:spacing w:before="80" w:after="80"/>
            </w:pPr>
            <w:r/>
            <w:r>
              <w:rPr>
                <w:rFonts w:ascii="Lato" w:hAnsi="Lato"/>
                <w:b/>
                <w:i w:val="0"/>
                <w:color w:val="1E3A5F"/>
                <w:sz w:val="26"/>
              </w:rPr>
              <w:t>5,814</w:t>
            </w:r>
          </w:p>
        </w:tc>
      </w:tr>
      <w:tr>
        <w:tc>
          <w:tcPr>
            <w:tcW w:type="dxa" w:w="4703"/>
          </w:tcPr>
          <w:p>
            <w:pPr>
              <w:spacing w:before="80" w:after="80"/>
            </w:pPr>
            <w:r/>
            <w:r>
              <w:rPr>
                <w:rFonts w:ascii="Lato" w:hAnsi="Lato"/>
                <w:b w:val="0"/>
                <w:i w:val="0"/>
                <w:color w:val="374151"/>
                <w:sz w:val="22"/>
              </w:rPr>
              <w:t>Data Collection Period</w:t>
            </w:r>
          </w:p>
        </w:tc>
        <w:tc>
          <w:tcPr>
            <w:tcW w:type="dxa" w:w="4703"/>
          </w:tcPr>
          <w:p>
            <w:pPr>
              <w:spacing w:before="80" w:after="80"/>
            </w:pPr>
            <w:r/>
            <w:r>
              <w:rPr>
                <w:rFonts w:ascii="Lato" w:hAnsi="Lato"/>
                <w:b/>
                <w:i w:val="0"/>
                <w:color w:val="1E3A5F"/>
                <w:sz w:val="26"/>
              </w:rPr>
              <w:t>Dec 2024 - Jan 2026</w:t>
            </w:r>
          </w:p>
        </w:tc>
      </w:tr>
      <w:tr>
        <w:tc>
          <w:tcPr>
            <w:tcW w:type="dxa" w:w="4703"/>
          </w:tcPr>
          <w:p>
            <w:pPr>
              <w:spacing w:before="80" w:after="80"/>
            </w:pPr>
            <w:r/>
            <w:r>
              <w:rPr>
                <w:rFonts w:ascii="Lato" w:hAnsi="Lato"/>
                <w:b w:val="0"/>
                <w:i w:val="0"/>
                <w:color w:val="374151"/>
                <w:sz w:val="22"/>
              </w:rPr>
              <w:t>Insights Identified</w:t>
            </w:r>
          </w:p>
        </w:tc>
        <w:tc>
          <w:tcPr>
            <w:tcW w:type="dxa" w:w="4703"/>
          </w:tcPr>
          <w:p>
            <w:pPr>
              <w:spacing w:before="80" w:after="80"/>
            </w:pPr>
            <w:r/>
            <w:r>
              <w:rPr>
                <w:rFonts w:ascii="Lato" w:hAnsi="Lato"/>
                <w:b/>
                <w:i w:val="0"/>
                <w:color w:val="1E3A5F"/>
                <w:sz w:val="26"/>
              </w:rPr>
              <w:t>16</w:t>
            </w:r>
          </w:p>
        </w:tc>
      </w:tr>
      <w:tr>
        <w:tc>
          <w:tcPr>
            <w:tcW w:type="dxa" w:w="4703"/>
          </w:tcPr>
          <w:p>
            <w:pPr>
              <w:spacing w:before="80" w:after="80"/>
            </w:pPr>
            <w:r/>
            <w:r>
              <w:rPr>
                <w:rFonts w:ascii="Lato" w:hAnsi="Lato"/>
                <w:b w:val="0"/>
                <w:i w:val="0"/>
                <w:color w:val="374151"/>
                <w:sz w:val="22"/>
              </w:rPr>
              <w:t>Net Sentiment Score</w:t>
            </w:r>
          </w:p>
        </w:tc>
        <w:tc>
          <w:tcPr>
            <w:tcW w:type="dxa" w:w="4703"/>
          </w:tcPr>
          <w:p>
            <w:pPr>
              <w:spacing w:before="80" w:after="80"/>
            </w:pPr>
            <w:r/>
            <w:r>
              <w:rPr>
                <w:rFonts w:ascii="Lato" w:hAnsi="Lato"/>
                <w:b/>
                <w:i w:val="0"/>
                <w:color w:val="059669"/>
                <w:sz w:val="26"/>
              </w:rPr>
              <w:t>+15.9%</w:t>
            </w:r>
          </w:p>
        </w:tc>
      </w:tr>
      <w:tr>
        <w:tc>
          <w:tcPr>
            <w:tcW w:type="dxa" w:w="4703"/>
          </w:tcPr>
          <w:p>
            <w:pPr>
              <w:spacing w:before="80" w:after="80"/>
            </w:pPr>
            <w:r/>
            <w:r>
              <w:rPr>
                <w:rFonts w:ascii="Lato" w:hAnsi="Lato"/>
                <w:b w:val="0"/>
                <w:i w:val="0"/>
                <w:color w:val="374151"/>
                <w:sz w:val="22"/>
              </w:rPr>
              <w:t>Brand Health Score</w:t>
            </w:r>
          </w:p>
        </w:tc>
        <w:tc>
          <w:tcPr>
            <w:tcW w:type="dxa" w:w="4703"/>
          </w:tcPr>
          <w:p>
            <w:pPr>
              <w:spacing w:before="80" w:after="80"/>
            </w:pPr>
            <w:r/>
            <w:r>
              <w:rPr>
                <w:rFonts w:ascii="Lato" w:hAnsi="Lato"/>
                <w:b/>
                <w:i w:val="0"/>
                <w:color w:val="D97706"/>
                <w:sz w:val="26"/>
              </w:rPr>
              <w:t>55/100</w:t>
            </w:r>
          </w:p>
        </w:tc>
      </w:tr>
      <w:tr>
        <w:tc>
          <w:tcPr>
            <w:tcW w:type="dxa" w:w="4703"/>
          </w:tcPr>
          <w:p>
            <w:pPr>
              <w:spacing w:before="80" w:after="80"/>
            </w:pPr>
            <w:r/>
            <w:r>
              <w:rPr>
                <w:rFonts w:ascii="Lato" w:hAnsi="Lato"/>
                <w:b w:val="0"/>
                <w:i w:val="0"/>
                <w:color w:val="374151"/>
                <w:sz w:val="22"/>
              </w:rPr>
              <w:t>Data Sources</w:t>
            </w:r>
          </w:p>
        </w:tc>
        <w:tc>
          <w:tcPr>
            <w:tcW w:type="dxa" w:w="4703"/>
          </w:tcPr>
          <w:p>
            <w:pPr>
              <w:spacing w:before="80" w:after="80"/>
            </w:pPr>
            <w:r/>
            <w:r>
              <w:rPr>
                <w:rFonts w:ascii="Lato" w:hAnsi="Lato"/>
                <w:b/>
                <w:i w:val="0"/>
                <w:color w:val="1E3A5F"/>
                <w:sz w:val="26"/>
              </w:rPr>
              <w:t>4 platforms</w:t>
            </w:r>
          </w:p>
        </w:tc>
      </w:tr>
    </w:tbl>
    <w:p>
      <w:r>
        <w:br w:type="page"/>
      </w:r>
    </w:p>
    <w:p>
      <w:pPr>
        <w:pStyle w:val="Heading1"/>
        <w:jc w:val="left"/>
      </w:pPr>
      <w:r>
        <w:rPr>
          <w:rFonts w:ascii="Lato" w:hAnsi="Lato"/>
          <w:b/>
          <w:color w:val="1E3A5F"/>
          <w:sz w:val="44"/>
        </w:rPr>
        <w:t>Data Universe</w:t>
      </w:r>
    </w:p>
    <w:p>
      <w:pPr>
        <w:pStyle w:val="Heading2"/>
        <w:jc w:val="left"/>
      </w:pPr>
      <w:r>
        <w:rPr>
          <w:rFonts w:ascii="Lato" w:hAnsi="Lato"/>
          <w:b/>
          <w:color w:val="1E3A5F"/>
          <w:sz w:val="32"/>
        </w:rPr>
        <w:t>Collection Funnel</w:t>
      </w:r>
    </w:p>
    <w:p>
      <w:pPr>
        <w:spacing w:after="120" w:before="0"/>
      </w:pPr>
      <w:r>
        <w:rPr>
          <w:rFonts w:ascii="Lato" w:hAnsi="Lato"/>
          <w:b w:val="0"/>
          <w:i w:val="0"/>
          <w:sz w:val="22"/>
        </w:rPr>
        <w:t>Of 282,355 raw data points collected across all sources, 23,461 remained after deduplication and engagement filtering, and 5,814 passed LLM relevance classification (2.1% of total collected). These 5,814 items form the analysis corpus.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spacing w:before="60" w:after="60"/>
            </w:pPr>
            <w:r/>
            <w:r>
              <w:rPr>
                <w:rFonts w:ascii="Lato" w:hAnsi="Lato"/>
                <w:b/>
                <w:i w:val="0"/>
                <w:color w:val="FFFFFF"/>
                <w:sz w:val="20"/>
              </w:rPr>
              <w:t>Stage</w:t>
            </w:r>
          </w:p>
        </w:tc>
        <w:tc>
          <w:tcPr>
            <w:tcW w:type="dxa" w:w="3135"/>
            <w:shd w:val="clear" w:color="auto" w:fill="1E3A5F"/>
          </w:tcPr>
          <w:p>
            <w:pPr>
              <w:spacing w:before="60" w:after="60"/>
            </w:pPr>
            <w:r/>
            <w:r>
              <w:rPr>
                <w:rFonts w:ascii="Lato" w:hAnsi="Lato"/>
                <w:b/>
                <w:i w:val="0"/>
                <w:color w:val="FFFFFF"/>
                <w:sz w:val="20"/>
              </w:rPr>
              <w:t>Items</w:t>
            </w:r>
          </w:p>
        </w:tc>
        <w:tc>
          <w:tcPr>
            <w:tcW w:type="dxa" w:w="3135"/>
            <w:shd w:val="clear" w:color="auto" w:fill="1E3A5F"/>
          </w:tcPr>
          <w:p>
            <w:pPr>
              <w:spacing w:before="60" w:after="60"/>
            </w:pPr>
            <w:r/>
            <w:r>
              <w:rPr>
                <w:rFonts w:ascii="Lato" w:hAnsi="Lato"/>
                <w:b/>
                <w:i w:val="0"/>
                <w:color w:val="FFFFFF"/>
                <w:sz w:val="20"/>
              </w:rPr>
              <w:t>Notes</w:t>
            </w:r>
          </w:p>
        </w:tc>
      </w:tr>
      <w:tr>
        <w:tc>
          <w:tcPr>
            <w:tcW w:type="dxa" w:w="3135"/>
          </w:tcPr>
          <w:p>
            <w:r>
              <w:t>Raw collected</w:t>
            </w:r>
          </w:p>
        </w:tc>
        <w:tc>
          <w:tcPr>
            <w:tcW w:type="dxa" w:w="3135"/>
          </w:tcPr>
          <w:p>
            <w:r>
              <w:t>282,355</w:t>
            </w:r>
          </w:p>
        </w:tc>
        <w:tc>
          <w:tcPr>
            <w:tcW w:type="dxa" w:w="3135"/>
          </w:tcPr>
          <w:p>
            <w:r>
              <w:t>All posts, comments, articles and videos gathered across all platforms</w:t>
            </w:r>
          </w:p>
        </w:tc>
      </w:tr>
      <w:tr>
        <w:tc>
          <w:tcPr>
            <w:tcW w:type="dxa" w:w="3135"/>
          </w:tcPr>
          <w:p>
            <w:r>
              <w:t>After deduplication &amp; engagement filter</w:t>
            </w:r>
          </w:p>
        </w:tc>
        <w:tc>
          <w:tcPr>
            <w:tcW w:type="dxa" w:w="3135"/>
          </w:tcPr>
          <w:p>
            <w:r>
              <w:t>23,461</w:t>
            </w:r>
          </w:p>
        </w:tc>
        <w:tc>
          <w:tcPr>
            <w:tcW w:type="dxa" w:w="3135"/>
          </w:tcPr>
          <w:p>
            <w:r>
              <w:t>Thread dedup (max 5 comments/thread), min engagement filters applied per platform</w:t>
            </w:r>
          </w:p>
        </w:tc>
      </w:tr>
      <w:tr>
        <w:tc>
          <w:tcPr>
            <w:tcW w:type="dxa" w:w="3135"/>
          </w:tcPr>
          <w:p>
            <w:r>
              <w:t>After relevance classification</w:t>
            </w:r>
          </w:p>
        </w:tc>
        <w:tc>
          <w:tcPr>
            <w:tcW w:type="dxa" w:w="3135"/>
          </w:tcPr>
          <w:p>
            <w:r>
              <w:t>5,814</w:t>
            </w:r>
          </w:p>
        </w:tc>
        <w:tc>
          <w:tcPr>
            <w:tcW w:type="dxa" w:w="3135"/>
          </w:tcPr>
          <w:p>
            <w:r>
              <w:t>LLM relevance filter — 2.1% of raw collected. Analysis corpus.</w:t>
            </w:r>
          </w:p>
        </w:tc>
      </w:tr>
    </w:tbl>
    <w:p/>
    <w:p>
      <w:pPr>
        <w:pStyle w:val="Heading2"/>
        <w:jc w:val="left"/>
      </w:pPr>
      <w:r>
        <w:rPr>
          <w:rFonts w:ascii="Lato" w:hAnsi="Lato"/>
          <w:b/>
          <w:color w:val="1E3A5F"/>
          <w:sz w:val="32"/>
        </w:rPr>
        <w:t>Platform Breakdown</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spacing w:before="60" w:after="60"/>
            </w:pPr>
            <w:r/>
            <w:r>
              <w:rPr>
                <w:rFonts w:ascii="Lato" w:hAnsi="Lato"/>
                <w:b/>
                <w:i w:val="0"/>
                <w:color w:val="FFFFFF"/>
                <w:sz w:val="20"/>
              </w:rPr>
              <w:t>Platform</w:t>
            </w:r>
          </w:p>
        </w:tc>
        <w:tc>
          <w:tcPr>
            <w:tcW w:type="dxa" w:w="3135"/>
            <w:shd w:val="clear" w:color="auto" w:fill="1E3A5F"/>
          </w:tcPr>
          <w:p>
            <w:pPr>
              <w:spacing w:before="60" w:after="60"/>
            </w:pPr>
            <w:r/>
            <w:r>
              <w:rPr>
                <w:rFonts w:ascii="Lato" w:hAnsi="Lato"/>
                <w:b/>
                <w:i w:val="0"/>
                <w:color w:val="FFFFFF"/>
                <w:sz w:val="20"/>
              </w:rPr>
              <w:t>Items</w:t>
            </w:r>
          </w:p>
        </w:tc>
        <w:tc>
          <w:tcPr>
            <w:tcW w:type="dxa" w:w="3135"/>
            <w:shd w:val="clear" w:color="auto" w:fill="1E3A5F"/>
          </w:tcPr>
          <w:p>
            <w:pPr>
              <w:spacing w:before="60" w:after="60"/>
            </w:pPr>
            <w:r/>
            <w:r>
              <w:rPr>
                <w:rFonts w:ascii="Lato" w:hAnsi="Lato"/>
                <w:b/>
                <w:i w:val="0"/>
                <w:color w:val="FFFFFF"/>
                <w:sz w:val="20"/>
              </w:rPr>
              <w:t>Share of Corpus</w:t>
            </w:r>
          </w:p>
        </w:tc>
      </w:tr>
      <w:tr>
        <w:tc>
          <w:tcPr>
            <w:tcW w:type="dxa" w:w="3135"/>
          </w:tcPr>
          <w:p>
            <w:r>
              <w:t>Twitter</w:t>
            </w:r>
          </w:p>
        </w:tc>
        <w:tc>
          <w:tcPr>
            <w:tcW w:type="dxa" w:w="3135"/>
          </w:tcPr>
          <w:p>
            <w:r>
              <w:t>3873</w:t>
            </w:r>
          </w:p>
        </w:tc>
        <w:tc>
          <w:tcPr>
            <w:tcW w:type="dxa" w:w="3135"/>
          </w:tcPr>
          <w:p>
            <w:r>
              <w:t>66.6%</w:t>
            </w:r>
          </w:p>
        </w:tc>
      </w:tr>
      <w:tr>
        <w:tc>
          <w:tcPr>
            <w:tcW w:type="dxa" w:w="3135"/>
          </w:tcPr>
          <w:p>
            <w:r>
              <w:t>Youtube</w:t>
            </w:r>
          </w:p>
        </w:tc>
        <w:tc>
          <w:tcPr>
            <w:tcW w:type="dxa" w:w="3135"/>
          </w:tcPr>
          <w:p>
            <w:r>
              <w:t>1359</w:t>
            </w:r>
          </w:p>
        </w:tc>
        <w:tc>
          <w:tcPr>
            <w:tcW w:type="dxa" w:w="3135"/>
          </w:tcPr>
          <w:p>
            <w:r>
              <w:t>23.4%</w:t>
            </w:r>
          </w:p>
        </w:tc>
      </w:tr>
      <w:tr>
        <w:tc>
          <w:tcPr>
            <w:tcW w:type="dxa" w:w="3135"/>
          </w:tcPr>
          <w:p>
            <w:r>
              <w:t>Reddit</w:t>
            </w:r>
          </w:p>
        </w:tc>
        <w:tc>
          <w:tcPr>
            <w:tcW w:type="dxa" w:w="3135"/>
          </w:tcPr>
          <w:p>
            <w:r>
              <w:t>502</w:t>
            </w:r>
          </w:p>
        </w:tc>
        <w:tc>
          <w:tcPr>
            <w:tcW w:type="dxa" w:w="3135"/>
          </w:tcPr>
          <w:p>
            <w:r>
              <w:t>8.6%</w:t>
            </w:r>
          </w:p>
        </w:tc>
      </w:tr>
      <w:tr>
        <w:tc>
          <w:tcPr>
            <w:tcW w:type="dxa" w:w="3135"/>
          </w:tcPr>
          <w:p>
            <w:r>
              <w:t>Instagram</w:t>
            </w:r>
          </w:p>
        </w:tc>
        <w:tc>
          <w:tcPr>
            <w:tcW w:type="dxa" w:w="3135"/>
          </w:tcPr>
          <w:p>
            <w:r>
              <w:t>80</w:t>
            </w:r>
          </w:p>
        </w:tc>
        <w:tc>
          <w:tcPr>
            <w:tcW w:type="dxa" w:w="3135"/>
          </w:tcPr>
          <w:p>
            <w:r>
              <w:t>1.4%</w:t>
            </w:r>
          </w:p>
        </w:tc>
      </w:tr>
    </w:tbl>
    <w:p>
      <w:pPr>
        <w:jc w:val="center"/>
      </w:pPr>
      <w:r>
        <w:drawing>
          <wp:inline xmlns:a="http://schemas.openxmlformats.org/drawingml/2006/main" xmlns:pic="http://schemas.openxmlformats.org/drawingml/2006/picture">
            <wp:extent cx="4114800" cy="1408928"/>
            <wp:docPr id="1" name="Picture 1"/>
            <wp:cNvGraphicFramePr>
              <a:graphicFrameLocks noChangeAspect="1"/>
            </wp:cNvGraphicFramePr>
            <a:graphic>
              <a:graphicData uri="http://schemas.openxmlformats.org/drawingml/2006/picture">
                <pic:pic>
                  <pic:nvPicPr>
                    <pic:cNvPr id="0" name="chart_platforms.png"/>
                    <pic:cNvPicPr/>
                  </pic:nvPicPr>
                  <pic:blipFill>
                    <a:blip r:embed="rId9"/>
                    <a:stretch>
                      <a:fillRect/>
                    </a:stretch>
                  </pic:blipFill>
                  <pic:spPr>
                    <a:xfrm>
                      <a:off x="0" y="0"/>
                      <a:ext cx="4114800" cy="1408928"/>
                    </a:xfrm>
                    <a:prstGeom prst="rect"/>
                  </pic:spPr>
                </pic:pic>
              </a:graphicData>
            </a:graphic>
          </wp:inline>
        </w:drawing>
      </w:r>
    </w:p>
    <w:p>
      <w:pPr>
        <w:spacing w:after="240"/>
        <w:jc w:val="center"/>
      </w:pPr>
      <w:r>
        <w:rPr>
          <w:rFonts w:ascii="Lato" w:hAnsi="Lato"/>
          <w:b w:val="0"/>
          <w:i/>
          <w:color w:val="6B7280"/>
          <w:sz w:val="18"/>
        </w:rPr>
        <w:t>Figure 1: Item distribution by source platform</w:t>
      </w:r>
    </w:p>
    <w:p>
      <w:pPr>
        <w:pStyle w:val="Heading2"/>
        <w:jc w:val="left"/>
      </w:pPr>
      <w:r>
        <w:rPr>
          <w:rFonts w:ascii="Lato" w:hAnsi="Lato"/>
          <w:b/>
          <w:color w:val="1E3A5F"/>
          <w:sz w:val="32"/>
        </w:rPr>
        <w:t>Temporal Distribution</w:t>
      </w:r>
    </w:p>
    <w:p>
      <w:pPr>
        <w:spacing w:after="120" w:before="0"/>
      </w:pPr>
      <w:r>
        <w:rPr>
          <w:rFonts w:ascii="Lato" w:hAnsi="Lato"/>
          <w:b w:val="0"/>
          <w:i w:val="0"/>
          <w:sz w:val="22"/>
        </w:rPr>
        <w:t>The chart below shows how the analysed data is distributed across years. This illustrates the recency and concentration of the evidence base.</w:t>
      </w:r>
    </w:p>
    <w:p>
      <w:pPr>
        <w:jc w:val="center"/>
      </w:pPr>
      <w:r>
        <w:drawing>
          <wp:inline xmlns:a="http://schemas.openxmlformats.org/drawingml/2006/main" xmlns:pic="http://schemas.openxmlformats.org/drawingml/2006/picture">
            <wp:extent cx="4572000" cy="1968099"/>
            <wp:docPr id="2" name="Picture 2"/>
            <wp:cNvGraphicFramePr>
              <a:graphicFrameLocks noChangeAspect="1"/>
            </wp:cNvGraphicFramePr>
            <a:graphic>
              <a:graphicData uri="http://schemas.openxmlformats.org/drawingml/2006/picture">
                <pic:pic>
                  <pic:nvPicPr>
                    <pic:cNvPr id="0" name="chart_temporal.png"/>
                    <pic:cNvPicPr/>
                  </pic:nvPicPr>
                  <pic:blipFill>
                    <a:blip r:embed="rId10"/>
                    <a:stretch>
                      <a:fillRect/>
                    </a:stretch>
                  </pic:blipFill>
                  <pic:spPr>
                    <a:xfrm>
                      <a:off x="0" y="0"/>
                      <a:ext cx="4572000" cy="1968099"/>
                    </a:xfrm>
                    <a:prstGeom prst="rect"/>
                  </pic:spPr>
                </pic:pic>
              </a:graphicData>
            </a:graphic>
          </wp:inline>
        </w:drawing>
      </w:r>
    </w:p>
    <w:p>
      <w:pPr>
        <w:spacing w:after="240"/>
        <w:jc w:val="center"/>
      </w:pPr>
      <w:r>
        <w:rPr>
          <w:rFonts w:ascii="Lato" w:hAnsi="Lato"/>
          <w:b w:val="0"/>
          <w:i/>
          <w:color w:val="6B7280"/>
          <w:sz w:val="18"/>
        </w:rPr>
        <w:t>Figure 2: Data distribution by year</w:t>
      </w:r>
    </w:p>
    <w:p>
      <w:pPr>
        <w:pStyle w:val="Heading2"/>
        <w:jc w:val="left"/>
      </w:pPr>
      <w:r>
        <w:rPr>
          <w:rFonts w:ascii="Lato" w:hAnsi="Lato"/>
          <w:b/>
          <w:color w:val="1E3A5F"/>
          <w:sz w:val="32"/>
        </w:rPr>
        <w:t>Collection Methodology</w:t>
      </w:r>
    </w:p>
    <w:p>
      <w:pPr>
        <w:spacing w:after="120" w:before="0"/>
      </w:pPr>
      <w:r>
        <w:rPr>
          <w:rFonts w:ascii="Lato" w:hAnsi="Lato"/>
          <w:b w:val="0"/>
          <w:i w:val="0"/>
          <w:sz w:val="22"/>
        </w:rPr>
        <w:t>Data was collected using automated scrapers with engagement-weighted filtering applied per platform. Thread-level deduplication caps comments per thread to prevent over-indexing vocal threads. All items passed an LLM relevance classification step before analysis.</w:t>
      </w:r>
    </w:p>
    <w:p>
      <w:r>
        <w:br w:type="page"/>
      </w:r>
    </w:p>
    <w:p>
      <w:pPr>
        <w:pStyle w:val="Heading1"/>
        <w:jc w:val="left"/>
      </w:pPr>
      <w:r>
        <w:rPr>
          <w:rFonts w:ascii="Lato" w:hAnsi="Lato"/>
          <w:b/>
          <w:color w:val="1E3A5F"/>
          <w:sz w:val="44"/>
        </w:rPr>
        <w:t>Sentiment &amp; Emotion Analysis</w:t>
      </w:r>
    </w:p>
    <w:p>
      <w:pPr>
        <w:pStyle w:val="Heading2"/>
        <w:jc w:val="left"/>
      </w:pPr>
      <w:r>
        <w:rPr>
          <w:rFonts w:ascii="Lato" w:hAnsi="Lato"/>
          <w:b/>
          <w:color w:val="1E3A5F"/>
          <w:sz w:val="32"/>
        </w:rPr>
        <w:t>Overall Sentiment Distribution</w:t>
      </w:r>
    </w:p>
    <w:p>
      <w:pPr>
        <w:spacing w:after="120" w:before="0"/>
      </w:pPr>
      <w:r>
        <w:rPr>
          <w:rFonts w:ascii="Lato" w:hAnsi="Lato"/>
          <w:b w:val="0"/>
          <w:i w:val="0"/>
          <w:sz w:val="22"/>
        </w:rPr>
        <w:t>Net Sentiment Score (NSS): +15.9%  |  Positive: 1484 (25.5%)  |  Negative: 558 (9.6%)  |  Neutral: 3528 (60.7%)</w:t>
      </w:r>
    </w:p>
    <w:p>
      <w:pPr>
        <w:spacing w:after="120" w:before="0"/>
      </w:pPr>
      <w:r>
        <w:rPr>
          <w:rFonts w:ascii="Lato" w:hAnsi="Lato"/>
          <w:b w:val="0"/>
          <w:i/>
          <w:color w:val="6B7280"/>
          <w:sz w:val="22"/>
        </w:rPr>
        <w:t>NSS is computed as (positive - negative) / total items. Range: -1.0 (all negative) to +1.0 (all positive). Neutral and mixed items remain in the denominator, anchoring the score to the full corpus rather than just polarised items. A positive NSS indicates net favourable sentiment; a negative NSS indicates net unfavourable.</w:t>
      </w:r>
    </w:p>
    <w:p>
      <w:pPr>
        <w:jc w:val="center"/>
      </w:pPr>
      <w:r>
        <w:drawing>
          <wp:inline xmlns:a="http://schemas.openxmlformats.org/drawingml/2006/main" xmlns:pic="http://schemas.openxmlformats.org/drawingml/2006/picture">
            <wp:extent cx="4572000" cy="1681223"/>
            <wp:docPr id="3" name="Picture 3"/>
            <wp:cNvGraphicFramePr>
              <a:graphicFrameLocks noChangeAspect="1"/>
            </wp:cNvGraphicFramePr>
            <a:graphic>
              <a:graphicData uri="http://schemas.openxmlformats.org/drawingml/2006/picture">
                <pic:pic>
                  <pic:nvPicPr>
                    <pic:cNvPr id="0" name="chart_sentiment.png"/>
                    <pic:cNvPicPr/>
                  </pic:nvPicPr>
                  <pic:blipFill>
                    <a:blip r:embed="rId11"/>
                    <a:stretch>
                      <a:fillRect/>
                    </a:stretch>
                  </pic:blipFill>
                  <pic:spPr>
                    <a:xfrm>
                      <a:off x="0" y="0"/>
                      <a:ext cx="4572000" cy="1681223"/>
                    </a:xfrm>
                    <a:prstGeom prst="rect"/>
                  </pic:spPr>
                </pic:pic>
              </a:graphicData>
            </a:graphic>
          </wp:inline>
        </w:drawing>
      </w:r>
    </w:p>
    <w:p>
      <w:pPr>
        <w:spacing w:after="240"/>
        <w:jc w:val="center"/>
      </w:pPr>
      <w:r>
        <w:rPr>
          <w:rFonts w:ascii="Lato" w:hAnsi="Lato"/>
          <w:b w:val="0"/>
          <w:i/>
          <w:color w:val="6B7280"/>
          <w:sz w:val="18"/>
        </w:rPr>
        <w:t>Figure 2: Sentiment distribution across 5,814 items</w:t>
      </w:r>
    </w:p>
    <w:p>
      <w:pPr>
        <w:pStyle w:val="Heading2"/>
        <w:jc w:val="left"/>
      </w:pPr>
      <w:r>
        <w:rPr>
          <w:rFonts w:ascii="Lato" w:hAnsi="Lato"/>
          <w:b/>
          <w:color w:val="1E3A5F"/>
          <w:sz w:val="32"/>
        </w:rPr>
        <w:t>Emotion Profile (Plutchik 8-Emotion Model)</w:t>
      </w:r>
    </w:p>
    <w:tbl>
      <w:tblPr>
        <w:tblStyle w:val="TableGrid"/>
        <w:tblW w:type="auto" w:w="0"/>
        <w:tblLook w:firstColumn="1" w:firstRow="1" w:lastColumn="0" w:lastRow="0" w:noHBand="0" w:noVBand="1" w:val="04A0"/>
      </w:tblPr>
      <w:tblGrid>
        <w:gridCol w:w="4703"/>
        <w:gridCol w:w="4703"/>
      </w:tblGrid>
      <w:tr>
        <w:tc>
          <w:tcPr>
            <w:tcW w:type="dxa" w:w="4703"/>
            <w:shd w:val="clear" w:color="auto" w:fill="1E3A5F"/>
          </w:tcPr>
          <w:p>
            <w:pPr>
              <w:spacing w:before="60" w:after="60"/>
            </w:pPr>
            <w:r/>
            <w:r>
              <w:rPr>
                <w:rFonts w:ascii="Lato" w:hAnsi="Lato"/>
                <w:b/>
                <w:i w:val="0"/>
                <w:color w:val="FFFFFF"/>
                <w:sz w:val="20"/>
              </w:rPr>
              <w:t>Emotion</w:t>
            </w:r>
          </w:p>
        </w:tc>
        <w:tc>
          <w:tcPr>
            <w:tcW w:type="dxa" w:w="4703"/>
            <w:shd w:val="clear" w:color="auto" w:fill="1E3A5F"/>
          </w:tcPr>
          <w:p>
            <w:pPr>
              <w:spacing w:before="60" w:after="60"/>
            </w:pPr>
            <w:r/>
            <w:r>
              <w:rPr>
                <w:rFonts w:ascii="Lato" w:hAnsi="Lato"/>
                <w:b/>
                <w:i w:val="0"/>
                <w:color w:val="FFFFFF"/>
                <w:sz w:val="20"/>
              </w:rPr>
              <w:t>Count</w:t>
            </w:r>
          </w:p>
        </w:tc>
      </w:tr>
      <w:tr>
        <w:tc>
          <w:tcPr>
            <w:tcW w:type="dxa" w:w="4703"/>
          </w:tcPr>
          <w:p>
            <w:r>
              <w:t>None</w:t>
            </w:r>
          </w:p>
        </w:tc>
        <w:tc>
          <w:tcPr>
            <w:tcW w:type="dxa" w:w="4703"/>
          </w:tcPr>
          <w:p>
            <w:r>
              <w:t>4962</w:t>
            </w:r>
          </w:p>
        </w:tc>
      </w:tr>
      <w:tr>
        <w:tc>
          <w:tcPr>
            <w:tcW w:type="dxa" w:w="4703"/>
          </w:tcPr>
          <w:p>
            <w:r>
              <w:t>Joy</w:t>
            </w:r>
          </w:p>
        </w:tc>
        <w:tc>
          <w:tcPr>
            <w:tcW w:type="dxa" w:w="4703"/>
          </w:tcPr>
          <w:p>
            <w:r>
              <w:t>786</w:t>
            </w:r>
          </w:p>
        </w:tc>
      </w:tr>
      <w:tr>
        <w:tc>
          <w:tcPr>
            <w:tcW w:type="dxa" w:w="4703"/>
          </w:tcPr>
          <w:p>
            <w:r>
              <w:t>Anticipation</w:t>
            </w:r>
          </w:p>
        </w:tc>
        <w:tc>
          <w:tcPr>
            <w:tcW w:type="dxa" w:w="4703"/>
          </w:tcPr>
          <w:p>
            <w:r>
              <w:t>671</w:t>
            </w:r>
          </w:p>
        </w:tc>
      </w:tr>
      <w:tr>
        <w:tc>
          <w:tcPr>
            <w:tcW w:type="dxa" w:w="4703"/>
          </w:tcPr>
          <w:p>
            <w:r>
              <w:t>Anger</w:t>
            </w:r>
          </w:p>
        </w:tc>
        <w:tc>
          <w:tcPr>
            <w:tcW w:type="dxa" w:w="4703"/>
          </w:tcPr>
          <w:p>
            <w:r>
              <w:t>344</w:t>
            </w:r>
          </w:p>
        </w:tc>
      </w:tr>
      <w:tr>
        <w:tc>
          <w:tcPr>
            <w:tcW w:type="dxa" w:w="4703"/>
          </w:tcPr>
          <w:p>
            <w:r>
              <w:t>Fear</w:t>
            </w:r>
          </w:p>
        </w:tc>
        <w:tc>
          <w:tcPr>
            <w:tcW w:type="dxa" w:w="4703"/>
          </w:tcPr>
          <w:p>
            <w:r>
              <w:t>329</w:t>
            </w:r>
          </w:p>
        </w:tc>
      </w:tr>
      <w:tr>
        <w:tc>
          <w:tcPr>
            <w:tcW w:type="dxa" w:w="4703"/>
          </w:tcPr>
          <w:p>
            <w:r>
              <w:t>Trust</w:t>
            </w:r>
          </w:p>
        </w:tc>
        <w:tc>
          <w:tcPr>
            <w:tcW w:type="dxa" w:w="4703"/>
          </w:tcPr>
          <w:p>
            <w:r>
              <w:t>315</w:t>
            </w:r>
          </w:p>
        </w:tc>
      </w:tr>
      <w:tr>
        <w:tc>
          <w:tcPr>
            <w:tcW w:type="dxa" w:w="4703"/>
          </w:tcPr>
          <w:p>
            <w:r>
              <w:t>Sadness</w:t>
            </w:r>
          </w:p>
        </w:tc>
        <w:tc>
          <w:tcPr>
            <w:tcW w:type="dxa" w:w="4703"/>
          </w:tcPr>
          <w:p>
            <w:r>
              <w:t>161</w:t>
            </w:r>
          </w:p>
        </w:tc>
      </w:tr>
      <w:tr>
        <w:tc>
          <w:tcPr>
            <w:tcW w:type="dxa" w:w="4703"/>
          </w:tcPr>
          <w:p>
            <w:r>
              <w:t>Disgust</w:t>
            </w:r>
          </w:p>
        </w:tc>
        <w:tc>
          <w:tcPr>
            <w:tcW w:type="dxa" w:w="4703"/>
          </w:tcPr>
          <w:p>
            <w:r>
              <w:t>147</w:t>
            </w:r>
          </w:p>
        </w:tc>
      </w:tr>
      <w:tr>
        <w:tc>
          <w:tcPr>
            <w:tcW w:type="dxa" w:w="4703"/>
          </w:tcPr>
          <w:p>
            <w:r>
              <w:t>Surprise</w:t>
            </w:r>
          </w:p>
        </w:tc>
        <w:tc>
          <w:tcPr>
            <w:tcW w:type="dxa" w:w="4703"/>
          </w:tcPr>
          <w:p>
            <w:r>
              <w:t>38</w:t>
            </w:r>
          </w:p>
        </w:tc>
      </w:tr>
    </w:tbl>
    <w:p>
      <w:pPr>
        <w:jc w:val="center"/>
      </w:pPr>
      <w:r>
        <w:drawing>
          <wp:inline xmlns:a="http://schemas.openxmlformats.org/drawingml/2006/main" xmlns:pic="http://schemas.openxmlformats.org/drawingml/2006/picture">
            <wp:extent cx="4572000" cy="2261357"/>
            <wp:docPr id="4" name="Picture 4"/>
            <wp:cNvGraphicFramePr>
              <a:graphicFrameLocks noChangeAspect="1"/>
            </wp:cNvGraphicFramePr>
            <a:graphic>
              <a:graphicData uri="http://schemas.openxmlformats.org/drawingml/2006/picture">
                <pic:pic>
                  <pic:nvPicPr>
                    <pic:cNvPr id="0" name="chart_emotions.png"/>
                    <pic:cNvPicPr/>
                  </pic:nvPicPr>
                  <pic:blipFill>
                    <a:blip r:embed="rId12"/>
                    <a:stretch>
                      <a:fillRect/>
                    </a:stretch>
                  </pic:blipFill>
                  <pic:spPr>
                    <a:xfrm>
                      <a:off x="0" y="0"/>
                      <a:ext cx="4572000" cy="2261357"/>
                    </a:xfrm>
                    <a:prstGeom prst="rect"/>
                  </pic:spPr>
                </pic:pic>
              </a:graphicData>
            </a:graphic>
          </wp:inline>
        </w:drawing>
      </w:r>
    </w:p>
    <w:p>
      <w:pPr>
        <w:spacing w:after="240"/>
        <w:jc w:val="center"/>
      </w:pPr>
      <w:r>
        <w:rPr>
          <w:rFonts w:ascii="Lato" w:hAnsi="Lato"/>
          <w:b w:val="0"/>
          <w:i/>
          <w:color w:val="6B7280"/>
          <w:sz w:val="18"/>
        </w:rPr>
        <w:t>Figure 3: Plutchik emotion distribution</w:t>
      </w:r>
    </w:p>
    <w:p>
      <w:pPr>
        <w:pStyle w:val="Heading2"/>
        <w:jc w:val="left"/>
      </w:pPr>
      <w:r>
        <w:rPr>
          <w:rFonts w:ascii="Lato" w:hAnsi="Lato"/>
          <w:b/>
          <w:color w:val="1E3A5F"/>
          <w:sz w:val="32"/>
        </w:rPr>
        <w:t>Aspect-Based Sentiment Analysis (ABSA)</w:t>
      </w:r>
    </w:p>
    <w:p>
      <w:pPr>
        <w:spacing w:after="120" w:before="0"/>
      </w:pPr>
      <w:r>
        <w:rPr>
          <w:rFonts w:ascii="Lato" w:hAnsi="Lato"/>
          <w:b w:val="0"/>
          <w:i w:val="0"/>
          <w:sz w:val="22"/>
        </w:rPr>
        <w:t>Aspects with ≥10 mentions are shown below. NSS is statistically meaningful only at this threshold.</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1E3A5F"/>
          </w:tcPr>
          <w:p>
            <w:pPr>
              <w:spacing w:before="60" w:after="60"/>
            </w:pPr>
            <w:r/>
            <w:r>
              <w:rPr>
                <w:rFonts w:ascii="Lato" w:hAnsi="Lato"/>
                <w:b/>
                <w:i w:val="0"/>
                <w:color w:val="FFFFFF"/>
                <w:sz w:val="20"/>
              </w:rPr>
              <w:t>Aspect</w:t>
            </w:r>
          </w:p>
        </w:tc>
        <w:tc>
          <w:tcPr>
            <w:tcW w:type="dxa" w:w="1881"/>
            <w:shd w:val="clear" w:color="auto" w:fill="1E3A5F"/>
          </w:tcPr>
          <w:p>
            <w:pPr>
              <w:spacing w:before="60" w:after="60"/>
            </w:pPr>
            <w:r/>
            <w:r>
              <w:rPr>
                <w:rFonts w:ascii="Lato" w:hAnsi="Lato"/>
                <w:b/>
                <w:i w:val="0"/>
                <w:color w:val="FFFFFF"/>
                <w:sz w:val="20"/>
              </w:rPr>
              <w:t>Total</w:t>
            </w:r>
          </w:p>
        </w:tc>
        <w:tc>
          <w:tcPr>
            <w:tcW w:type="dxa" w:w="1881"/>
            <w:shd w:val="clear" w:color="auto" w:fill="1E3A5F"/>
          </w:tcPr>
          <w:p>
            <w:pPr>
              <w:spacing w:before="60" w:after="60"/>
            </w:pPr>
            <w:r/>
            <w:r>
              <w:rPr>
                <w:rFonts w:ascii="Lato" w:hAnsi="Lato"/>
                <w:b/>
                <w:i w:val="0"/>
                <w:color w:val="FFFFFF"/>
                <w:sz w:val="20"/>
              </w:rPr>
              <w:t>Positive</w:t>
            </w:r>
          </w:p>
        </w:tc>
        <w:tc>
          <w:tcPr>
            <w:tcW w:type="dxa" w:w="1881"/>
            <w:shd w:val="clear" w:color="auto" w:fill="1E3A5F"/>
          </w:tcPr>
          <w:p>
            <w:pPr>
              <w:spacing w:before="60" w:after="60"/>
            </w:pPr>
            <w:r/>
            <w:r>
              <w:rPr>
                <w:rFonts w:ascii="Lato" w:hAnsi="Lato"/>
                <w:b/>
                <w:i w:val="0"/>
                <w:color w:val="FFFFFF"/>
                <w:sz w:val="20"/>
              </w:rPr>
              <w:t>Negative</w:t>
            </w:r>
          </w:p>
        </w:tc>
        <w:tc>
          <w:tcPr>
            <w:tcW w:type="dxa" w:w="1881"/>
            <w:shd w:val="clear" w:color="auto" w:fill="1E3A5F"/>
          </w:tcPr>
          <w:p>
            <w:pPr>
              <w:spacing w:before="60" w:after="60"/>
            </w:pPr>
            <w:r/>
            <w:r>
              <w:rPr>
                <w:rFonts w:ascii="Lato" w:hAnsi="Lato"/>
                <w:b/>
                <w:i w:val="0"/>
                <w:color w:val="FFFFFF"/>
                <w:sz w:val="20"/>
              </w:rPr>
              <w:t>NSS</w:t>
            </w:r>
          </w:p>
        </w:tc>
      </w:tr>
      <w:tr>
        <w:tc>
          <w:tcPr>
            <w:tcW w:type="dxa" w:w="1881"/>
          </w:tcPr>
          <w:p>
            <w:r>
              <w:t>Trade Competitiveness</w:t>
            </w:r>
          </w:p>
        </w:tc>
        <w:tc>
          <w:tcPr>
            <w:tcW w:type="dxa" w:w="1881"/>
          </w:tcPr>
          <w:p>
            <w:r>
              <w:t>1653</w:t>
            </w:r>
          </w:p>
        </w:tc>
        <w:tc>
          <w:tcPr>
            <w:tcW w:type="dxa" w:w="1881"/>
          </w:tcPr>
          <w:p>
            <w:r>
              <w:t>484</w:t>
            </w:r>
          </w:p>
        </w:tc>
        <w:tc>
          <w:tcPr>
            <w:tcW w:type="dxa" w:w="1881"/>
          </w:tcPr>
          <w:p>
            <w:r>
              <w:t>269</w:t>
            </w:r>
          </w:p>
        </w:tc>
        <w:tc>
          <w:tcPr>
            <w:tcW w:type="dxa" w:w="1881"/>
          </w:tcPr>
          <w:p>
            <w:r>
              <w:t>+13%</w:t>
            </w:r>
          </w:p>
        </w:tc>
      </w:tr>
      <w:tr>
        <w:tc>
          <w:tcPr>
            <w:tcW w:type="dxa" w:w="1881"/>
          </w:tcPr>
          <w:p>
            <w:r>
              <w:t>Startup Ecosystem</w:t>
            </w:r>
          </w:p>
        </w:tc>
        <w:tc>
          <w:tcPr>
            <w:tcW w:type="dxa" w:w="1881"/>
          </w:tcPr>
          <w:p>
            <w:r>
              <w:t>1564</w:t>
            </w:r>
          </w:p>
        </w:tc>
        <w:tc>
          <w:tcPr>
            <w:tcW w:type="dxa" w:w="1881"/>
          </w:tcPr>
          <w:p>
            <w:r>
              <w:t>486</w:t>
            </w:r>
          </w:p>
        </w:tc>
        <w:tc>
          <w:tcPr>
            <w:tcW w:type="dxa" w:w="1881"/>
          </w:tcPr>
          <w:p>
            <w:r>
              <w:t>248</w:t>
            </w:r>
          </w:p>
        </w:tc>
        <w:tc>
          <w:tcPr>
            <w:tcW w:type="dxa" w:w="1881"/>
          </w:tcPr>
          <w:p>
            <w:r>
              <w:t>+15%</w:t>
            </w:r>
          </w:p>
        </w:tc>
      </w:tr>
      <w:tr>
        <w:tc>
          <w:tcPr>
            <w:tcW w:type="dxa" w:w="1881"/>
          </w:tcPr>
          <w:p>
            <w:r>
              <w:t>Consumer Nationalism</w:t>
            </w:r>
          </w:p>
        </w:tc>
        <w:tc>
          <w:tcPr>
            <w:tcW w:type="dxa" w:w="1881"/>
          </w:tcPr>
          <w:p>
            <w:r>
              <w:t>1508</w:t>
            </w:r>
          </w:p>
        </w:tc>
        <w:tc>
          <w:tcPr>
            <w:tcW w:type="dxa" w:w="1881"/>
          </w:tcPr>
          <w:p>
            <w:r>
              <w:t>428</w:t>
            </w:r>
          </w:p>
        </w:tc>
        <w:tc>
          <w:tcPr>
            <w:tcW w:type="dxa" w:w="1881"/>
          </w:tcPr>
          <w:p>
            <w:r>
              <w:t>249</w:t>
            </w:r>
          </w:p>
        </w:tc>
        <w:tc>
          <w:tcPr>
            <w:tcW w:type="dxa" w:w="1881"/>
          </w:tcPr>
          <w:p>
            <w:r>
              <w:t>+12%</w:t>
            </w:r>
          </w:p>
        </w:tc>
      </w:tr>
      <w:tr>
        <w:tc>
          <w:tcPr>
            <w:tcW w:type="dxa" w:w="1881"/>
          </w:tcPr>
          <w:p>
            <w:r>
              <w:t>Policy Effectiveness</w:t>
            </w:r>
          </w:p>
        </w:tc>
        <w:tc>
          <w:tcPr>
            <w:tcW w:type="dxa" w:w="1881"/>
          </w:tcPr>
          <w:p>
            <w:r>
              <w:t>1470</w:t>
            </w:r>
          </w:p>
        </w:tc>
        <w:tc>
          <w:tcPr>
            <w:tcW w:type="dxa" w:w="1881"/>
          </w:tcPr>
          <w:p>
            <w:r>
              <w:t>457</w:t>
            </w:r>
          </w:p>
        </w:tc>
        <w:tc>
          <w:tcPr>
            <w:tcW w:type="dxa" w:w="1881"/>
          </w:tcPr>
          <w:p>
            <w:r>
              <w:t>233</w:t>
            </w:r>
          </w:p>
        </w:tc>
        <w:tc>
          <w:tcPr>
            <w:tcW w:type="dxa" w:w="1881"/>
          </w:tcPr>
          <w:p>
            <w:r>
              <w:t>+15%</w:t>
            </w:r>
          </w:p>
        </w:tc>
      </w:tr>
      <w:tr>
        <w:tc>
          <w:tcPr>
            <w:tcW w:type="dxa" w:w="1881"/>
          </w:tcPr>
          <w:p>
            <w:r>
              <w:t>Product Quality</w:t>
            </w:r>
          </w:p>
        </w:tc>
        <w:tc>
          <w:tcPr>
            <w:tcW w:type="dxa" w:w="1881"/>
          </w:tcPr>
          <w:p>
            <w:r>
              <w:t>1225</w:t>
            </w:r>
          </w:p>
        </w:tc>
        <w:tc>
          <w:tcPr>
            <w:tcW w:type="dxa" w:w="1881"/>
          </w:tcPr>
          <w:p>
            <w:r>
              <w:t>426</w:t>
            </w:r>
          </w:p>
        </w:tc>
        <w:tc>
          <w:tcPr>
            <w:tcW w:type="dxa" w:w="1881"/>
          </w:tcPr>
          <w:p>
            <w:r>
              <w:t>184</w:t>
            </w:r>
          </w:p>
        </w:tc>
        <w:tc>
          <w:tcPr>
            <w:tcW w:type="dxa" w:w="1881"/>
          </w:tcPr>
          <w:p>
            <w:r>
              <w:t>+20%</w:t>
            </w:r>
          </w:p>
        </w:tc>
      </w:tr>
      <w:tr>
        <w:tc>
          <w:tcPr>
            <w:tcW w:type="dxa" w:w="1881"/>
          </w:tcPr>
          <w:p>
            <w:r>
              <w:t>Sector Performance</w:t>
            </w:r>
          </w:p>
        </w:tc>
        <w:tc>
          <w:tcPr>
            <w:tcW w:type="dxa" w:w="1881"/>
          </w:tcPr>
          <w:p>
            <w:r>
              <w:t>958</w:t>
            </w:r>
          </w:p>
        </w:tc>
        <w:tc>
          <w:tcPr>
            <w:tcW w:type="dxa" w:w="1881"/>
          </w:tcPr>
          <w:p>
            <w:r>
              <w:t>361</w:t>
            </w:r>
          </w:p>
        </w:tc>
        <w:tc>
          <w:tcPr>
            <w:tcW w:type="dxa" w:w="1881"/>
          </w:tcPr>
          <w:p>
            <w:r>
              <w:t>137</w:t>
            </w:r>
          </w:p>
        </w:tc>
        <w:tc>
          <w:tcPr>
            <w:tcW w:type="dxa" w:w="1881"/>
          </w:tcPr>
          <w:p>
            <w:r>
              <w:t>+23%</w:t>
            </w:r>
          </w:p>
        </w:tc>
      </w:tr>
      <w:tr>
        <w:tc>
          <w:tcPr>
            <w:tcW w:type="dxa" w:w="1881"/>
          </w:tcPr>
          <w:p>
            <w:r>
              <w:t>Price Competitiveness</w:t>
            </w:r>
          </w:p>
        </w:tc>
        <w:tc>
          <w:tcPr>
            <w:tcW w:type="dxa" w:w="1881"/>
          </w:tcPr>
          <w:p>
            <w:r>
              <w:t>871</w:t>
            </w:r>
          </w:p>
        </w:tc>
        <w:tc>
          <w:tcPr>
            <w:tcW w:type="dxa" w:w="1881"/>
          </w:tcPr>
          <w:p>
            <w:r>
              <w:t>216</w:t>
            </w:r>
          </w:p>
        </w:tc>
        <w:tc>
          <w:tcPr>
            <w:tcW w:type="dxa" w:w="1881"/>
          </w:tcPr>
          <w:p>
            <w:r>
              <w:t>151</w:t>
            </w:r>
          </w:p>
        </w:tc>
        <w:tc>
          <w:tcPr>
            <w:tcW w:type="dxa" w:w="1881"/>
          </w:tcPr>
          <w:p>
            <w:r>
              <w:t>+7%</w:t>
            </w:r>
          </w:p>
        </w:tc>
      </w:tr>
      <w:tr>
        <w:tc>
          <w:tcPr>
            <w:tcW w:type="dxa" w:w="1881"/>
          </w:tcPr>
          <w:p>
            <w:r>
              <w:t>Employment Impact</w:t>
            </w:r>
          </w:p>
        </w:tc>
        <w:tc>
          <w:tcPr>
            <w:tcW w:type="dxa" w:w="1881"/>
          </w:tcPr>
          <w:p>
            <w:r>
              <w:t>756</w:t>
            </w:r>
          </w:p>
        </w:tc>
        <w:tc>
          <w:tcPr>
            <w:tcW w:type="dxa" w:w="1881"/>
          </w:tcPr>
          <w:p>
            <w:r>
              <w:t>228</w:t>
            </w:r>
          </w:p>
        </w:tc>
        <w:tc>
          <w:tcPr>
            <w:tcW w:type="dxa" w:w="1881"/>
          </w:tcPr>
          <w:p>
            <w:r>
              <w:t>121</w:t>
            </w:r>
          </w:p>
        </w:tc>
        <w:tc>
          <w:tcPr>
            <w:tcW w:type="dxa" w:w="1881"/>
          </w:tcPr>
          <w:p>
            <w:r>
              <w:t>+14%</w:t>
            </w:r>
          </w:p>
        </w:tc>
      </w:tr>
      <w:tr>
        <w:tc>
          <w:tcPr>
            <w:tcW w:type="dxa" w:w="1881"/>
          </w:tcPr>
          <w:p>
            <w:r>
              <w:t>Self Reliance</w:t>
            </w:r>
          </w:p>
        </w:tc>
        <w:tc>
          <w:tcPr>
            <w:tcW w:type="dxa" w:w="1881"/>
          </w:tcPr>
          <w:p>
            <w:r>
              <w:t>640</w:t>
            </w:r>
          </w:p>
        </w:tc>
        <w:tc>
          <w:tcPr>
            <w:tcW w:type="dxa" w:w="1881"/>
          </w:tcPr>
          <w:p>
            <w:r>
              <w:t>265</w:t>
            </w:r>
          </w:p>
        </w:tc>
        <w:tc>
          <w:tcPr>
            <w:tcW w:type="dxa" w:w="1881"/>
          </w:tcPr>
          <w:p>
            <w:r>
              <w:t>86</w:t>
            </w:r>
          </w:p>
        </w:tc>
        <w:tc>
          <w:tcPr>
            <w:tcW w:type="dxa" w:w="1881"/>
          </w:tcPr>
          <w:p>
            <w:r>
              <w:t>+28%</w:t>
            </w:r>
          </w:p>
        </w:tc>
      </w:tr>
    </w:tbl>
    <w:p>
      <w:pPr>
        <w:spacing w:after="120" w:before="0"/>
      </w:pPr>
      <w:r>
        <w:rPr>
          <w:rFonts w:ascii="Lato" w:hAnsi="Lato"/>
          <w:b w:val="0"/>
          <w:i w:val="0"/>
          <w:sz w:val="22"/>
        </w:rPr>
      </w:r>
    </w:p>
    <w:p>
      <w:pPr>
        <w:jc w:val="center"/>
      </w:pPr>
      <w:r>
        <w:drawing>
          <wp:inline xmlns:a="http://schemas.openxmlformats.org/drawingml/2006/main" xmlns:pic="http://schemas.openxmlformats.org/drawingml/2006/picture">
            <wp:extent cx="5029200" cy="2984220"/>
            <wp:docPr id="5" name="Picture 5"/>
            <wp:cNvGraphicFramePr>
              <a:graphicFrameLocks noChangeAspect="1"/>
            </wp:cNvGraphicFramePr>
            <a:graphic>
              <a:graphicData uri="http://schemas.openxmlformats.org/drawingml/2006/picture">
                <pic:pic>
                  <pic:nvPicPr>
                    <pic:cNvPr id="0" name="chart_aspect_heatmap.png"/>
                    <pic:cNvPicPr/>
                  </pic:nvPicPr>
                  <pic:blipFill>
                    <a:blip r:embed="rId13"/>
                    <a:stretch>
                      <a:fillRect/>
                    </a:stretch>
                  </pic:blipFill>
                  <pic:spPr>
                    <a:xfrm>
                      <a:off x="0" y="0"/>
                      <a:ext cx="5029200" cy="2984220"/>
                    </a:xfrm>
                    <a:prstGeom prst="rect"/>
                  </pic:spPr>
                </pic:pic>
              </a:graphicData>
            </a:graphic>
          </wp:inline>
        </w:drawing>
      </w:r>
    </w:p>
    <w:p>
      <w:pPr>
        <w:spacing w:after="240"/>
        <w:jc w:val="center"/>
      </w:pPr>
      <w:r>
        <w:rPr>
          <w:rFonts w:ascii="Lato" w:hAnsi="Lato"/>
          <w:b w:val="0"/>
          <w:i/>
          <w:color w:val="6B7280"/>
          <w:sz w:val="18"/>
        </w:rPr>
        <w:t>Figure 4: Aspect sentiment heatmap (aspects with ≥10 mentions)</w:t>
      </w:r>
    </w:p>
    <w:p>
      <w:r>
        <w:br w:type="page"/>
      </w:r>
    </w:p>
    <w:p>
      <w:pPr>
        <w:pStyle w:val="Heading1"/>
        <w:jc w:val="left"/>
      </w:pPr>
      <w:r>
        <w:rPr>
          <w:rFonts w:ascii="Lato" w:hAnsi="Lato"/>
          <w:b/>
          <w:color w:val="1E3A5F"/>
          <w:sz w:val="44"/>
        </w:rPr>
        <w:t>Insight Landscape</w:t>
      </w:r>
    </w:p>
    <w:p>
      <w:pPr>
        <w:spacing w:after="120" w:before="0"/>
      </w:pPr>
      <w:r>
        <w:rPr>
          <w:rFonts w:ascii="Lato" w:hAnsi="Lato"/>
          <w:b w:val="0"/>
          <w:i w:val="0"/>
          <w:sz w:val="22"/>
        </w:rPr>
        <w:t>16 insights were identified from 5,814 items using a two-pass extraction approach (stratified discovery sample + full-corpus mapping).</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shd w:val="clear" w:color="auto" w:fill="1E3A5F"/>
          </w:tcPr>
          <w:p>
            <w:pPr>
              <w:spacing w:before="60" w:after="60"/>
            </w:pPr>
            <w:r/>
            <w:r>
              <w:rPr>
                <w:rFonts w:ascii="Lato" w:hAnsi="Lato"/>
                <w:b/>
                <w:i w:val="0"/>
                <w:color w:val="FFFFFF"/>
                <w:sz w:val="20"/>
              </w:rPr>
              <w:t>Insight</w:t>
            </w:r>
          </w:p>
        </w:tc>
        <w:tc>
          <w:tcPr>
            <w:tcW w:type="dxa" w:w="1568"/>
            <w:shd w:val="clear" w:color="auto" w:fill="1E3A5F"/>
          </w:tcPr>
          <w:p>
            <w:pPr>
              <w:spacing w:before="60" w:after="60"/>
            </w:pPr>
            <w:r/>
            <w:r>
              <w:rPr>
                <w:rFonts w:ascii="Lato" w:hAnsi="Lato"/>
                <w:b/>
                <w:i w:val="0"/>
                <w:color w:val="FFFFFF"/>
                <w:sz w:val="20"/>
              </w:rPr>
              <w:t>Items</w:t>
            </w:r>
          </w:p>
        </w:tc>
        <w:tc>
          <w:tcPr>
            <w:tcW w:type="dxa" w:w="1568"/>
            <w:shd w:val="clear" w:color="auto" w:fill="1E3A5F"/>
          </w:tcPr>
          <w:p>
            <w:pPr>
              <w:spacing w:before="60" w:after="60"/>
            </w:pPr>
            <w:r/>
            <w:r>
              <w:rPr>
                <w:rFonts w:ascii="Lato" w:hAnsi="Lato"/>
                <w:b/>
                <w:i w:val="0"/>
                <w:color w:val="FFFFFF"/>
                <w:sz w:val="20"/>
              </w:rPr>
              <w:t>Prevalence in Dataset</w:t>
            </w:r>
          </w:p>
        </w:tc>
        <w:tc>
          <w:tcPr>
            <w:tcW w:type="dxa" w:w="1568"/>
            <w:shd w:val="clear" w:color="auto" w:fill="1E3A5F"/>
          </w:tcPr>
          <w:p>
            <w:pPr>
              <w:spacing w:before="60" w:after="60"/>
            </w:pPr>
            <w:r/>
            <w:r>
              <w:rPr>
                <w:rFonts w:ascii="Lato" w:hAnsi="Lato"/>
                <w:b/>
                <w:i w:val="0"/>
                <w:color w:val="FFFFFF"/>
                <w:sz w:val="20"/>
              </w:rPr>
              <w:t>Signal Strength</w:t>
            </w:r>
          </w:p>
        </w:tc>
        <w:tc>
          <w:tcPr>
            <w:tcW w:type="dxa" w:w="1568"/>
            <w:shd w:val="clear" w:color="auto" w:fill="1E3A5F"/>
          </w:tcPr>
          <w:p>
            <w:pPr>
              <w:spacing w:before="60" w:after="60"/>
            </w:pPr>
            <w:r/>
            <w:r>
              <w:rPr>
                <w:rFonts w:ascii="Lato" w:hAnsi="Lato"/>
                <w:b/>
                <w:i w:val="0"/>
                <w:color w:val="FFFFFF"/>
                <w:sz w:val="20"/>
              </w:rPr>
              <w:t>Confidence Score</w:t>
            </w:r>
          </w:p>
        </w:tc>
        <w:tc>
          <w:tcPr>
            <w:tcW w:type="dxa" w:w="1568"/>
            <w:shd w:val="clear" w:color="auto" w:fill="1E3A5F"/>
          </w:tcPr>
          <w:p>
            <w:pPr>
              <w:spacing w:before="60" w:after="60"/>
            </w:pPr>
            <w:r/>
            <w:r>
              <w:rPr>
                <w:rFonts w:ascii="Lato" w:hAnsi="Lato"/>
                <w:b/>
                <w:i w:val="0"/>
                <w:color w:val="FFFFFF"/>
                <w:sz w:val="20"/>
              </w:rPr>
              <w:t>NSS</w:t>
            </w:r>
          </w:p>
        </w:tc>
      </w:tr>
      <w:tr>
        <w:tc>
          <w:tcPr>
            <w:tcW w:type="dxa" w:w="1568"/>
          </w:tcPr>
          <w:p>
            <w:r>
              <w:t>Political Polarisation &amp; Narrative Wars</w:t>
            </w:r>
          </w:p>
        </w:tc>
        <w:tc>
          <w:tcPr>
            <w:tcW w:type="dxa" w:w="1568"/>
          </w:tcPr>
          <w:p>
            <w:r>
              <w:t>2024</w:t>
            </w:r>
          </w:p>
        </w:tc>
        <w:tc>
          <w:tcPr>
            <w:tcW w:type="dxa" w:w="1568"/>
          </w:tcPr>
          <w:p>
            <w:r>
              <w:t>34.8%</w:t>
            </w:r>
          </w:p>
        </w:tc>
        <w:tc>
          <w:tcPr>
            <w:tcW w:type="dxa" w:w="1568"/>
          </w:tcPr>
          <w:p>
            <w:r>
              <w:t>57% (Moderate)</w:t>
            </w:r>
          </w:p>
        </w:tc>
        <w:tc>
          <w:tcPr>
            <w:tcW w:type="dxa" w:w="1568"/>
          </w:tcPr>
          <w:p>
            <w:r>
              <w:t>70% (Medium)</w:t>
            </w:r>
          </w:p>
        </w:tc>
        <w:tc>
          <w:tcPr>
            <w:tcW w:type="dxa" w:w="1568"/>
          </w:tcPr>
          <w:p>
            <w:r>
              <w:t>+13%</w:t>
            </w:r>
          </w:p>
        </w:tc>
      </w:tr>
      <w:tr>
        <w:tc>
          <w:tcPr>
            <w:tcW w:type="dxa" w:w="1568"/>
          </w:tcPr>
          <w:p>
            <w:r>
              <w:t>Make in India Policy - Success vs Failure Debate</w:t>
            </w:r>
          </w:p>
        </w:tc>
        <w:tc>
          <w:tcPr>
            <w:tcW w:type="dxa" w:w="1568"/>
          </w:tcPr>
          <w:p>
            <w:r>
              <w:t>1990</w:t>
            </w:r>
          </w:p>
        </w:tc>
        <w:tc>
          <w:tcPr>
            <w:tcW w:type="dxa" w:w="1568"/>
          </w:tcPr>
          <w:p>
            <w:r>
              <w:t>34.2%</w:t>
            </w:r>
          </w:p>
        </w:tc>
        <w:tc>
          <w:tcPr>
            <w:tcW w:type="dxa" w:w="1568"/>
          </w:tcPr>
          <w:p>
            <w:r>
              <w:t>59% (Moderate)</w:t>
            </w:r>
          </w:p>
        </w:tc>
        <w:tc>
          <w:tcPr>
            <w:tcW w:type="dxa" w:w="1568"/>
          </w:tcPr>
          <w:p>
            <w:r>
              <w:t>66% (Medium)</w:t>
            </w:r>
          </w:p>
        </w:tc>
        <w:tc>
          <w:tcPr>
            <w:tcW w:type="dxa" w:w="1568"/>
          </w:tcPr>
          <w:p>
            <w:r>
              <w:t>+16%</w:t>
            </w:r>
          </w:p>
        </w:tc>
      </w:tr>
      <w:tr>
        <w:tc>
          <w:tcPr>
            <w:tcW w:type="dxa" w:w="1568"/>
          </w:tcPr>
          <w:p>
            <w:r>
              <w:t>PLI Scheme, FDI &amp; Industrial Policy</w:t>
            </w:r>
          </w:p>
        </w:tc>
        <w:tc>
          <w:tcPr>
            <w:tcW w:type="dxa" w:w="1568"/>
          </w:tcPr>
          <w:p>
            <w:r>
              <w:t>932</w:t>
            </w:r>
          </w:p>
        </w:tc>
        <w:tc>
          <w:tcPr>
            <w:tcW w:type="dxa" w:w="1568"/>
          </w:tcPr>
          <w:p>
            <w:r>
              <w:t>16.0%</w:t>
            </w:r>
          </w:p>
        </w:tc>
        <w:tc>
          <w:tcPr>
            <w:tcW w:type="dxa" w:w="1568"/>
          </w:tcPr>
          <w:p>
            <w:r>
              <w:t>60% (Moderate)</w:t>
            </w:r>
          </w:p>
        </w:tc>
        <w:tc>
          <w:tcPr>
            <w:tcW w:type="dxa" w:w="1568"/>
          </w:tcPr>
          <w:p>
            <w:r>
              <w:t>65% (Medium)</w:t>
            </w:r>
          </w:p>
        </w:tc>
        <w:tc>
          <w:tcPr>
            <w:tcW w:type="dxa" w:w="1568"/>
          </w:tcPr>
          <w:p>
            <w:r>
              <w:t>+28%</w:t>
            </w:r>
          </w:p>
        </w:tc>
      </w:tr>
      <w:tr>
        <w:tc>
          <w:tcPr>
            <w:tcW w:type="dxa" w:w="1568"/>
          </w:tcPr>
          <w:p>
            <w:r>
              <w:t>Employment, Jobs &amp; MSME Impact</w:t>
            </w:r>
          </w:p>
        </w:tc>
        <w:tc>
          <w:tcPr>
            <w:tcW w:type="dxa" w:w="1568"/>
          </w:tcPr>
          <w:p>
            <w:r>
              <w:t>859</w:t>
            </w:r>
          </w:p>
        </w:tc>
        <w:tc>
          <w:tcPr>
            <w:tcW w:type="dxa" w:w="1568"/>
          </w:tcPr>
          <w:p>
            <w:r>
              <w:t>14.8%</w:t>
            </w:r>
          </w:p>
        </w:tc>
        <w:tc>
          <w:tcPr>
            <w:tcW w:type="dxa" w:w="1568"/>
          </w:tcPr>
          <w:p>
            <w:r>
              <w:t>65% (Moderate)</w:t>
            </w:r>
          </w:p>
        </w:tc>
        <w:tc>
          <w:tcPr>
            <w:tcW w:type="dxa" w:w="1568"/>
          </w:tcPr>
          <w:p>
            <w:r>
              <w:t>68% (Medium)</w:t>
            </w:r>
          </w:p>
        </w:tc>
        <w:tc>
          <w:tcPr>
            <w:tcW w:type="dxa" w:w="1568"/>
          </w:tcPr>
          <w:p>
            <w:r>
              <w:t>+25%</w:t>
            </w:r>
          </w:p>
        </w:tc>
      </w:tr>
      <w:tr>
        <w:tc>
          <w:tcPr>
            <w:tcW w:type="dxa" w:w="1568"/>
          </w:tcPr>
          <w:p>
            <w:r>
              <w:t>China Dependency Paradox</w:t>
            </w:r>
          </w:p>
        </w:tc>
        <w:tc>
          <w:tcPr>
            <w:tcW w:type="dxa" w:w="1568"/>
          </w:tcPr>
          <w:p>
            <w:r>
              <w:t>770</w:t>
            </w:r>
          </w:p>
        </w:tc>
        <w:tc>
          <w:tcPr>
            <w:tcW w:type="dxa" w:w="1568"/>
          </w:tcPr>
          <w:p>
            <w:r>
              <w:t>13.2%</w:t>
            </w:r>
          </w:p>
        </w:tc>
        <w:tc>
          <w:tcPr>
            <w:tcW w:type="dxa" w:w="1568"/>
          </w:tcPr>
          <w:p>
            <w:r>
              <w:t>52% (Moderate)</w:t>
            </w:r>
          </w:p>
        </w:tc>
        <w:tc>
          <w:tcPr>
            <w:tcW w:type="dxa" w:w="1568"/>
          </w:tcPr>
          <w:p>
            <w:r>
              <w:t>65% (Medium)</w:t>
            </w:r>
          </w:p>
        </w:tc>
        <w:tc>
          <w:tcPr>
            <w:tcW w:type="dxa" w:w="1568"/>
          </w:tcPr>
          <w:p>
            <w:r>
              <w:t>+10%</w:t>
            </w:r>
          </w:p>
        </w:tc>
      </w:tr>
      <w:tr>
        <w:tc>
          <w:tcPr>
            <w:tcW w:type="dxa" w:w="1568"/>
          </w:tcPr>
          <w:p>
            <w:r>
              <w:t>Vocal for Local &amp; Swadeshi Movement</w:t>
            </w:r>
          </w:p>
        </w:tc>
        <w:tc>
          <w:tcPr>
            <w:tcW w:type="dxa" w:w="1568"/>
          </w:tcPr>
          <w:p>
            <w:r>
              <w:t>665</w:t>
            </w:r>
          </w:p>
        </w:tc>
        <w:tc>
          <w:tcPr>
            <w:tcW w:type="dxa" w:w="1568"/>
          </w:tcPr>
          <w:p>
            <w:r>
              <w:t>11.4%</w:t>
            </w:r>
          </w:p>
        </w:tc>
        <w:tc>
          <w:tcPr>
            <w:tcW w:type="dxa" w:w="1568"/>
          </w:tcPr>
          <w:p>
            <w:r>
              <w:t>45% (Weak)</w:t>
            </w:r>
          </w:p>
        </w:tc>
        <w:tc>
          <w:tcPr>
            <w:tcW w:type="dxa" w:w="1568"/>
          </w:tcPr>
          <w:p>
            <w:r>
              <w:t>61% (Medium)</w:t>
            </w:r>
          </w:p>
        </w:tc>
        <w:tc>
          <w:tcPr>
            <w:tcW w:type="dxa" w:w="1568"/>
          </w:tcPr>
          <w:p>
            <w:r>
              <w:t>+29%</w:t>
            </w:r>
          </w:p>
        </w:tc>
      </w:tr>
      <w:tr>
        <w:tc>
          <w:tcPr>
            <w:tcW w:type="dxa" w:w="1568"/>
          </w:tcPr>
          <w:p>
            <w:r>
              <w:t>Defence &amp; Strategic Manufacturing</w:t>
            </w:r>
          </w:p>
        </w:tc>
        <w:tc>
          <w:tcPr>
            <w:tcW w:type="dxa" w:w="1568"/>
          </w:tcPr>
          <w:p>
            <w:r>
              <w:t>649</w:t>
            </w:r>
          </w:p>
        </w:tc>
        <w:tc>
          <w:tcPr>
            <w:tcW w:type="dxa" w:w="1568"/>
          </w:tcPr>
          <w:p>
            <w:r>
              <w:t>11.2%</w:t>
            </w:r>
          </w:p>
        </w:tc>
        <w:tc>
          <w:tcPr>
            <w:tcW w:type="dxa" w:w="1568"/>
          </w:tcPr>
          <w:p>
            <w:r>
              <w:t>61% (Moderate)</w:t>
            </w:r>
          </w:p>
        </w:tc>
        <w:tc>
          <w:tcPr>
            <w:tcW w:type="dxa" w:w="1568"/>
          </w:tcPr>
          <w:p>
            <w:r>
              <w:t>64% (Medium)</w:t>
            </w:r>
          </w:p>
        </w:tc>
        <w:tc>
          <w:tcPr>
            <w:tcW w:type="dxa" w:w="1568"/>
          </w:tcPr>
          <w:p>
            <w:r>
              <w:t>+25%</w:t>
            </w:r>
          </w:p>
        </w:tc>
      </w:tr>
      <w:tr>
        <w:tc>
          <w:tcPr>
            <w:tcW w:type="dxa" w:w="1568"/>
          </w:tcPr>
          <w:p>
            <w:r>
              <w:t>Indian D2C Brands &amp; Startup Ecosystem</w:t>
            </w:r>
          </w:p>
        </w:tc>
        <w:tc>
          <w:tcPr>
            <w:tcW w:type="dxa" w:w="1568"/>
          </w:tcPr>
          <w:p>
            <w:r>
              <w:t>624</w:t>
            </w:r>
          </w:p>
        </w:tc>
        <w:tc>
          <w:tcPr>
            <w:tcW w:type="dxa" w:w="1568"/>
          </w:tcPr>
          <w:p>
            <w:r>
              <w:t>10.7%</w:t>
            </w:r>
          </w:p>
        </w:tc>
        <w:tc>
          <w:tcPr>
            <w:tcW w:type="dxa" w:w="1568"/>
          </w:tcPr>
          <w:p>
            <w:r>
              <w:t>51% (Moderate)</w:t>
            </w:r>
          </w:p>
        </w:tc>
        <w:tc>
          <w:tcPr>
            <w:tcW w:type="dxa" w:w="1568"/>
          </w:tcPr>
          <w:p>
            <w:r>
              <w:t>64% (Medium)</w:t>
            </w:r>
          </w:p>
        </w:tc>
        <w:tc>
          <w:tcPr>
            <w:tcW w:type="dxa" w:w="1568"/>
          </w:tcPr>
          <w:p>
            <w:r>
              <w:t>+27%</w:t>
            </w:r>
          </w:p>
        </w:tc>
      </w:tr>
      <w:tr>
        <w:tc>
          <w:tcPr>
            <w:tcW w:type="dxa" w:w="1568"/>
          </w:tcPr>
          <w:p>
            <w:r>
              <w:t>Sector Success Stories - Mobile, Pharma, Electronics</w:t>
            </w:r>
          </w:p>
        </w:tc>
        <w:tc>
          <w:tcPr>
            <w:tcW w:type="dxa" w:w="1568"/>
          </w:tcPr>
          <w:p>
            <w:r>
              <w:t>532</w:t>
            </w:r>
          </w:p>
        </w:tc>
        <w:tc>
          <w:tcPr>
            <w:tcW w:type="dxa" w:w="1568"/>
          </w:tcPr>
          <w:p>
            <w:r>
              <w:t>9.2%</w:t>
            </w:r>
          </w:p>
        </w:tc>
        <w:tc>
          <w:tcPr>
            <w:tcW w:type="dxa" w:w="1568"/>
          </w:tcPr>
          <w:p>
            <w:r>
              <w:t>60% (Moderate)</w:t>
            </w:r>
          </w:p>
        </w:tc>
        <w:tc>
          <w:tcPr>
            <w:tcW w:type="dxa" w:w="1568"/>
          </w:tcPr>
          <w:p>
            <w:r>
              <w:t>65% (Medium)</w:t>
            </w:r>
          </w:p>
        </w:tc>
        <w:tc>
          <w:tcPr>
            <w:tcW w:type="dxa" w:w="1568"/>
          </w:tcPr>
          <w:p>
            <w:r>
              <w:t>+38%</w:t>
            </w:r>
          </w:p>
        </w:tc>
      </w:tr>
      <w:tr>
        <w:tc>
          <w:tcPr>
            <w:tcW w:type="dxa" w:w="1568"/>
          </w:tcPr>
          <w:p>
            <w:r>
              <w:t>Atmanirbhar Bharat &amp; Self-Reliance Vision</w:t>
            </w:r>
          </w:p>
        </w:tc>
        <w:tc>
          <w:tcPr>
            <w:tcW w:type="dxa" w:w="1568"/>
          </w:tcPr>
          <w:p>
            <w:r>
              <w:t>485</w:t>
            </w:r>
          </w:p>
        </w:tc>
        <w:tc>
          <w:tcPr>
            <w:tcW w:type="dxa" w:w="1568"/>
          </w:tcPr>
          <w:p>
            <w:r>
              <w:t>8.3%</w:t>
            </w:r>
          </w:p>
        </w:tc>
        <w:tc>
          <w:tcPr>
            <w:tcW w:type="dxa" w:w="1568"/>
          </w:tcPr>
          <w:p>
            <w:r>
              <w:t>45% (Weak)</w:t>
            </w:r>
          </w:p>
        </w:tc>
        <w:tc>
          <w:tcPr>
            <w:tcW w:type="dxa" w:w="1568"/>
          </w:tcPr>
          <w:p>
            <w:r>
              <w:t>61% (Medium)</w:t>
            </w:r>
          </w:p>
        </w:tc>
        <w:tc>
          <w:tcPr>
            <w:tcW w:type="dxa" w:w="1568"/>
          </w:tcPr>
          <w:p>
            <w:r>
              <w:t>+41%</w:t>
            </w:r>
          </w:p>
        </w:tc>
      </w:tr>
      <w:tr>
        <w:tc>
          <w:tcPr>
            <w:tcW w:type="dxa" w:w="1568"/>
          </w:tcPr>
          <w:p>
            <w:r>
              <w:t>Nationalism vs Consumer Pragmatism</w:t>
            </w:r>
          </w:p>
        </w:tc>
        <w:tc>
          <w:tcPr>
            <w:tcW w:type="dxa" w:w="1568"/>
          </w:tcPr>
          <w:p>
            <w:r>
              <w:t>397</w:t>
            </w:r>
          </w:p>
        </w:tc>
        <w:tc>
          <w:tcPr>
            <w:tcW w:type="dxa" w:w="1568"/>
          </w:tcPr>
          <w:p>
            <w:r>
              <w:t>6.8%</w:t>
            </w:r>
          </w:p>
        </w:tc>
        <w:tc>
          <w:tcPr>
            <w:tcW w:type="dxa" w:w="1568"/>
          </w:tcPr>
          <w:p>
            <w:r>
              <w:t>47% (Weak)</w:t>
            </w:r>
          </w:p>
        </w:tc>
        <w:tc>
          <w:tcPr>
            <w:tcW w:type="dxa" w:w="1568"/>
          </w:tcPr>
          <w:p>
            <w:r>
              <w:t>61% (Medium)</w:t>
            </w:r>
          </w:p>
        </w:tc>
        <w:tc>
          <w:tcPr>
            <w:tcW w:type="dxa" w:w="1568"/>
          </w:tcPr>
          <w:p>
            <w:r>
              <w:t>+34%</w:t>
            </w:r>
          </w:p>
        </w:tc>
      </w:tr>
      <w:tr>
        <w:tc>
          <w:tcPr>
            <w:tcW w:type="dxa" w:w="1568"/>
          </w:tcPr>
          <w:p>
            <w:r>
              <w:t>Quality Perception &amp; Trust Deficit</w:t>
            </w:r>
          </w:p>
        </w:tc>
        <w:tc>
          <w:tcPr>
            <w:tcW w:type="dxa" w:w="1568"/>
          </w:tcPr>
          <w:p>
            <w:r>
              <w:t>387</w:t>
            </w:r>
          </w:p>
        </w:tc>
        <w:tc>
          <w:tcPr>
            <w:tcW w:type="dxa" w:w="1568"/>
          </w:tcPr>
          <w:p>
            <w:r>
              <w:t>6.7%</w:t>
            </w:r>
          </w:p>
        </w:tc>
        <w:tc>
          <w:tcPr>
            <w:tcW w:type="dxa" w:w="1568"/>
          </w:tcPr>
          <w:p>
            <w:r>
              <w:t>59% (Moderate)</w:t>
            </w:r>
          </w:p>
        </w:tc>
        <w:tc>
          <w:tcPr>
            <w:tcW w:type="dxa" w:w="1568"/>
          </w:tcPr>
          <w:p>
            <w:r>
              <w:t>64% (Medium)</w:t>
            </w:r>
          </w:p>
        </w:tc>
        <w:tc>
          <w:tcPr>
            <w:tcW w:type="dxa" w:w="1568"/>
          </w:tcPr>
          <w:p>
            <w:r>
              <w:t>+20%</w:t>
            </w:r>
          </w:p>
        </w:tc>
      </w:tr>
      <w:tr>
        <w:tc>
          <w:tcPr>
            <w:tcW w:type="dxa" w:w="1568"/>
          </w:tcPr>
          <w:p>
            <w:r>
              <w:t>Tariff, Trade War &amp; Geopolitical Tensions</w:t>
            </w:r>
          </w:p>
        </w:tc>
        <w:tc>
          <w:tcPr>
            <w:tcW w:type="dxa" w:w="1568"/>
          </w:tcPr>
          <w:p>
            <w:r>
              <w:t>383</w:t>
            </w:r>
          </w:p>
        </w:tc>
        <w:tc>
          <w:tcPr>
            <w:tcW w:type="dxa" w:w="1568"/>
          </w:tcPr>
          <w:p>
            <w:r>
              <w:t>6.6%</w:t>
            </w:r>
          </w:p>
        </w:tc>
        <w:tc>
          <w:tcPr>
            <w:tcW w:type="dxa" w:w="1568"/>
          </w:tcPr>
          <w:p>
            <w:r>
              <w:t>61% (Moderate)</w:t>
            </w:r>
          </w:p>
        </w:tc>
        <w:tc>
          <w:tcPr>
            <w:tcW w:type="dxa" w:w="1568"/>
          </w:tcPr>
          <w:p>
            <w:r>
              <w:t>66% (Medium)</w:t>
            </w:r>
          </w:p>
        </w:tc>
        <w:tc>
          <w:tcPr>
            <w:tcW w:type="dxa" w:w="1568"/>
          </w:tcPr>
          <w:p>
            <w:r>
              <w:t>+22%</w:t>
            </w:r>
          </w:p>
        </w:tc>
      </w:tr>
      <w:tr>
        <w:tc>
          <w:tcPr>
            <w:tcW w:type="dxa" w:w="1568"/>
          </w:tcPr>
          <w:p>
            <w:r>
              <w:t>Assembly vs True Manufacturing</w:t>
            </w:r>
          </w:p>
        </w:tc>
        <w:tc>
          <w:tcPr>
            <w:tcW w:type="dxa" w:w="1568"/>
          </w:tcPr>
          <w:p>
            <w:r>
              <w:t>371</w:t>
            </w:r>
          </w:p>
        </w:tc>
        <w:tc>
          <w:tcPr>
            <w:tcW w:type="dxa" w:w="1568"/>
          </w:tcPr>
          <w:p>
            <w:r>
              <w:t>6.4%</w:t>
            </w:r>
          </w:p>
        </w:tc>
        <w:tc>
          <w:tcPr>
            <w:tcW w:type="dxa" w:w="1568"/>
          </w:tcPr>
          <w:p>
            <w:r>
              <w:t>51% (Moderate)</w:t>
            </w:r>
          </w:p>
        </w:tc>
        <w:tc>
          <w:tcPr>
            <w:tcW w:type="dxa" w:w="1568"/>
          </w:tcPr>
          <w:p>
            <w:r>
              <w:t>64% (Medium)</w:t>
            </w:r>
          </w:p>
        </w:tc>
        <w:tc>
          <w:tcPr>
            <w:tcW w:type="dxa" w:w="1568"/>
          </w:tcPr>
          <w:p>
            <w:r>
              <w:t>+20%</w:t>
            </w:r>
          </w:p>
        </w:tc>
      </w:tr>
      <w:tr>
        <w:tc>
          <w:tcPr>
            <w:tcW w:type="dxa" w:w="1568"/>
          </w:tcPr>
          <w:p>
            <w:r>
              <w:t>Boycott Foreign Brands &amp; Products</w:t>
            </w:r>
          </w:p>
        </w:tc>
        <w:tc>
          <w:tcPr>
            <w:tcW w:type="dxa" w:w="1568"/>
          </w:tcPr>
          <w:p>
            <w:r>
              <w:t>211</w:t>
            </w:r>
          </w:p>
        </w:tc>
        <w:tc>
          <w:tcPr>
            <w:tcW w:type="dxa" w:w="1568"/>
          </w:tcPr>
          <w:p>
            <w:r>
              <w:t>3.6%</w:t>
            </w:r>
          </w:p>
        </w:tc>
        <w:tc>
          <w:tcPr>
            <w:tcW w:type="dxa" w:w="1568"/>
          </w:tcPr>
          <w:p>
            <w:r>
              <w:t>52% (Moderate)</w:t>
            </w:r>
          </w:p>
        </w:tc>
        <w:tc>
          <w:tcPr>
            <w:tcW w:type="dxa" w:w="1568"/>
          </w:tcPr>
          <w:p>
            <w:r>
              <w:t>65% (Medium)</w:t>
            </w:r>
          </w:p>
        </w:tc>
        <w:tc>
          <w:tcPr>
            <w:tcW w:type="dxa" w:w="1568"/>
          </w:tcPr>
          <w:p>
            <w:r>
              <w:t>+14%</w:t>
            </w:r>
          </w:p>
        </w:tc>
      </w:tr>
      <w:tr>
        <w:tc>
          <w:tcPr>
            <w:tcW w:type="dxa" w:w="1568"/>
          </w:tcPr>
          <w:p>
            <w:r>
              <w:t>Indian Economic Growth &amp; Global Standing</w:t>
            </w:r>
          </w:p>
        </w:tc>
        <w:tc>
          <w:tcPr>
            <w:tcW w:type="dxa" w:w="1568"/>
          </w:tcPr>
          <w:p>
            <w:r>
              <w:t>172</w:t>
            </w:r>
          </w:p>
        </w:tc>
        <w:tc>
          <w:tcPr>
            <w:tcW w:type="dxa" w:w="1568"/>
          </w:tcPr>
          <w:p>
            <w:r>
              <w:t>3.0%</w:t>
            </w:r>
          </w:p>
        </w:tc>
        <w:tc>
          <w:tcPr>
            <w:tcW w:type="dxa" w:w="1568"/>
          </w:tcPr>
          <w:p>
            <w:r>
              <w:t>59% (Moderate)</w:t>
            </w:r>
          </w:p>
        </w:tc>
        <w:tc>
          <w:tcPr>
            <w:tcW w:type="dxa" w:w="1568"/>
          </w:tcPr>
          <w:p>
            <w:r>
              <w:t>66% (Medium)</w:t>
            </w:r>
          </w:p>
        </w:tc>
        <w:tc>
          <w:tcPr>
            <w:tcW w:type="dxa" w:w="1568"/>
          </w:tcPr>
          <w:p>
            <w:r>
              <w:t>+17%</w:t>
            </w:r>
          </w:p>
        </w:tc>
      </w:tr>
    </w:tbl>
    <w:p>
      <w:pPr>
        <w:jc w:val="center"/>
      </w:pPr>
      <w:r>
        <w:drawing>
          <wp:inline xmlns:a="http://schemas.openxmlformats.org/drawingml/2006/main" xmlns:pic="http://schemas.openxmlformats.org/drawingml/2006/picture">
            <wp:extent cx="5029200" cy="5035566"/>
            <wp:docPr id="6" name="Picture 6"/>
            <wp:cNvGraphicFramePr>
              <a:graphicFrameLocks noChangeAspect="1"/>
            </wp:cNvGraphicFramePr>
            <a:graphic>
              <a:graphicData uri="http://schemas.openxmlformats.org/drawingml/2006/picture">
                <pic:pic>
                  <pic:nvPicPr>
                    <pic:cNvPr id="0" name="chart_themes.png"/>
                    <pic:cNvPicPr/>
                  </pic:nvPicPr>
                  <pic:blipFill>
                    <a:blip r:embed="rId14"/>
                    <a:stretch>
                      <a:fillRect/>
                    </a:stretch>
                  </pic:blipFill>
                  <pic:spPr>
                    <a:xfrm>
                      <a:off x="0" y="0"/>
                      <a:ext cx="5029200" cy="5035566"/>
                    </a:xfrm>
                    <a:prstGeom prst="rect"/>
                  </pic:spPr>
                </pic:pic>
              </a:graphicData>
            </a:graphic>
          </wp:inline>
        </w:drawing>
      </w:r>
    </w:p>
    <w:p>
      <w:pPr>
        <w:spacing w:after="240"/>
        <w:jc w:val="center"/>
      </w:pPr>
      <w:r>
        <w:rPr>
          <w:rFonts w:ascii="Lato" w:hAnsi="Lato"/>
          <w:b w:val="0"/>
          <w:i/>
          <w:color w:val="6B7280"/>
          <w:sz w:val="18"/>
        </w:rPr>
        <w:t>Figure 5: Insight prevalence (% of total corpus)</w:t>
      </w:r>
    </w:p>
    <w:p>
      <w:r>
        <w:br w:type="page"/>
      </w:r>
    </w:p>
    <w:p>
      <w:pPr>
        <w:pStyle w:val="Heading1"/>
        <w:jc w:val="left"/>
      </w:pPr>
      <w:r>
        <w:rPr>
          <w:rFonts w:ascii="Lato" w:hAnsi="Lato"/>
          <w:b/>
          <w:color w:val="1E3A5F"/>
          <w:sz w:val="44"/>
        </w:rPr>
        <w:t>Insight Deep Dives</w:t>
      </w:r>
    </w:p>
    <w:p>
      <w:pPr>
        <w:spacing w:after="120" w:before="0"/>
      </w:pPr>
      <w:r>
        <w:rPr>
          <w:rFonts w:ascii="Lato" w:hAnsi="Lato"/>
          <w:b w:val="0"/>
          <w:i w:val="0"/>
          <w:sz w:val="22"/>
        </w:rPr>
        <w:t>One insight per theme, ordered by confidence score. Each insight follows the framework: What the Data Shows, What it Means, Business Implication and Rationale, Recommendation, Further Validation.</w:t>
      </w:r>
    </w:p>
    <w:p>
      <w:pPr>
        <w:pStyle w:val="Heading2"/>
        <w:jc w:val="left"/>
      </w:pPr>
      <w:r>
        <w:rPr>
          <w:rFonts w:ascii="Lato" w:hAnsi="Lato"/>
          <w:b/>
          <w:color w:val="1E3A5F"/>
          <w:sz w:val="32"/>
        </w:rPr>
        <w:t>01. Make in India Policy - Success vs Failure Debate</w:t>
      </w:r>
    </w:p>
    <w:p>
      <w:pPr>
        <w:spacing w:after="160"/>
      </w:pPr>
      <w:r>
        <w:rPr>
          <w:rFonts w:ascii="Lato" w:hAnsi="Lato"/>
          <w:b w:val="0"/>
          <w:i w:val="0"/>
          <w:color w:val="6B7280"/>
          <w:sz w:val="18"/>
        </w:rPr>
        <w:t>n=1990</w:t>
      </w:r>
      <w:r>
        <w:rPr>
          <w:rFonts w:ascii="Lato" w:hAnsi="Lato"/>
          <w:b w:val="0"/>
          <w:i w:val="0"/>
          <w:color w:val="374151"/>
          <w:sz w:val="18"/>
        </w:rPr>
        <w:t xml:space="preserve">  |  Confidence: </w:t>
      </w:r>
      <w:r>
        <w:rPr>
          <w:rFonts w:ascii="Lato" w:hAnsi="Lato"/>
          <w:b/>
          <w:i w:val="0"/>
          <w:color w:val="D97706"/>
          <w:sz w:val="18"/>
        </w:rPr>
        <w:t>70% (Medium)</w:t>
      </w:r>
      <w:r>
        <w:rPr>
          <w:rFonts w:ascii="Lato" w:hAnsi="Lato"/>
          <w:b w:val="0"/>
          <w:i w:val="0"/>
          <w:color w:val="374151"/>
          <w:sz w:val="18"/>
        </w:rPr>
        <w:t xml:space="preserve">  |  Signal: </w:t>
      </w:r>
      <w:r>
        <w:rPr>
          <w:rFonts w:ascii="Lato" w:hAnsi="Lato"/>
          <w:b/>
          <w:i w:val="0"/>
          <w:color w:val="374151"/>
          <w:sz w:val="18"/>
        </w:rPr>
        <w:t>57% (Moderate)</w:t>
      </w:r>
      <w:r>
        <w:rPr>
          <w:rFonts w:ascii="Lato" w:hAnsi="Lato"/>
          <w:b w:val="0"/>
          <w:i w:val="0"/>
          <w:color w:val="6B7280"/>
          <w:sz w:val="18"/>
        </w:rPr>
        <w:t xml:space="preserve">  |  34.2% of Dataset</w:t>
      </w:r>
      <w:r>
        <w:rPr>
          <w:rFonts w:ascii="Lato" w:hAnsi="Lato"/>
          <w:b w:val="0"/>
          <w:i w:val="0"/>
          <w:color w:val="6B7280"/>
          <w:sz w:val="18"/>
        </w:rPr>
        <w:t xml:space="preserve">  |  NSS: </w:t>
      </w:r>
      <w:r>
        <w:rPr>
          <w:rFonts w:ascii="Lato" w:hAnsi="Lato"/>
          <w:b/>
          <w:i w:val="0"/>
          <w:color w:val="059669"/>
          <w:sz w:val="18"/>
        </w:rPr>
        <w:t>+16%</w:t>
      </w:r>
    </w:p>
    <w:p>
      <w:pPr>
        <w:jc w:val="center"/>
      </w:pPr>
      <w:r>
        <w:drawing>
          <wp:inline xmlns:a="http://schemas.openxmlformats.org/drawingml/2006/main" xmlns:pic="http://schemas.openxmlformats.org/drawingml/2006/picture">
            <wp:extent cx="3474720" cy="3547185"/>
            <wp:docPr id="7" name="Picture 7"/>
            <wp:cNvGraphicFramePr>
              <a:graphicFrameLocks noChangeAspect="1"/>
            </wp:cNvGraphicFramePr>
            <a:graphic>
              <a:graphicData uri="http://schemas.openxmlformats.org/drawingml/2006/picture">
                <pic:pic>
                  <pic:nvPicPr>
                    <pic:cNvPr id="0" name="chart_radar_INS_001.png"/>
                    <pic:cNvPicPr/>
                  </pic:nvPicPr>
                  <pic:blipFill>
                    <a:blip r:embed="rId15"/>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Make in India Policy - Success vs Failure Debate</w:t>
      </w:r>
    </w:p>
    <w:p>
      <w:pPr>
        <w:pStyle w:val="Heading3"/>
        <w:jc w:val="left"/>
      </w:pPr>
      <w:r>
        <w:rPr>
          <w:rFonts w:ascii="Lato" w:hAnsi="Lato"/>
          <w:b/>
          <w:color w:val="1E3A5F"/>
          <w:sz w:val="26"/>
        </w:rPr>
        <w:t>What the Data Shows</w:t>
      </w:r>
    </w:p>
    <w:p>
      <w:pPr>
        <w:spacing w:after="120" w:before="0"/>
      </w:pPr>
      <w:r>
        <w:rPr>
          <w:rFonts w:ascii="Lato" w:hAnsi="Lato"/>
          <w:b w:val="0"/>
          <w:i w:val="0"/>
          <w:sz w:val="22"/>
        </w:rPr>
        <w:t>The Make in India policy debate is the single largest conversation theme with 371 mentions (6.4% of dataset). Supporters cite mobile manufacturing growth (2 factories in 2014 to 300+ in 2025), $667B cumulative FDI, and record pharma exports to 200+ countries. Critics counter that manufacturing's GDP share has fallen from 17.3% to ~14% (against a 25% target), unemployment persists at record highs, and FDI benefits large corporations not ordinary workers. NSS is +0.160 - mildly positive but deeply divided.</w:t>
      </w:r>
    </w:p>
    <w:p>
      <w:pPr>
        <w:pStyle w:val="Heading3"/>
        <w:jc w:val="left"/>
      </w:pPr>
      <w:r>
        <w:rPr>
          <w:rFonts w:ascii="Lato" w:hAnsi="Lato"/>
          <w:b/>
          <w:color w:val="1E3A5F"/>
          <w:sz w:val="26"/>
        </w:rPr>
        <w:t>What it Means</w:t>
      </w:r>
    </w:p>
    <w:p>
      <w:pPr>
        <w:spacing w:after="120" w:before="0"/>
      </w:pPr>
      <w:r>
        <w:rPr>
          <w:rFonts w:ascii="Lato" w:hAnsi="Lato"/>
          <w:b w:val="0"/>
          <w:i w:val="0"/>
          <w:sz w:val="22"/>
        </w:rPr>
        <w:t>The Make in India conversation has fractured into two irreconcilable narratives that talk past each other. Government supporters measure success in absolute terms (number of factories, total FDI inflow, export volumes) while critics measure in relative terms (GDP share, per-capita impact, employment rate). Neither side engages with the other's metrics, creating a discourse where both 'Make in India has succeeded' and 'Make in India has failed' can be simultaneously supported with legitimate data. This metrics disconnect is the defining feature of the MII debate.</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Any organisation engaging with the MII narrative - whether government, brand, or media - must be explicit about which metrics they are using and why. Cherry-picking statistics fuels the polarisation rather than informing the consumer or investor. The credibility gap between absolute and relative metrics creates space for independent, balanced analysis that acknowledges both the real achievements and the missed targets.</w:t>
      </w:r>
    </w:p>
    <w:p>
      <w:pPr>
        <w:pStyle w:val="Heading3"/>
        <w:jc w:val="left"/>
      </w:pPr>
      <w:r>
        <w:rPr>
          <w:rFonts w:ascii="Lato" w:hAnsi="Lato"/>
          <w:b/>
          <w:color w:val="1E3A5F"/>
          <w:sz w:val="26"/>
        </w:rPr>
        <w:t>Recommendation</w:t>
      </w:r>
    </w:p>
    <w:p>
      <w:pPr>
        <w:spacing w:after="120" w:before="0"/>
      </w:pPr>
      <w:r>
        <w:rPr>
          <w:rFonts w:ascii="Lato" w:hAnsi="Lato"/>
          <w:b w:val="0"/>
          <w:i w:val="0"/>
          <w:sz w:val="22"/>
        </w:rPr>
        <w:t>Develop a balanced 'MII Scorecard' that tracks both absolute progress (factory count, export value, FDI) AND relative performance (GDP share, employment generation per rupee invested, global manufacturing competitiveness index). Present both sides to build credibility with the informed middle ground that exists between partisan camps.</w:t>
      </w:r>
    </w:p>
    <w:p>
      <w:pPr>
        <w:pStyle w:val="Heading3"/>
        <w:jc w:val="left"/>
      </w:pPr>
      <w:r>
        <w:rPr>
          <w:rFonts w:ascii="Lato" w:hAnsi="Lato"/>
          <w:b/>
          <w:color w:val="1E3A5F"/>
          <w:sz w:val="26"/>
        </w:rPr>
        <w:t>Further Validation</w:t>
      </w:r>
    </w:p>
    <w:p>
      <w:pPr>
        <w:spacing w:after="120" w:before="0"/>
      </w:pPr>
      <w:r>
        <w:rPr>
          <w:rFonts w:ascii="Lato" w:hAnsi="Lato"/>
          <w:b w:val="0"/>
          <w:i w:val="0"/>
          <w:sz w:val="22"/>
        </w:rPr>
        <w:t>Commission independent economic analysis comparing India's manufacturing trajectory with Vietnam, Bangladesh, and Indonesia over the same 2014-2025 period using identical metrics. Survey consumer awareness of both sets of metrics.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"If anyone can make any documents in India, then it is the failure of our Indian system; a citizen of India should not be blamed or questioned. As far as I know, the process is: a person submits their documents, they are verified, and then they return to the desk where they were submitted, with ap..."</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02. Political Polarisation &amp; Narrative Wars</w:t>
      </w:r>
    </w:p>
    <w:p>
      <w:pPr>
        <w:spacing w:after="160"/>
      </w:pPr>
      <w:r>
        <w:rPr>
          <w:rFonts w:ascii="Lato" w:hAnsi="Lato"/>
          <w:b w:val="0"/>
          <w:i w:val="0"/>
          <w:color w:val="6B7280"/>
          <w:sz w:val="18"/>
        </w:rPr>
        <w:t>n=2024</w:t>
      </w:r>
      <w:r>
        <w:rPr>
          <w:rFonts w:ascii="Lato" w:hAnsi="Lato"/>
          <w:b w:val="0"/>
          <w:i w:val="0"/>
          <w:color w:val="374151"/>
          <w:sz w:val="18"/>
        </w:rPr>
        <w:t xml:space="preserve">  |  Confidence: </w:t>
      </w:r>
      <w:r>
        <w:rPr>
          <w:rFonts w:ascii="Lato" w:hAnsi="Lato"/>
          <w:b/>
          <w:i w:val="0"/>
          <w:color w:val="D97706"/>
          <w:sz w:val="18"/>
        </w:rPr>
        <w:t>70% (Medium)</w:t>
      </w:r>
      <w:r>
        <w:rPr>
          <w:rFonts w:ascii="Lato" w:hAnsi="Lato"/>
          <w:b w:val="0"/>
          <w:i w:val="0"/>
          <w:color w:val="374151"/>
          <w:sz w:val="18"/>
        </w:rPr>
        <w:t xml:space="preserve">  |  Signal: </w:t>
      </w:r>
      <w:r>
        <w:rPr>
          <w:rFonts w:ascii="Lato" w:hAnsi="Lato"/>
          <w:b/>
          <w:i w:val="0"/>
          <w:color w:val="374151"/>
          <w:sz w:val="18"/>
        </w:rPr>
        <w:t>57% (Moderate)</w:t>
      </w:r>
      <w:r>
        <w:rPr>
          <w:rFonts w:ascii="Lato" w:hAnsi="Lato"/>
          <w:b w:val="0"/>
          <w:i w:val="0"/>
          <w:color w:val="6B7280"/>
          <w:sz w:val="18"/>
        </w:rPr>
        <w:t xml:space="preserve">  |  34.8% of Dataset</w:t>
      </w:r>
      <w:r>
        <w:rPr>
          <w:rFonts w:ascii="Lato" w:hAnsi="Lato"/>
          <w:b w:val="0"/>
          <w:i w:val="0"/>
          <w:color w:val="6B7280"/>
          <w:sz w:val="18"/>
        </w:rPr>
        <w:t xml:space="preserve">  |  NSS: </w:t>
      </w:r>
      <w:r>
        <w:rPr>
          <w:rFonts w:ascii="Lato" w:hAnsi="Lato"/>
          <w:b/>
          <w:i w:val="0"/>
          <w:color w:val="059669"/>
          <w:sz w:val="18"/>
        </w:rPr>
        <w:t>+13%</w:t>
      </w:r>
    </w:p>
    <w:p>
      <w:pPr>
        <w:jc w:val="center"/>
      </w:pPr>
      <w:r>
        <w:drawing>
          <wp:inline xmlns:a="http://schemas.openxmlformats.org/drawingml/2006/main" xmlns:pic="http://schemas.openxmlformats.org/drawingml/2006/picture">
            <wp:extent cx="3474720" cy="3547185"/>
            <wp:docPr id="8" name="Picture 8"/>
            <wp:cNvGraphicFramePr>
              <a:graphicFrameLocks noChangeAspect="1"/>
            </wp:cNvGraphicFramePr>
            <a:graphic>
              <a:graphicData uri="http://schemas.openxmlformats.org/drawingml/2006/picture">
                <pic:pic>
                  <pic:nvPicPr>
                    <pic:cNvPr id="0" name="chart_radar_INS_009.png"/>
                    <pic:cNvPicPr/>
                  </pic:nvPicPr>
                  <pic:blipFill>
                    <a:blip r:embed="rId16"/>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Political Polarisation &amp; Narrative Wars</w:t>
      </w:r>
    </w:p>
    <w:p>
      <w:pPr>
        <w:pStyle w:val="Heading3"/>
        <w:jc w:val="left"/>
      </w:pPr>
      <w:r>
        <w:rPr>
          <w:rFonts w:ascii="Lato" w:hAnsi="Lato"/>
          <w:b/>
          <w:color w:val="1E3A5F"/>
          <w:sz w:val="26"/>
        </w:rPr>
        <w:t>What the Data Shows</w:t>
      </w:r>
    </w:p>
    <w:p>
      <w:pPr>
        <w:spacing w:after="120" w:before="0"/>
      </w:pPr>
      <w:r>
        <w:rPr>
          <w:rFonts w:ascii="Lato" w:hAnsi="Lato"/>
          <w:b w:val="0"/>
          <w:i w:val="0"/>
          <w:sz w:val="22"/>
        </w:rPr>
        <w:t>Political polarisation dominates the dataset with 1990 items (34.2%). BJP supporters frame MII as a historic transformation; Congress/opposition frames it as a failed promise. Specific data points are weaponised by both sides - the same FDI numbers are cited as 'record achievement' and 'insufficient for the population.' Hindi and English content is equally politically charged. Modi is mentioned in 40%+ of political content.</w:t>
      </w:r>
    </w:p>
    <w:p>
      <w:pPr>
        <w:pStyle w:val="Heading3"/>
        <w:jc w:val="left"/>
      </w:pPr>
      <w:r>
        <w:rPr>
          <w:rFonts w:ascii="Lato" w:hAnsi="Lato"/>
          <w:b/>
          <w:color w:val="1E3A5F"/>
          <w:sz w:val="26"/>
        </w:rPr>
        <w:t>What it Means</w:t>
      </w:r>
    </w:p>
    <w:p>
      <w:pPr>
        <w:spacing w:after="120" w:before="0"/>
      </w:pPr>
      <w:r>
        <w:rPr>
          <w:rFonts w:ascii="Lato" w:hAnsi="Lato"/>
          <w:b w:val="0"/>
          <w:i w:val="0"/>
          <w:sz w:val="22"/>
        </w:rPr>
        <w:t>Make in India has become so deeply embedded in India's political identity war that separating the policy's actual performance from its political narrative has become nearly impossible for the average citizen. When every data point is pre-filtered through partisan framing before reaching the consumer, the policy's real outcomes matter less than which political tribe the consumer belongs to. This politicisation means MII's actual commercial impact on consumers is obscured by its function as a political loyalty test.</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Any commercial strategy that relies on Make in India messaging inherits the political polarisation attached to it. Using MII branding may attract BJP-aligned consumers while repelling opposition-aligned ones - a net-zero game in a politically divided market. Brands need to decouple their Indian manufacturing story from the political MII narrative.</w:t>
      </w:r>
    </w:p>
    <w:p>
      <w:pPr>
        <w:pStyle w:val="Heading3"/>
        <w:jc w:val="left"/>
      </w:pPr>
      <w:r>
        <w:rPr>
          <w:rFonts w:ascii="Lato" w:hAnsi="Lato"/>
          <w:b/>
          <w:color w:val="1E3A5F"/>
          <w:sz w:val="26"/>
        </w:rPr>
        <w:t>Recommendation</w:t>
      </w:r>
    </w:p>
    <w:p>
      <w:pPr>
        <w:spacing w:after="120" w:before="0"/>
      </w:pPr>
      <w:r>
        <w:rPr>
          <w:rFonts w:ascii="Lato" w:hAnsi="Lato"/>
          <w:b w:val="0"/>
          <w:i w:val="0"/>
          <w:sz w:val="22"/>
        </w:rPr>
        <w:t>Commercial brands should avoid direct MII branding and instead build independent 'Indian-made' narratives that focus on product quality and local employment rather than government policy. Use specific, apolitical proof points ('made by 500 workers in our Pune factory') rather than government-associated slogans. Keep the patriotic pride but remove the partisan politics.</w:t>
      </w:r>
    </w:p>
    <w:p>
      <w:pPr>
        <w:pStyle w:val="Heading3"/>
        <w:jc w:val="left"/>
      </w:pPr>
      <w:r>
        <w:rPr>
          <w:rFonts w:ascii="Lato" w:hAnsi="Lato"/>
          <w:b/>
          <w:color w:val="1E3A5F"/>
          <w:sz w:val="26"/>
        </w:rPr>
        <w:t>Further Validation</w:t>
      </w:r>
    </w:p>
    <w:p>
      <w:pPr>
        <w:spacing w:after="120" w:before="0"/>
      </w:pPr>
      <w:r>
        <w:rPr>
          <w:rFonts w:ascii="Lato" w:hAnsi="Lato"/>
          <w:b w:val="0"/>
          <w:i w:val="0"/>
          <w:sz w:val="22"/>
        </w:rPr>
        <w:t>A/B test marketing messages: MII-branded vs. apolitical 'Indian-made' messaging across politically diverse consumer segments. Measure purchase intent and brand perception differences.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"for the Delhi assembly election was internally funded. “We want to make this a national brand, so we wanted visibility,” KKS’s spokesperson explained. From former journalists and engineers to lawyers, MBA graduates and corporate trainers, exit pollsters in India are (4/7)"</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03. PLI Scheme, FDI &amp; Industrial Policy</w:t>
      </w:r>
    </w:p>
    <w:p>
      <w:pPr>
        <w:spacing w:after="160"/>
      </w:pPr>
      <w:r>
        <w:rPr>
          <w:rFonts w:ascii="Lato" w:hAnsi="Lato"/>
          <w:b w:val="0"/>
          <w:i w:val="0"/>
          <w:color w:val="6B7280"/>
          <w:sz w:val="18"/>
        </w:rPr>
        <w:t>n=932</w:t>
      </w:r>
      <w:r>
        <w:rPr>
          <w:rFonts w:ascii="Lato" w:hAnsi="Lato"/>
          <w:b w:val="0"/>
          <w:i w:val="0"/>
          <w:color w:val="374151"/>
          <w:sz w:val="18"/>
        </w:rPr>
        <w:t xml:space="preserve">  |  Confidence: </w:t>
      </w:r>
      <w:r>
        <w:rPr>
          <w:rFonts w:ascii="Lato" w:hAnsi="Lato"/>
          <w:b/>
          <w:i w:val="0"/>
          <w:color w:val="D97706"/>
          <w:sz w:val="18"/>
        </w:rPr>
        <w:t>68% (Medium)</w:t>
      </w:r>
      <w:r>
        <w:rPr>
          <w:rFonts w:ascii="Lato" w:hAnsi="Lato"/>
          <w:b w:val="0"/>
          <w:i w:val="0"/>
          <w:color w:val="374151"/>
          <w:sz w:val="18"/>
        </w:rPr>
        <w:t xml:space="preserve">  |  Signal: </w:t>
      </w:r>
      <w:r>
        <w:rPr>
          <w:rFonts w:ascii="Lato" w:hAnsi="Lato"/>
          <w:b/>
          <w:i w:val="0"/>
          <w:color w:val="374151"/>
          <w:sz w:val="18"/>
        </w:rPr>
        <w:t>65% (Moderate)</w:t>
      </w:r>
      <w:r>
        <w:rPr>
          <w:rFonts w:ascii="Lato" w:hAnsi="Lato"/>
          <w:b w:val="0"/>
          <w:i w:val="0"/>
          <w:color w:val="6B7280"/>
          <w:sz w:val="18"/>
        </w:rPr>
        <w:t xml:space="preserve">  |  16.0% of Dataset</w:t>
      </w:r>
      <w:r>
        <w:rPr>
          <w:rFonts w:ascii="Lato" w:hAnsi="Lato"/>
          <w:b w:val="0"/>
          <w:i w:val="0"/>
          <w:color w:val="6B7280"/>
          <w:sz w:val="18"/>
        </w:rPr>
        <w:t xml:space="preserve">  |  NSS: </w:t>
      </w:r>
      <w:r>
        <w:rPr>
          <w:rFonts w:ascii="Lato" w:hAnsi="Lato"/>
          <w:b/>
          <w:i w:val="0"/>
          <w:color w:val="059669"/>
          <w:sz w:val="18"/>
        </w:rPr>
        <w:t>+28%</w:t>
      </w:r>
    </w:p>
    <w:p>
      <w:pPr>
        <w:jc w:val="center"/>
      </w:pPr>
      <w:r>
        <w:drawing>
          <wp:inline xmlns:a="http://schemas.openxmlformats.org/drawingml/2006/main" xmlns:pic="http://schemas.openxmlformats.org/drawingml/2006/picture">
            <wp:extent cx="3474720" cy="3547185"/>
            <wp:docPr id="9" name="Picture 9"/>
            <wp:cNvGraphicFramePr>
              <a:graphicFrameLocks noChangeAspect="1"/>
            </wp:cNvGraphicFramePr>
            <a:graphic>
              <a:graphicData uri="http://schemas.openxmlformats.org/drawingml/2006/picture">
                <pic:pic>
                  <pic:nvPicPr>
                    <pic:cNvPr id="0" name="chart_radar_INS_011.png"/>
                    <pic:cNvPicPr/>
                  </pic:nvPicPr>
                  <pic:blipFill>
                    <a:blip r:embed="rId17"/>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PLI Scheme, FDI &amp; Industrial Policy</w:t>
      </w:r>
    </w:p>
    <w:p>
      <w:pPr>
        <w:pStyle w:val="Heading3"/>
        <w:jc w:val="left"/>
      </w:pPr>
      <w:r>
        <w:rPr>
          <w:rFonts w:ascii="Lato" w:hAnsi="Lato"/>
          <w:b/>
          <w:color w:val="1E3A5F"/>
          <w:sz w:val="26"/>
        </w:rPr>
        <w:t>What the Data Shows</w:t>
      </w:r>
    </w:p>
    <w:p>
      <w:pPr>
        <w:spacing w:after="120" w:before="0"/>
      </w:pPr>
      <w:r>
        <w:rPr>
          <w:rFonts w:ascii="Lato" w:hAnsi="Lato"/>
          <w:b w:val="0"/>
          <w:i w:val="0"/>
          <w:sz w:val="22"/>
        </w:rPr>
        <w:t>PLI scheme and industrial policy discussions span 383 items (6.6%) with NSS +0.282. PLI has attracted Rs 1.76 lakh crore in investments. Mobile manufacturing under PLI created 1.33 million jobs in 5 years. The Electronics Component Manufacturing Scheme aims for Rs 4,56,500 crore in production. GST rationalisation to two rates (5% and 18%) is cited as a major reform. 100% FDI in insurance now permitted.</w:t>
      </w:r>
    </w:p>
    <w:p>
      <w:pPr>
        <w:pStyle w:val="Heading3"/>
        <w:jc w:val="left"/>
      </w:pPr>
      <w:r>
        <w:rPr>
          <w:rFonts w:ascii="Lato" w:hAnsi="Lato"/>
          <w:b/>
          <w:color w:val="1E3A5F"/>
          <w:sz w:val="26"/>
        </w:rPr>
        <w:t>What it Means</w:t>
      </w:r>
    </w:p>
    <w:p>
      <w:pPr>
        <w:spacing w:after="120" w:before="0"/>
      </w:pPr>
      <w:r>
        <w:rPr>
          <w:rFonts w:ascii="Lato" w:hAnsi="Lato"/>
          <w:b w:val="0"/>
          <w:i w:val="0"/>
          <w:sz w:val="22"/>
        </w:rPr>
        <w:t>PLI has emerged as the most credible proof-point in the MII ecosystem because it provides verifiable, sector-specific metrics rather than abstract national-level claims. When consumers see '1.33 million jobs created in mobile manufacturing' or 'Rs 25,000 crore in wages in FY25 alone,' it is more persuasive than aggregate FDI numbers because it connects to tangible outcomes in a specific industry they understand. PLI's sector-by-sector approach makes MII's otherwise abstract promise measurable.</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PLI's success model should be the template for all MII communication: sector-specific, metrics-driven, verifiable. The challenge is that PLI benefits are concentrated in large-scale manufacturing (Foxconn, Samsung, Tata) while MSMEs - which employ the vast majority of Indian workers - feel excluded. If PLI's benefits don't trickle down to the MSME ecosystem, it risks becoming another 'big industry vs. common man' narrative.</w:t>
      </w:r>
    </w:p>
    <w:p>
      <w:pPr>
        <w:pStyle w:val="Heading3"/>
        <w:jc w:val="left"/>
      </w:pPr>
      <w:r>
        <w:rPr>
          <w:rFonts w:ascii="Lato" w:hAnsi="Lato"/>
          <w:b/>
          <w:color w:val="1E3A5F"/>
          <w:sz w:val="26"/>
        </w:rPr>
        <w:t>Recommendation</w:t>
      </w:r>
    </w:p>
    <w:p>
      <w:pPr>
        <w:spacing w:after="120" w:before="0"/>
      </w:pPr>
      <w:r>
        <w:rPr>
          <w:rFonts w:ascii="Lato" w:hAnsi="Lato"/>
          <w:b w:val="0"/>
          <w:i w:val="0"/>
          <w:sz w:val="22"/>
        </w:rPr>
        <w:t>Extend PLI-style incentive frameworks to MSME clusters with modified thresholds. Publish sector-wise PLI impact reports that go beyond investment committed to actual jobs created, wages paid, and local supply chains developed. Create MSME-accessible simplified compliance pathways for PLI-like benefits.</w:t>
      </w:r>
    </w:p>
    <w:p>
      <w:pPr>
        <w:pStyle w:val="Heading3"/>
        <w:jc w:val="left"/>
      </w:pPr>
      <w:r>
        <w:rPr>
          <w:rFonts w:ascii="Lato" w:hAnsi="Lato"/>
          <w:b/>
          <w:color w:val="1E3A5F"/>
          <w:sz w:val="26"/>
        </w:rPr>
        <w:t>Further Validation</w:t>
      </w:r>
    </w:p>
    <w:p>
      <w:pPr>
        <w:spacing w:after="120" w:before="0"/>
      </w:pPr>
      <w:r>
        <w:rPr>
          <w:rFonts w:ascii="Lato" w:hAnsi="Lato"/>
          <w:b w:val="0"/>
          <w:i w:val="0"/>
          <w:sz w:val="22"/>
        </w:rPr>
        <w:t>Survey MSME awareness and perception of PLI schemes. Track whether PLI investment is creating local supplier ecosystems or remaining concentrated in large anchor factories.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"PM Narendra Modi posts, "When it comes to AI, the world is optimistic about India! Had a very productive discussion with Mr. Satya Nadella. Happy to see India being the place where Microsoft will make its largest-ever investment in Asia. The youth of India will harness this opportunity to innovat..."</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04. Employment, Jobs &amp; MSME Impact</w:t>
      </w:r>
    </w:p>
    <w:p>
      <w:pPr>
        <w:spacing w:after="160"/>
      </w:pPr>
      <w:r>
        <w:rPr>
          <w:rFonts w:ascii="Lato" w:hAnsi="Lato"/>
          <w:b w:val="0"/>
          <w:i w:val="0"/>
          <w:color w:val="6B7280"/>
          <w:sz w:val="18"/>
        </w:rPr>
        <w:t>n=859</w:t>
      </w:r>
      <w:r>
        <w:rPr>
          <w:rFonts w:ascii="Lato" w:hAnsi="Lato"/>
          <w:b w:val="0"/>
          <w:i w:val="0"/>
          <w:color w:val="374151"/>
          <w:sz w:val="18"/>
        </w:rPr>
        <w:t xml:space="preserve">  |  Confidence: </w:t>
      </w:r>
      <w:r>
        <w:rPr>
          <w:rFonts w:ascii="Lato" w:hAnsi="Lato"/>
          <w:b/>
          <w:i w:val="0"/>
          <w:color w:val="D97706"/>
          <w:sz w:val="18"/>
        </w:rPr>
        <w:t>68% (Medium)</w:t>
      </w:r>
      <w:r>
        <w:rPr>
          <w:rFonts w:ascii="Lato" w:hAnsi="Lato"/>
          <w:b w:val="0"/>
          <w:i w:val="0"/>
          <w:color w:val="374151"/>
          <w:sz w:val="18"/>
        </w:rPr>
        <w:t xml:space="preserve">  |  Signal: </w:t>
      </w:r>
      <w:r>
        <w:rPr>
          <w:rFonts w:ascii="Lato" w:hAnsi="Lato"/>
          <w:b/>
          <w:i w:val="0"/>
          <w:color w:val="374151"/>
          <w:sz w:val="18"/>
        </w:rPr>
        <w:t>65% (Moderate)</w:t>
      </w:r>
      <w:r>
        <w:rPr>
          <w:rFonts w:ascii="Lato" w:hAnsi="Lato"/>
          <w:b w:val="0"/>
          <w:i w:val="0"/>
          <w:color w:val="6B7280"/>
          <w:sz w:val="18"/>
        </w:rPr>
        <w:t xml:space="preserve">  |  14.8% of Dataset</w:t>
      </w:r>
      <w:r>
        <w:rPr>
          <w:rFonts w:ascii="Lato" w:hAnsi="Lato"/>
          <w:b w:val="0"/>
          <w:i w:val="0"/>
          <w:color w:val="6B7280"/>
          <w:sz w:val="18"/>
        </w:rPr>
        <w:t xml:space="preserve">  |  NSS: </w:t>
      </w:r>
      <w:r>
        <w:rPr>
          <w:rFonts w:ascii="Lato" w:hAnsi="Lato"/>
          <w:b/>
          <w:i w:val="0"/>
          <w:color w:val="059669"/>
          <w:sz w:val="18"/>
        </w:rPr>
        <w:t>+25%</w:t>
      </w:r>
    </w:p>
    <w:p>
      <w:pPr>
        <w:jc w:val="center"/>
      </w:pPr>
      <w:r>
        <w:drawing>
          <wp:inline xmlns:a="http://schemas.openxmlformats.org/drawingml/2006/main" xmlns:pic="http://schemas.openxmlformats.org/drawingml/2006/picture">
            <wp:extent cx="3474720" cy="3547185"/>
            <wp:docPr id="10" name="Picture 10"/>
            <wp:cNvGraphicFramePr>
              <a:graphicFrameLocks noChangeAspect="1"/>
            </wp:cNvGraphicFramePr>
            <a:graphic>
              <a:graphicData uri="http://schemas.openxmlformats.org/drawingml/2006/picture">
                <pic:pic>
                  <pic:nvPicPr>
                    <pic:cNvPr id="0" name="chart_radar_INS_012.png"/>
                    <pic:cNvPicPr/>
                  </pic:nvPicPr>
                  <pic:blipFill>
                    <a:blip r:embed="rId18"/>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Employment, Jobs &amp; MSME Impact</w:t>
      </w:r>
    </w:p>
    <w:p>
      <w:pPr>
        <w:pStyle w:val="Heading3"/>
        <w:jc w:val="left"/>
      </w:pPr>
      <w:r>
        <w:rPr>
          <w:rFonts w:ascii="Lato" w:hAnsi="Lato"/>
          <w:b/>
          <w:color w:val="1E3A5F"/>
          <w:sz w:val="26"/>
        </w:rPr>
        <w:t>What the Data Shows</w:t>
      </w:r>
    </w:p>
    <w:p>
      <w:pPr>
        <w:spacing w:after="120" w:before="0"/>
      </w:pPr>
      <w:r>
        <w:rPr>
          <w:rFonts w:ascii="Lato" w:hAnsi="Lato"/>
          <w:b w:val="0"/>
          <w:i w:val="0"/>
          <w:sz w:val="22"/>
        </w:rPr>
        <w:t>Employment and MSME impact discussions span 665 items (11.4%) with NSS +0.248. The conversation is divided: government claims 17 crore jobs added since 2017-18; critics cite unemployment still at record highs, MSMEs closing since demonetisation, and wages not keeping pace. A specific pain point: running an MSME in India involves regulatory harassment, and many have closed since 2014. H-1B visa controversy (Trump telling tech giants to stop hiring from India) adds another dimension.</w:t>
      </w:r>
    </w:p>
    <w:p>
      <w:pPr>
        <w:pStyle w:val="Heading3"/>
        <w:jc w:val="left"/>
      </w:pPr>
      <w:r>
        <w:rPr>
          <w:rFonts w:ascii="Lato" w:hAnsi="Lato"/>
          <w:b/>
          <w:color w:val="1E3A5F"/>
          <w:sz w:val="26"/>
        </w:rPr>
        <w:t>What it Means</w:t>
      </w:r>
    </w:p>
    <w:p>
      <w:pPr>
        <w:spacing w:after="120" w:before="0"/>
      </w:pPr>
      <w:r>
        <w:rPr>
          <w:rFonts w:ascii="Lato" w:hAnsi="Lato"/>
          <w:b w:val="0"/>
          <w:i w:val="0"/>
          <w:sz w:val="22"/>
        </w:rPr>
        <w:t>Employment is the ultimate litmus test for Make in India in the eyes of the Indian public, and it is the area where the perception gap between policy claims and lived experience is widest. Factory opening announcements and PLI investment figures feel abstract to a worker whose wages have not risen or a small business owner facing regulatory burden. The disconnect between macro employment data (jobs created) and micro employment reality (quality of jobs, wage levels, ease of doing business for MSMEs) creates persistent scepticism even among those who want MII to succeed.</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Until employment impact is felt at the individual level - better wages, easier business compliance, visible local factory jobs - MII will remain a policy success story that feels like a personal failure to many Indians. The MSME segment is particularly critical because it employs the majority of India's non-agricultural workforce and is the bridge between macro policy and micro experience.</w:t>
      </w:r>
    </w:p>
    <w:p>
      <w:pPr>
        <w:pStyle w:val="Heading3"/>
        <w:jc w:val="left"/>
      </w:pPr>
      <w:r>
        <w:rPr>
          <w:rFonts w:ascii="Lato" w:hAnsi="Lato"/>
          <w:b/>
          <w:color w:val="1E3A5F"/>
          <w:sz w:val="26"/>
        </w:rPr>
        <w:t>Recommendation</w:t>
      </w:r>
    </w:p>
    <w:p>
      <w:pPr>
        <w:spacing w:after="120" w:before="0"/>
      </w:pPr>
      <w:r>
        <w:rPr>
          <w:rFonts w:ascii="Lato" w:hAnsi="Lato"/>
          <w:b w:val="0"/>
          <w:i w:val="0"/>
          <w:sz w:val="22"/>
        </w:rPr>
        <w:t>Create a 'MII Employment Dashboard' tracking not just jobs created but job quality (wages, benefits, formality). Simplify MSME compliance dramatically - every regulation that closes a small business is a step backward for MII regardless of what large-factory numbers show. Develop regional employment impact stories that connect MII policy to specific communities and families.</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longitudinal tracking of MSME survival rates in manufacturing clusters. Survey workers in PLI-beneficiary factories on wage and working condition improvements.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"SHOCKING! Salary Of A Pilot In INDIA? #shortsindia #millionairemindset #viralvideo Follow me on Instagram at please: https://www.instagram.com/vaibhavkadnarofficial/?hl=en"</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"Choosing the right staffing partner can make or break your hiring success. Here’s how to select the best staffing company in India. Read more: https://t.co/AN3zcd92wn #kaliperresearch #kaliperwriting #StaffingCompanyInIndia #RecruitmentSolutions #HiringInIndia https://t.co/54eh4SBMGG"</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05. China Dependency Paradox</w:t>
      </w:r>
    </w:p>
    <w:p>
      <w:pPr>
        <w:spacing w:after="160"/>
      </w:pPr>
      <w:r>
        <w:rPr>
          <w:rFonts w:ascii="Lato" w:hAnsi="Lato"/>
          <w:b w:val="0"/>
          <w:i w:val="0"/>
          <w:color w:val="6B7280"/>
          <w:sz w:val="18"/>
        </w:rPr>
        <w:t>n=770</w:t>
      </w:r>
      <w:r>
        <w:rPr>
          <w:rFonts w:ascii="Lato" w:hAnsi="Lato"/>
          <w:b w:val="0"/>
          <w:i w:val="0"/>
          <w:color w:val="374151"/>
          <w:sz w:val="18"/>
        </w:rPr>
        <w:t xml:space="preserve">  |  Confidence: </w:t>
      </w:r>
      <w:r>
        <w:rPr>
          <w:rFonts w:ascii="Lato" w:hAnsi="Lato"/>
          <w:b/>
          <w:i w:val="0"/>
          <w:color w:val="D97706"/>
          <w:sz w:val="18"/>
        </w:rPr>
        <w:t>66% (Medium)</w:t>
      </w:r>
      <w:r>
        <w:rPr>
          <w:rFonts w:ascii="Lato" w:hAnsi="Lato"/>
          <w:b w:val="0"/>
          <w:i w:val="0"/>
          <w:color w:val="374151"/>
          <w:sz w:val="18"/>
        </w:rPr>
        <w:t xml:space="preserve">  |  Signal: </w:t>
      </w:r>
      <w:r>
        <w:rPr>
          <w:rFonts w:ascii="Lato" w:hAnsi="Lato"/>
          <w:b/>
          <w:i w:val="0"/>
          <w:color w:val="374151"/>
          <w:sz w:val="18"/>
        </w:rPr>
        <w:t>54% (Moderate)</w:t>
      </w:r>
      <w:r>
        <w:rPr>
          <w:rFonts w:ascii="Lato" w:hAnsi="Lato"/>
          <w:b w:val="0"/>
          <w:i w:val="0"/>
          <w:color w:val="6B7280"/>
          <w:sz w:val="18"/>
        </w:rPr>
        <w:t xml:space="preserve">  |  13.2% of Dataset</w:t>
      </w:r>
      <w:r>
        <w:rPr>
          <w:rFonts w:ascii="Lato" w:hAnsi="Lato"/>
          <w:b w:val="0"/>
          <w:i w:val="0"/>
          <w:color w:val="6B7280"/>
          <w:sz w:val="18"/>
        </w:rPr>
        <w:t xml:space="preserve">  |  NSS: </w:t>
      </w:r>
      <w:r>
        <w:rPr>
          <w:rFonts w:ascii="Lato" w:hAnsi="Lato"/>
          <w:b/>
          <w:i w:val="0"/>
          <w:color w:val="D97706"/>
          <w:sz w:val="18"/>
        </w:rPr>
        <w:t>+10%</w:t>
      </w:r>
    </w:p>
    <w:p>
      <w:pPr>
        <w:jc w:val="center"/>
      </w:pPr>
      <w:r>
        <w:drawing>
          <wp:inline xmlns:a="http://schemas.openxmlformats.org/drawingml/2006/main" xmlns:pic="http://schemas.openxmlformats.org/drawingml/2006/picture">
            <wp:extent cx="3474720" cy="3547185"/>
            <wp:docPr id="11" name="Picture 11"/>
            <wp:cNvGraphicFramePr>
              <a:graphicFrameLocks noChangeAspect="1"/>
            </wp:cNvGraphicFramePr>
            <a:graphic>
              <a:graphicData uri="http://schemas.openxmlformats.org/drawingml/2006/picture">
                <pic:pic>
                  <pic:nvPicPr>
                    <pic:cNvPr id="0" name="chart_radar_INS_010.png"/>
                    <pic:cNvPicPr/>
                  </pic:nvPicPr>
                  <pic:blipFill>
                    <a:blip r:embed="rId19"/>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China Dependency Paradox</w:t>
      </w:r>
    </w:p>
    <w:p>
      <w:pPr>
        <w:pStyle w:val="Heading3"/>
        <w:jc w:val="left"/>
      </w:pPr>
      <w:r>
        <w:rPr>
          <w:rFonts w:ascii="Lato" w:hAnsi="Lato"/>
          <w:b/>
          <w:color w:val="1E3A5F"/>
          <w:sz w:val="26"/>
        </w:rPr>
        <w:t>What the Data Shows</w:t>
      </w:r>
    </w:p>
    <w:p>
      <w:pPr>
        <w:spacing w:after="120" w:before="0"/>
      </w:pPr>
      <w:r>
        <w:rPr>
          <w:rFonts w:ascii="Lato" w:hAnsi="Lato"/>
          <w:b w:val="0"/>
          <w:i w:val="0"/>
          <w:sz w:val="22"/>
        </w:rPr>
        <w:t>The China dependency paradox spans 211 items (3.6%) with the lowest positive NSS in the dataset (+0.099). India's trade deficit with China doubled from $43B (FY21) to $99B (FY25) during peak boycott-China sentiment. India imported $113B from China in FY25 while exporting only $14B. Rare earth magnets, electronic components, pharmaceutical intermediates, and solar panels remain heavily China-dependent.</w:t>
      </w:r>
    </w:p>
    <w:p>
      <w:pPr>
        <w:pStyle w:val="Heading3"/>
        <w:jc w:val="left"/>
      </w:pPr>
      <w:r>
        <w:rPr>
          <w:rFonts w:ascii="Lato" w:hAnsi="Lato"/>
          <w:b/>
          <w:color w:val="1E3A5F"/>
          <w:sz w:val="26"/>
        </w:rPr>
        <w:t>What it Means</w:t>
      </w:r>
    </w:p>
    <w:p>
      <w:pPr>
        <w:spacing w:after="120" w:before="0"/>
      </w:pPr>
      <w:r>
        <w:rPr>
          <w:rFonts w:ascii="Lato" w:hAnsi="Lato"/>
          <w:b w:val="0"/>
          <w:i w:val="0"/>
          <w:sz w:val="22"/>
        </w:rPr>
        <w:t>The China dependency discussion reveals the most uncomfortable truth in the Make in India narrative: India's manufacturing ambition is structurally dependent on the very country it seeks to replace. This is not a failure of intent but of industrial ecosystem maturity - you cannot boycott your own supply chain. The doubling of the trade deficit during 'Boycott China' years demonstrates that consumer sentiment and industrial reality operate on entirely different timescales. Consumers can switch brands overnight; supply chains take decades to redirect.</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Any realistic MII strategy must acknowledge that China dependency will persist for 10-15 years in critical sectors (electronics, pharma intermediates, rare earths) regardless of consumer sentiment. The path to reducing dependency runs through building component-level manufacturing capacity, not through consumer boycotts or tariff walls alone.</w:t>
      </w:r>
    </w:p>
    <w:p>
      <w:pPr>
        <w:pStyle w:val="Heading3"/>
        <w:jc w:val="left"/>
      </w:pPr>
      <w:r>
        <w:rPr>
          <w:rFonts w:ascii="Lato" w:hAnsi="Lato"/>
          <w:b/>
          <w:color w:val="1E3A5F"/>
          <w:sz w:val="26"/>
        </w:rPr>
        <w:t>Recommendation</w:t>
      </w:r>
    </w:p>
    <w:p>
      <w:pPr>
        <w:spacing w:after="120" w:before="0"/>
      </w:pPr>
      <w:r>
        <w:rPr>
          <w:rFonts w:ascii="Lato" w:hAnsi="Lato"/>
          <w:b w:val="0"/>
          <w:i w:val="0"/>
          <w:sz w:val="22"/>
        </w:rPr>
        <w:t>Shift the public narrative from 'replace China' to 'reduce China dependency in critical sectors over a defined timeline.' Publish sector-wise roadmaps showing 5-year, 10-year, and 15-year localisation targets with annual progress reports. Invest in component manufacturing (PCBs, semiconductor packaging, active pharmaceutical ingredients) where India has the strongest path to self-sufficiency.</w:t>
      </w:r>
    </w:p>
    <w:p>
      <w:pPr>
        <w:pStyle w:val="Heading3"/>
        <w:jc w:val="left"/>
      </w:pPr>
      <w:r>
        <w:rPr>
          <w:rFonts w:ascii="Lato" w:hAnsi="Lato"/>
          <w:b/>
          <w:color w:val="1E3A5F"/>
          <w:sz w:val="26"/>
        </w:rPr>
        <w:t>Further Validation</w:t>
      </w:r>
    </w:p>
    <w:p>
      <w:pPr>
        <w:spacing w:after="120" w:before="0"/>
      </w:pPr>
      <w:r>
        <w:rPr>
          <w:rFonts w:ascii="Lato" w:hAnsi="Lato"/>
          <w:b w:val="0"/>
          <w:i w:val="0"/>
          <w:sz w:val="22"/>
        </w:rPr>
        <w:t>Track component-level import dependency ratios across key manufacturing sectors annually. Benchmark India's supply chain diversification against Vietnam and Indonesia's approach to reducing China dependency.</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"US Imports: Where India Stands: 🇺🇸🇮🇳 🇪🇺 EU - 18.5% 🇨🇳 China - 13.4% 🇯🇵 Japan - 4.5% 🇻🇳 Vietnam - 4.2% 🇰🇷 South Korea - 4.0% 🇹🇼 Taiwan - 3.6% 🇮🇳 India - 2.7% 🇬🇧 United Kingdom - 2.1%"</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06. Tariff, Trade War &amp; Geopolitical Tensions</w:t>
      </w:r>
    </w:p>
    <w:p>
      <w:pPr>
        <w:spacing w:after="160"/>
      </w:pPr>
      <w:r>
        <w:rPr>
          <w:rFonts w:ascii="Lato" w:hAnsi="Lato"/>
          <w:b w:val="0"/>
          <w:i w:val="0"/>
          <w:color w:val="6B7280"/>
          <w:sz w:val="18"/>
        </w:rPr>
        <w:t>n=383</w:t>
      </w:r>
      <w:r>
        <w:rPr>
          <w:rFonts w:ascii="Lato" w:hAnsi="Lato"/>
          <w:b w:val="0"/>
          <w:i w:val="0"/>
          <w:color w:val="374151"/>
          <w:sz w:val="18"/>
        </w:rPr>
        <w:t xml:space="preserve">  |  Confidence: </w:t>
      </w:r>
      <w:r>
        <w:rPr>
          <w:rFonts w:ascii="Lato" w:hAnsi="Lato"/>
          <w:b/>
          <w:i w:val="0"/>
          <w:color w:val="D97706"/>
          <w:sz w:val="18"/>
        </w:rPr>
        <w:t>66% (Medium)</w:t>
      </w:r>
      <w:r>
        <w:rPr>
          <w:rFonts w:ascii="Lato" w:hAnsi="Lato"/>
          <w:b w:val="0"/>
          <w:i w:val="0"/>
          <w:color w:val="374151"/>
          <w:sz w:val="18"/>
        </w:rPr>
        <w:t xml:space="preserve">  |  Signal: </w:t>
      </w:r>
      <w:r>
        <w:rPr>
          <w:rFonts w:ascii="Lato" w:hAnsi="Lato"/>
          <w:b/>
          <w:i w:val="0"/>
          <w:color w:val="374151"/>
          <w:sz w:val="18"/>
        </w:rPr>
        <w:t>61% (Moderate)</w:t>
      </w:r>
      <w:r>
        <w:rPr>
          <w:rFonts w:ascii="Lato" w:hAnsi="Lato"/>
          <w:b w:val="0"/>
          <w:i w:val="0"/>
          <w:color w:val="6B7280"/>
          <w:sz w:val="18"/>
        </w:rPr>
        <w:t xml:space="preserve">  |  6.6% of Dataset</w:t>
      </w:r>
      <w:r>
        <w:rPr>
          <w:rFonts w:ascii="Lato" w:hAnsi="Lato"/>
          <w:b w:val="0"/>
          <w:i w:val="0"/>
          <w:color w:val="6B7280"/>
          <w:sz w:val="18"/>
        </w:rPr>
        <w:t xml:space="preserve">  |  NSS: </w:t>
      </w:r>
      <w:r>
        <w:rPr>
          <w:rFonts w:ascii="Lato" w:hAnsi="Lato"/>
          <w:b/>
          <w:i w:val="0"/>
          <w:color w:val="059669"/>
          <w:sz w:val="18"/>
        </w:rPr>
        <w:t>+22%</w:t>
      </w:r>
    </w:p>
    <w:p>
      <w:pPr>
        <w:jc w:val="center"/>
      </w:pPr>
      <w:r>
        <w:drawing>
          <wp:inline xmlns:a="http://schemas.openxmlformats.org/drawingml/2006/main" xmlns:pic="http://schemas.openxmlformats.org/drawingml/2006/picture">
            <wp:extent cx="3474720" cy="3547185"/>
            <wp:docPr id="12" name="Picture 12"/>
            <wp:cNvGraphicFramePr>
              <a:graphicFrameLocks noChangeAspect="1"/>
            </wp:cNvGraphicFramePr>
            <a:graphic>
              <a:graphicData uri="http://schemas.openxmlformats.org/drawingml/2006/picture">
                <pic:pic>
                  <pic:nvPicPr>
                    <pic:cNvPr id="0" name="chart_radar_INS_003.png"/>
                    <pic:cNvPicPr/>
                  </pic:nvPicPr>
                  <pic:blipFill>
                    <a:blip r:embed="rId20"/>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Tariff, Trade War &amp; Geopolitical Tensions</w:t>
      </w:r>
    </w:p>
    <w:p>
      <w:pPr>
        <w:pStyle w:val="Heading3"/>
        <w:jc w:val="left"/>
      </w:pPr>
      <w:r>
        <w:rPr>
          <w:rFonts w:ascii="Lato" w:hAnsi="Lato"/>
          <w:b/>
          <w:color w:val="1E3A5F"/>
          <w:sz w:val="26"/>
        </w:rPr>
        <w:t>What the Data Shows</w:t>
      </w:r>
    </w:p>
    <w:p>
      <w:pPr>
        <w:spacing w:after="120" w:before="0"/>
      </w:pPr>
      <w:r>
        <w:rPr>
          <w:rFonts w:ascii="Lato" w:hAnsi="Lato"/>
          <w:b w:val="0"/>
          <w:i w:val="0"/>
          <w:sz w:val="22"/>
        </w:rPr>
        <w:t>Tariff and trade war discussions account for 397 items (6.8%). The conversation centres on Trump's 50% tariff on Indian imports, India's retaliatory tariffs on 29 items, and the strategic calculus of India-US-China trade triangulation. NSS is +0.225 - consumers see tariffs as both a threat (export disruption, price rises) and an opportunity (forcing domestic manufacturing). India's engineering goods exports rose ~24% and electronics ~39% despite tariffs.</w:t>
      </w:r>
    </w:p>
    <w:p>
      <w:pPr>
        <w:pStyle w:val="Heading3"/>
        <w:jc w:val="left"/>
      </w:pPr>
      <w:r>
        <w:rPr>
          <w:rFonts w:ascii="Lato" w:hAnsi="Lato"/>
          <w:b/>
          <w:color w:val="1E3A5F"/>
          <w:sz w:val="26"/>
        </w:rPr>
        <w:t>What it Means</w:t>
      </w:r>
    </w:p>
    <w:p>
      <w:pPr>
        <w:spacing w:after="120" w:before="0"/>
      </w:pPr>
      <w:r>
        <w:rPr>
          <w:rFonts w:ascii="Lato" w:hAnsi="Lato"/>
          <w:b w:val="0"/>
          <w:i w:val="0"/>
          <w:sz w:val="22"/>
        </w:rPr>
        <w:t>The tariff crisis has paradoxically strengthened the Make in India argument in public discourse. Rather than triggering panic, Trump's tariffs have activated a 'siege mentality' that converts abstract patriotism into concrete consumer action. The data shows that sectors already benefiting from PLI schemes (electronics, engineering goods) are demonstrating resilience, which provides proof-of-concept for the self-reliance narrative. The consumer reads tariffs not as economic pain but as a call-to-arms for Indian manufacturing.</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Tariff tensions create a narrow but powerful window for Indian manufacturers to capture domestic market share from imports - not just through policy protection but through consumers who are actively seeking Indian alternatives. However, this window closes if Indian products fail to match quality expectations, turning patriotic buying into a one-time event rather than a sustained shift.</w:t>
      </w:r>
    </w:p>
    <w:p>
      <w:pPr>
        <w:pStyle w:val="Heading3"/>
        <w:jc w:val="left"/>
      </w:pPr>
      <w:r>
        <w:rPr>
          <w:rFonts w:ascii="Lato" w:hAnsi="Lato"/>
          <w:b/>
          <w:color w:val="1E3A5F"/>
          <w:sz w:val="26"/>
        </w:rPr>
        <w:t>Recommendation</w:t>
      </w:r>
    </w:p>
    <w:p>
      <w:pPr>
        <w:spacing w:after="120" w:before="0"/>
      </w:pPr>
      <w:r>
        <w:rPr>
          <w:rFonts w:ascii="Lato" w:hAnsi="Lato"/>
          <w:b w:val="0"/>
          <w:i w:val="0"/>
          <w:sz w:val="22"/>
        </w:rPr>
        <w:t>Indian manufacturers should use the tariff window to invest in quality upgrades, not just capacity expansion. Marketing should connect the product to the self-reliance narrative without relying on it - 'Buy this because it's world-class AND Indian' rather than 'Buy this because it's Indian.' Build quality reputation during the tariff protection period so products remain competitive when tariffs eventually normalise.</w:t>
      </w:r>
    </w:p>
    <w:p>
      <w:pPr>
        <w:pStyle w:val="Heading3"/>
        <w:jc w:val="left"/>
      </w:pPr>
      <w:r>
        <w:rPr>
          <w:rFonts w:ascii="Lato" w:hAnsi="Lato"/>
          <w:b/>
          <w:color w:val="1E3A5F"/>
          <w:sz w:val="26"/>
        </w:rPr>
        <w:t>Further Validation</w:t>
      </w:r>
    </w:p>
    <w:p>
      <w:pPr>
        <w:spacing w:after="120" w:before="0"/>
      </w:pPr>
      <w:r>
        <w:rPr>
          <w:rFonts w:ascii="Lato" w:hAnsi="Lato"/>
          <w:b w:val="0"/>
          <w:i w:val="0"/>
          <w:sz w:val="22"/>
        </w:rPr>
        <w:t>Track actual consumer purchase behaviour changes in tariff-affected categories (electronics, toys, furniture, steel products). Measure whether quality perception of Indian alternatives improves alongside tariff-driven trial.</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"@Pawankhera India’s trade deficit vs China has now hit record highs and has ballooned to $100B. Indian exports to China shrink by 3%. All this talk of Make in India and reducing dependence on Chinese imports is just one more jhumla from the king of jhumlas. https://t.co/aPo2LXslp3"</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07. Indian Economic Growth &amp; Global Standing</w:t>
      </w:r>
    </w:p>
    <w:p>
      <w:pPr>
        <w:spacing w:after="160"/>
      </w:pPr>
      <w:r>
        <w:rPr>
          <w:rFonts w:ascii="Lato" w:hAnsi="Lato"/>
          <w:b w:val="0"/>
          <w:i w:val="0"/>
          <w:color w:val="6B7280"/>
          <w:sz w:val="18"/>
        </w:rPr>
        <w:t>n=172</w:t>
      </w:r>
      <w:r>
        <w:rPr>
          <w:rFonts w:ascii="Lato" w:hAnsi="Lato"/>
          <w:b w:val="0"/>
          <w:i w:val="0"/>
          <w:color w:val="374151"/>
          <w:sz w:val="18"/>
        </w:rPr>
        <w:t xml:space="preserve">  |  Confidence: </w:t>
      </w:r>
      <w:r>
        <w:rPr>
          <w:rFonts w:ascii="Lato" w:hAnsi="Lato"/>
          <w:b/>
          <w:i w:val="0"/>
          <w:color w:val="D97706"/>
          <w:sz w:val="18"/>
        </w:rPr>
        <w:t>66% (Medium)</w:t>
      </w:r>
      <w:r>
        <w:rPr>
          <w:rFonts w:ascii="Lato" w:hAnsi="Lato"/>
          <w:b w:val="0"/>
          <w:i w:val="0"/>
          <w:color w:val="374151"/>
          <w:sz w:val="18"/>
        </w:rPr>
        <w:t xml:space="preserve">  |  Signal: </w:t>
      </w:r>
      <w:r>
        <w:rPr>
          <w:rFonts w:ascii="Lato" w:hAnsi="Lato"/>
          <w:b/>
          <w:i w:val="0"/>
          <w:color w:val="374151"/>
          <w:sz w:val="18"/>
        </w:rPr>
        <w:t>59% (Moderate)</w:t>
      </w:r>
      <w:r>
        <w:rPr>
          <w:rFonts w:ascii="Lato" w:hAnsi="Lato"/>
          <w:b w:val="0"/>
          <w:i w:val="0"/>
          <w:color w:val="6B7280"/>
          <w:sz w:val="18"/>
        </w:rPr>
        <w:t xml:space="preserve">  |  3.0% of Dataset</w:t>
      </w:r>
      <w:r>
        <w:rPr>
          <w:rFonts w:ascii="Lato" w:hAnsi="Lato"/>
          <w:b w:val="0"/>
          <w:i w:val="0"/>
          <w:color w:val="6B7280"/>
          <w:sz w:val="18"/>
        </w:rPr>
        <w:t xml:space="preserve">  |  NSS: </w:t>
      </w:r>
      <w:r>
        <w:rPr>
          <w:rFonts w:ascii="Lato" w:hAnsi="Lato"/>
          <w:b/>
          <w:i w:val="0"/>
          <w:color w:val="059669"/>
          <w:sz w:val="18"/>
        </w:rPr>
        <w:t>+17%</w:t>
      </w:r>
    </w:p>
    <w:p>
      <w:pPr>
        <w:jc w:val="center"/>
      </w:pPr>
      <w:r>
        <w:drawing>
          <wp:inline xmlns:a="http://schemas.openxmlformats.org/drawingml/2006/main" xmlns:pic="http://schemas.openxmlformats.org/drawingml/2006/picture">
            <wp:extent cx="3474720" cy="3547185"/>
            <wp:docPr id="13" name="Picture 13"/>
            <wp:cNvGraphicFramePr>
              <a:graphicFrameLocks noChangeAspect="1"/>
            </wp:cNvGraphicFramePr>
            <a:graphic>
              <a:graphicData uri="http://schemas.openxmlformats.org/drawingml/2006/picture">
                <pic:pic>
                  <pic:nvPicPr>
                    <pic:cNvPr id="0" name="chart_radar_INS_016.png"/>
                    <pic:cNvPicPr/>
                  </pic:nvPicPr>
                  <pic:blipFill>
                    <a:blip r:embed="rId21"/>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Indian Economic Growth &amp; Global Standing</w:t>
      </w:r>
    </w:p>
    <w:p>
      <w:pPr>
        <w:pStyle w:val="Heading3"/>
        <w:jc w:val="left"/>
      </w:pPr>
      <w:r>
        <w:rPr>
          <w:rFonts w:ascii="Lato" w:hAnsi="Lato"/>
          <w:b/>
          <w:color w:val="1E3A5F"/>
          <w:sz w:val="26"/>
        </w:rPr>
        <w:t>What the Data Shows</w:t>
      </w:r>
    </w:p>
    <w:p>
      <w:pPr>
        <w:spacing w:after="120" w:before="0"/>
      </w:pPr>
      <w:r>
        <w:rPr>
          <w:rFonts w:ascii="Lato" w:hAnsi="Lato"/>
          <w:b w:val="0"/>
          <w:i w:val="0"/>
          <w:sz w:val="22"/>
        </w:rPr>
        <w:t>Indian economic growth and global standing content spans 172 items (3.0%) with NSS +0.169. Discussion centres on India's position as the 4th/5th largest economy, GDP growth trajectory, UPI revolution, infrastructure development (highways, metro, railways), and the aspiration to reach $5 trillion/$30 trillion GDP. Counterpoints include low per-capita income, purchasing power limitations, and infrastructure-reality gaps.</w:t>
      </w:r>
    </w:p>
    <w:p>
      <w:pPr>
        <w:pStyle w:val="Heading3"/>
        <w:jc w:val="left"/>
      </w:pPr>
      <w:r>
        <w:rPr>
          <w:rFonts w:ascii="Lato" w:hAnsi="Lato"/>
          <w:b/>
          <w:color w:val="1E3A5F"/>
          <w:sz w:val="26"/>
        </w:rPr>
        <w:t>What it Means</w:t>
      </w:r>
    </w:p>
    <w:p>
      <w:pPr>
        <w:spacing w:after="120" w:before="0"/>
      </w:pPr>
      <w:r>
        <w:rPr>
          <w:rFonts w:ascii="Lato" w:hAnsi="Lato"/>
          <w:b w:val="0"/>
          <w:i w:val="0"/>
          <w:sz w:val="22"/>
        </w:rPr>
        <w:t>The economic growth narrative functions as the background music to the entire Make in India conversation. Consumers engage with specific MII topics (tariffs, brands, quality) against a backdrop of either optimism ('India is rising, 4th largest economy') or pessimism ('per capita income is still low, 80% live on less than $3/day'). This background sentiment colours how they interpret every MII data point - the same factory opening feels like proof of progress to an optimist and like inadequate progress to a pessimist.</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Macro-economic narrative setting is as important as micro-level product marketing for MII success. If the dominant background narrative shifts to pessimism (recession, job losses, inflation), even strong MII sector achievements will be dismissed. Conversely, in an optimistic backdrop, even modest achievements will be celebrated.</w:t>
      </w:r>
    </w:p>
    <w:p>
      <w:pPr>
        <w:pStyle w:val="Heading3"/>
        <w:jc w:val="left"/>
      </w:pPr>
      <w:r>
        <w:rPr>
          <w:rFonts w:ascii="Lato" w:hAnsi="Lato"/>
          <w:b/>
          <w:color w:val="1E3A5F"/>
          <w:sz w:val="26"/>
        </w:rPr>
        <w:t>Recommendation</w:t>
      </w:r>
    </w:p>
    <w:p>
      <w:pPr>
        <w:spacing w:after="120" w:before="0"/>
      </w:pPr>
      <w:r>
        <w:rPr>
          <w:rFonts w:ascii="Lato" w:hAnsi="Lato"/>
          <w:b w:val="0"/>
          <w:i w:val="0"/>
          <w:sz w:val="22"/>
        </w:rPr>
        <w:t>Maintain economic growth narrative through transparent, regularly-updated public dashboards rather than sporadic government announcements. Ground macro numbers in micro stories ('India's 4th largest economy means your neighbourhood factory now exports to 30 countries'). Address the per-capita critique honestly rather than ignoring it.</w:t>
      </w:r>
    </w:p>
    <w:p>
      <w:pPr>
        <w:pStyle w:val="Heading3"/>
        <w:jc w:val="left"/>
      </w:pPr>
      <w:r>
        <w:rPr>
          <w:rFonts w:ascii="Lato" w:hAnsi="Lato"/>
          <w:b/>
          <w:color w:val="1E3A5F"/>
          <w:sz w:val="26"/>
        </w:rPr>
        <w:t>Further Validation</w:t>
      </w:r>
    </w:p>
    <w:p>
      <w:pPr>
        <w:spacing w:after="120" w:before="0"/>
      </w:pPr>
      <w:r>
        <w:rPr>
          <w:rFonts w:ascii="Lato" w:hAnsi="Lato"/>
          <w:b w:val="0"/>
          <w:i w:val="0"/>
          <w:sz w:val="22"/>
        </w:rPr>
        <w:t>Track correlation between consumer economic sentiment and willingness to buy Indian products. Measure whether economic confidence predicts MII engagement more than patriotism.</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"It will impact badly globally including India because crude prices shoot up ⬆️ which will depreciate the value of our currency leading to high inflation and no chances of interest rates cut this year. Stock market will also react negatively @Mitesh_Engr ji time for short positions 😄"</w:t>
      </w:r>
      <w:r>
        <w:rPr>
          <w:rFonts w:ascii="Lato" w:hAnsi="Lato"/>
          <w:b w:val="0"/>
          <w:i w:val="0"/>
          <w:color w:val="6B7280"/>
          <w:sz w:val="18"/>
        </w:rPr>
        <w:t xml:space="preserve">  - twitter</w:t>
      </w:r>
    </w:p>
    <w:p>
      <w:pPr>
        <w:spacing w:before="80" w:after="80"/>
        <w:ind w:left="680" w:right="680"/>
      </w:pPr>
      <w:r>
        <w:rPr>
          <w:rFonts w:ascii="Lato" w:hAnsi="Lato"/>
          <w:b w:val="0"/>
          <w:i/>
          <w:color w:val="374151"/>
          <w:sz w:val="20"/>
        </w:rPr>
        <w:t>"US Sanctions on India Explained: How It Impacts Our Economy 🇮🇳 | GenZ Politics 🇮🇳 The US has imposed sanctions on global oil refineries - but could India be the next to face the impact? Here’s how it might shake India’s economy and fuel prices ⚡ 🧠 Subscribe for daily 60-second breakdowns on polit..."</w:t>
      </w:r>
      <w:r>
        <w:rPr>
          <w:rFonts w:ascii="Lato" w:hAnsi="Lato"/>
          <w:b w:val="0"/>
          <w:i w:val="0"/>
          <w:color w:val="6B7280"/>
          <w:sz w:val="18"/>
        </w:rPr>
        <w:t xml:space="preserve">  - youtube</w:t>
      </w:r>
    </w:p>
    <w:p>
      <w:pPr>
        <w:spacing w:before="80" w:after="80"/>
        <w:pBdr>
          <w:bottom w:val="single" w:sz="4" w:space="1" w:color="6B7280"/>
        </w:pBdr>
      </w:pPr>
    </w:p>
    <w:p>
      <w:pPr>
        <w:pStyle w:val="Heading2"/>
        <w:jc w:val="left"/>
      </w:pPr>
      <w:r>
        <w:rPr>
          <w:rFonts w:ascii="Lato" w:hAnsi="Lato"/>
          <w:b/>
          <w:color w:val="1E3A5F"/>
          <w:sz w:val="32"/>
        </w:rPr>
        <w:t>08. Sector Success Stories - Mobile, Pharma, Electronics</w:t>
      </w:r>
    </w:p>
    <w:p>
      <w:pPr>
        <w:spacing w:after="160"/>
      </w:pPr>
      <w:r>
        <w:rPr>
          <w:rFonts w:ascii="Lato" w:hAnsi="Lato"/>
          <w:b w:val="0"/>
          <w:i w:val="0"/>
          <w:color w:val="6B7280"/>
          <w:sz w:val="18"/>
        </w:rPr>
        <w:t>n=532</w:t>
      </w:r>
      <w:r>
        <w:rPr>
          <w:rFonts w:ascii="Lato" w:hAnsi="Lato"/>
          <w:b w:val="0"/>
          <w:i w:val="0"/>
          <w:color w:val="374151"/>
          <w:sz w:val="18"/>
        </w:rPr>
        <w:t xml:space="preserve">  |  Confidence: </w:t>
      </w:r>
      <w:r>
        <w:rPr>
          <w:rFonts w:ascii="Lato" w:hAnsi="Lato"/>
          <w:b/>
          <w:i w:val="0"/>
          <w:color w:val="D97706"/>
          <w:sz w:val="18"/>
        </w:rPr>
        <w:t>65% (Medium)</w:t>
      </w:r>
      <w:r>
        <w:rPr>
          <w:rFonts w:ascii="Lato" w:hAnsi="Lato"/>
          <w:b w:val="0"/>
          <w:i w:val="0"/>
          <w:color w:val="374151"/>
          <w:sz w:val="18"/>
        </w:rPr>
        <w:t xml:space="preserve">  |  Signal: </w:t>
      </w:r>
      <w:r>
        <w:rPr>
          <w:rFonts w:ascii="Lato" w:hAnsi="Lato"/>
          <w:b/>
          <w:i w:val="0"/>
          <w:color w:val="374151"/>
          <w:sz w:val="18"/>
        </w:rPr>
        <w:t>60% (Moderate)</w:t>
      </w:r>
      <w:r>
        <w:rPr>
          <w:rFonts w:ascii="Lato" w:hAnsi="Lato"/>
          <w:b w:val="0"/>
          <w:i w:val="0"/>
          <w:color w:val="6B7280"/>
          <w:sz w:val="18"/>
        </w:rPr>
        <w:t xml:space="preserve">  |  9.2% of Dataset</w:t>
      </w:r>
      <w:r>
        <w:rPr>
          <w:rFonts w:ascii="Lato" w:hAnsi="Lato"/>
          <w:b w:val="0"/>
          <w:i w:val="0"/>
          <w:color w:val="6B7280"/>
          <w:sz w:val="18"/>
        </w:rPr>
        <w:t xml:space="preserve">  |  NSS: </w:t>
      </w:r>
      <w:r>
        <w:rPr>
          <w:rFonts w:ascii="Lato" w:hAnsi="Lato"/>
          <w:b/>
          <w:i w:val="0"/>
          <w:color w:val="059669"/>
          <w:sz w:val="18"/>
        </w:rPr>
        <w:t>+38%</w:t>
      </w:r>
    </w:p>
    <w:p>
      <w:pPr>
        <w:jc w:val="center"/>
      </w:pPr>
      <w:r>
        <w:drawing>
          <wp:inline xmlns:a="http://schemas.openxmlformats.org/drawingml/2006/main" xmlns:pic="http://schemas.openxmlformats.org/drawingml/2006/picture">
            <wp:extent cx="3474720" cy="3547185"/>
            <wp:docPr id="14" name="Picture 14"/>
            <wp:cNvGraphicFramePr>
              <a:graphicFrameLocks noChangeAspect="1"/>
            </wp:cNvGraphicFramePr>
            <a:graphic>
              <a:graphicData uri="http://schemas.openxmlformats.org/drawingml/2006/picture">
                <pic:pic>
                  <pic:nvPicPr>
                    <pic:cNvPr id="0" name="chart_radar_INS_014.png"/>
                    <pic:cNvPicPr/>
                  </pic:nvPicPr>
                  <pic:blipFill>
                    <a:blip r:embed="rId22"/>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Sector Success Stories - Mobile, Pharma, Electronics</w:t>
      </w:r>
    </w:p>
    <w:p>
      <w:pPr>
        <w:pStyle w:val="Heading3"/>
        <w:jc w:val="left"/>
      </w:pPr>
      <w:r>
        <w:rPr>
          <w:rFonts w:ascii="Lato" w:hAnsi="Lato"/>
          <w:b/>
          <w:color w:val="1E3A5F"/>
          <w:sz w:val="26"/>
        </w:rPr>
        <w:t>What the Data Shows</w:t>
      </w:r>
    </w:p>
    <w:p>
      <w:pPr>
        <w:spacing w:after="120" w:before="0"/>
      </w:pPr>
      <w:r>
        <w:rPr>
          <w:rFonts w:ascii="Lato" w:hAnsi="Lato"/>
          <w:b w:val="0"/>
          <w:i w:val="0"/>
          <w:sz w:val="22"/>
        </w:rPr>
        <w:t>Sector success stories span 624 items (10.7%) with the second-highest NSS (+0.376). Mobile manufacturing dominates: 99% of phones sold in India now assembled locally vs 80% imported in 2014. iPhone exports hit record $10B. Pharma exports to 200+ countries - 'Made in India vaccine saved the world' during Covid. Toy imports fell 70%. Samsung and Apple expanding India manufacturing. Electronics component manufacturing scheme approved.</w:t>
      </w:r>
    </w:p>
    <w:p>
      <w:pPr>
        <w:pStyle w:val="Heading3"/>
        <w:jc w:val="left"/>
      </w:pPr>
      <w:r>
        <w:rPr>
          <w:rFonts w:ascii="Lato" w:hAnsi="Lato"/>
          <w:b/>
          <w:color w:val="1E3A5F"/>
          <w:sz w:val="26"/>
        </w:rPr>
        <w:t>What it Means</w:t>
      </w:r>
    </w:p>
    <w:p>
      <w:pPr>
        <w:spacing w:after="120" w:before="0"/>
      </w:pPr>
      <w:r>
        <w:rPr>
          <w:rFonts w:ascii="Lato" w:hAnsi="Lato"/>
          <w:b w:val="0"/>
          <w:i w:val="0"/>
          <w:sz w:val="22"/>
        </w:rPr>
        <w:t>India's MII success story is not evenly distributed across sectors but concentrated in a handful of 'hero sectors' - mobile phones, pharma, defence, and toys - that provide disproportionate proof-of-concept for the entire initiative. These sectors share common characteristics: government incentives (PLI), a large domestic market for scale, and at least one anchor company that de-risked the investment. The consumer perceives MII's credibility through these specific sectors rather than through aggregate national data.</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'hero sector' model suggests that future MII expansion should replicate the conditions that made mobile and pharma successful rather than spreading resources thinly across all sectors. Each new hero sector (semiconductors, EVs, green energy) needs its own anchor company, its own PLI scheme, and its own consumer-facing narrative.</w:t>
      </w:r>
    </w:p>
    <w:p>
      <w:pPr>
        <w:pStyle w:val="Heading3"/>
        <w:jc w:val="left"/>
      </w:pPr>
      <w:r>
        <w:rPr>
          <w:rFonts w:ascii="Lato" w:hAnsi="Lato"/>
          <w:b/>
          <w:color w:val="1E3A5F"/>
          <w:sz w:val="26"/>
        </w:rPr>
        <w:t>Recommendation</w:t>
      </w:r>
    </w:p>
    <w:p>
      <w:pPr>
        <w:spacing w:after="120" w:before="0"/>
      </w:pPr>
      <w:r>
        <w:rPr>
          <w:rFonts w:ascii="Lato" w:hAnsi="Lato"/>
          <w:b w:val="0"/>
          <w:i w:val="0"/>
          <w:sz w:val="22"/>
        </w:rPr>
        <w:t>Identify the next 3-5 potential hero sectors based on the success criteria of existing ones (domestic market size, global demand, technology readiness, available anchor companies). Create sector-specific public narratives with clear 5-year milestones. Semiconductor and green energy manufacturing are the strongest candidates based on current policy momentum.</w:t>
      </w:r>
    </w:p>
    <w:p>
      <w:pPr>
        <w:pStyle w:val="Heading3"/>
        <w:jc w:val="left"/>
      </w:pPr>
      <w:r>
        <w:rPr>
          <w:rFonts w:ascii="Lato" w:hAnsi="Lato"/>
          <w:b/>
          <w:color w:val="1E3A5F"/>
          <w:sz w:val="26"/>
        </w:rPr>
        <w:t>Further Validation</w:t>
      </w:r>
    </w:p>
    <w:p>
      <w:pPr>
        <w:spacing w:after="120" w:before="0"/>
      </w:pPr>
      <w:r>
        <w:rPr>
          <w:rFonts w:ascii="Lato" w:hAnsi="Lato"/>
          <w:b w:val="0"/>
          <w:i w:val="0"/>
          <w:sz w:val="22"/>
        </w:rPr>
        <w:t>Benchmark India's sector-level manufacturing competitiveness against Vietnam, Thailand, and Mexico. Track consumer awareness and pride in hero sector achievements to gauge narrative effectiveness.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"India's import-to-export ratio with China over the past 20 years (2005-2024) has been high, ranging from ~3:1 to 7.4:1, with a widening trade deficit. Imports, like electronics, far exceed exports (e.g., iron ore), peaking at 6.5:1 in 2023 ($117.68B vs. $18.1B). Despite "Make in India," exports s..."</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09. Boycott Foreign Brands &amp; Products</w:t>
      </w:r>
    </w:p>
    <w:p>
      <w:pPr>
        <w:spacing w:after="160"/>
      </w:pPr>
      <w:r>
        <w:rPr>
          <w:rFonts w:ascii="Lato" w:hAnsi="Lato"/>
          <w:b w:val="0"/>
          <w:i w:val="0"/>
          <w:color w:val="6B7280"/>
          <w:sz w:val="18"/>
        </w:rPr>
        <w:t>n=211</w:t>
      </w:r>
      <w:r>
        <w:rPr>
          <w:rFonts w:ascii="Lato" w:hAnsi="Lato"/>
          <w:b w:val="0"/>
          <w:i w:val="0"/>
          <w:color w:val="374151"/>
          <w:sz w:val="18"/>
        </w:rPr>
        <w:t xml:space="preserve">  |  Confidence: </w:t>
      </w:r>
      <w:r>
        <w:rPr>
          <w:rFonts w:ascii="Lato" w:hAnsi="Lato"/>
          <w:b/>
          <w:i w:val="0"/>
          <w:color w:val="D97706"/>
          <w:sz w:val="18"/>
        </w:rPr>
        <w:t>65% (Medium)</w:t>
      </w:r>
      <w:r>
        <w:rPr>
          <w:rFonts w:ascii="Lato" w:hAnsi="Lato"/>
          <w:b w:val="0"/>
          <w:i w:val="0"/>
          <w:color w:val="374151"/>
          <w:sz w:val="18"/>
        </w:rPr>
        <w:t xml:space="preserve">  |  Signal: </w:t>
      </w:r>
      <w:r>
        <w:rPr>
          <w:rFonts w:ascii="Lato" w:hAnsi="Lato"/>
          <w:b/>
          <w:i w:val="0"/>
          <w:color w:val="374151"/>
          <w:sz w:val="18"/>
        </w:rPr>
        <w:t>52% (Moderate)</w:t>
      </w:r>
      <w:r>
        <w:rPr>
          <w:rFonts w:ascii="Lato" w:hAnsi="Lato"/>
          <w:b w:val="0"/>
          <w:i w:val="0"/>
          <w:color w:val="6B7280"/>
          <w:sz w:val="18"/>
        </w:rPr>
        <w:t xml:space="preserve">  |  3.6% of Dataset</w:t>
      </w:r>
      <w:r>
        <w:rPr>
          <w:rFonts w:ascii="Lato" w:hAnsi="Lato"/>
          <w:b w:val="0"/>
          <w:i w:val="0"/>
          <w:color w:val="6B7280"/>
          <w:sz w:val="18"/>
        </w:rPr>
        <w:t xml:space="preserve">  |  NSS: </w:t>
      </w:r>
      <w:r>
        <w:rPr>
          <w:rFonts w:ascii="Lato" w:hAnsi="Lato"/>
          <w:b/>
          <w:i w:val="0"/>
          <w:color w:val="059669"/>
          <w:sz w:val="18"/>
        </w:rPr>
        <w:t>+14%</w:t>
      </w:r>
    </w:p>
    <w:p>
      <w:pPr>
        <w:jc w:val="center"/>
      </w:pPr>
      <w:r>
        <w:drawing>
          <wp:inline xmlns:a="http://schemas.openxmlformats.org/drawingml/2006/main" xmlns:pic="http://schemas.openxmlformats.org/drawingml/2006/picture">
            <wp:extent cx="3474720" cy="3547185"/>
            <wp:docPr id="15" name="Picture 15"/>
            <wp:cNvGraphicFramePr>
              <a:graphicFrameLocks noChangeAspect="1"/>
            </wp:cNvGraphicFramePr>
            <a:graphic>
              <a:graphicData uri="http://schemas.openxmlformats.org/drawingml/2006/picture">
                <pic:pic>
                  <pic:nvPicPr>
                    <pic:cNvPr id="0" name="chart_radar_INS_005.png"/>
                    <pic:cNvPicPr/>
                  </pic:nvPicPr>
                  <pic:blipFill>
                    <a:blip r:embed="rId23"/>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Boycott Foreign Brands &amp; Products</w:t>
      </w:r>
    </w:p>
    <w:p>
      <w:pPr>
        <w:pStyle w:val="Heading3"/>
        <w:jc w:val="left"/>
      </w:pPr>
      <w:r>
        <w:rPr>
          <w:rFonts w:ascii="Lato" w:hAnsi="Lato"/>
          <w:b/>
          <w:color w:val="1E3A5F"/>
          <w:sz w:val="26"/>
        </w:rPr>
        <w:t>What the Data Shows</w:t>
      </w:r>
    </w:p>
    <w:p>
      <w:pPr>
        <w:spacing w:after="120" w:before="0"/>
      </w:pPr>
      <w:r>
        <w:rPr>
          <w:rFonts w:ascii="Lato" w:hAnsi="Lato"/>
          <w:b w:val="0"/>
          <w:i w:val="0"/>
          <w:sz w:val="22"/>
        </w:rPr>
        <w:t>Boycott movements span 485 items (8.3%). Targets include Chinese products (dominant), Turkish brands, Israeli products, Bangladeshi goods, and Nike. Boycotts are reactive and event-driven: anti-China sentiment follows geopolitical tensions, anti-Bangladesh follows Hindu persecution reports, anti-Nike follows perceived anti-India messaging. NSS +0.142 indicates boycott callers frame their stance positively (protecting India) not negatively.</w:t>
      </w:r>
    </w:p>
    <w:p>
      <w:pPr>
        <w:pStyle w:val="Heading3"/>
        <w:jc w:val="left"/>
      </w:pPr>
      <w:r>
        <w:rPr>
          <w:rFonts w:ascii="Lato" w:hAnsi="Lato"/>
          <w:b/>
          <w:color w:val="1E3A5F"/>
          <w:sz w:val="26"/>
        </w:rPr>
        <w:t>What it Means</w:t>
      </w:r>
    </w:p>
    <w:p>
      <w:pPr>
        <w:spacing w:after="120" w:before="0"/>
      </w:pPr>
      <w:r>
        <w:rPr>
          <w:rFonts w:ascii="Lato" w:hAnsi="Lato"/>
          <w:b w:val="0"/>
          <w:i w:val="0"/>
          <w:sz w:val="22"/>
        </w:rPr>
        <w:t>Boycott movements in the Indian Make in India context function as emotional release valves rather than sustained economic actions. Each boycott wave follows a specific geopolitical trigger, gains intense but brief social media traction, and dissipates without measurable import reduction. The India-China trade deficit actually doubled from $43B to $99B during peak 'Boycott China' sentiment (FY21-FY25). This pattern suggests boycotts serve a psychological need (expressing agency in the face of perceived threats) rather than a commercial one.</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Brands should not fear boycott movements as sustained commercial threats, but should understand them as signals of consumer sentiment that can be redirected toward positive action. The real opportunity is converting boycott energy ('stop buying foreign') into brand-building energy ('start buying this specific Indian alternative'). The failure of past boycotts also suggests that consumers ultimately value product-market fit over patriotic principle.</w:t>
      </w:r>
    </w:p>
    <w:p>
      <w:pPr>
        <w:pStyle w:val="Heading3"/>
        <w:jc w:val="left"/>
      </w:pPr>
      <w:r>
        <w:rPr>
          <w:rFonts w:ascii="Lato" w:hAnsi="Lato"/>
          <w:b/>
          <w:color w:val="1E3A5F"/>
          <w:sz w:val="26"/>
        </w:rPr>
        <w:t>Recommendation</w:t>
      </w:r>
    </w:p>
    <w:p>
      <w:pPr>
        <w:spacing w:after="120" w:before="0"/>
      </w:pPr>
      <w:r>
        <w:rPr>
          <w:rFonts w:ascii="Lato" w:hAnsi="Lato"/>
          <w:b w:val="0"/>
          <w:i w:val="0"/>
          <w:sz w:val="22"/>
        </w:rPr>
        <w:t>Do not position Indian products primarily as 'alternatives to foreign brands being boycotted.' Instead, build independent brand equity that makes boycott sentiment a tailwind, not the entire engine. For policy: acknowledge that boycotts alone cannot substitute for manufacturing competitiveness - actual supply-side capacity must exist for consumers to act on their intent.</w:t>
      </w:r>
    </w:p>
    <w:p>
      <w:pPr>
        <w:pStyle w:val="Heading3"/>
        <w:jc w:val="left"/>
      </w:pPr>
      <w:r>
        <w:rPr>
          <w:rFonts w:ascii="Lato" w:hAnsi="Lato"/>
          <w:b/>
          <w:color w:val="1E3A5F"/>
          <w:sz w:val="26"/>
        </w:rPr>
        <w:t>Further Validation</w:t>
      </w:r>
    </w:p>
    <w:p>
      <w:pPr>
        <w:spacing w:after="120" w:before="0"/>
      </w:pPr>
      <w:r>
        <w:rPr>
          <w:rFonts w:ascii="Lato" w:hAnsi="Lato"/>
          <w:b w:val="0"/>
          <w:i w:val="0"/>
          <w:sz w:val="22"/>
        </w:rPr>
        <w:t>Track purchase data in boycotted categories during and after boycott waves to measure actual behaviour change. Identify which specific product categories see genuine import substitution vs. which return to status quo.</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"McDonalds Dominos Apple Subway Burger King WhatsApp Twitter Facebook  These are all American Brands and Food Chains. While these brands cannot be boycotted immediately but they can be phased out and Indian alternatives can be built and nurtured Think Swadeshi. Buy Swadeshi. Make Swadeshi"</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10. Indian D2C Brands &amp; Startup Ecosystem</w:t>
      </w:r>
    </w:p>
    <w:p>
      <w:pPr>
        <w:spacing w:after="160"/>
      </w:pPr>
      <w:r>
        <w:rPr>
          <w:rFonts w:ascii="Lato" w:hAnsi="Lato"/>
          <w:b w:val="0"/>
          <w:i w:val="0"/>
          <w:color w:val="6B7280"/>
          <w:sz w:val="18"/>
        </w:rPr>
        <w:t>n=624</w:t>
      </w:r>
      <w:r>
        <w:rPr>
          <w:rFonts w:ascii="Lato" w:hAnsi="Lato"/>
          <w:b w:val="0"/>
          <w:i w:val="0"/>
          <w:color w:val="374151"/>
          <w:sz w:val="18"/>
        </w:rPr>
        <w:t xml:space="preserve">  |  Confidence: </w:t>
      </w:r>
      <w:r>
        <w:rPr>
          <w:rFonts w:ascii="Lato" w:hAnsi="Lato"/>
          <w:b/>
          <w:i w:val="0"/>
          <w:color w:val="D97706"/>
          <w:sz w:val="18"/>
        </w:rPr>
        <w:t>64% (Medium)</w:t>
      </w:r>
      <w:r>
        <w:rPr>
          <w:rFonts w:ascii="Lato" w:hAnsi="Lato"/>
          <w:b w:val="0"/>
          <w:i w:val="0"/>
          <w:color w:val="374151"/>
          <w:sz w:val="18"/>
        </w:rPr>
        <w:t xml:space="preserve">  |  Signal: </w:t>
      </w:r>
      <w:r>
        <w:rPr>
          <w:rFonts w:ascii="Lato" w:hAnsi="Lato"/>
          <w:b/>
          <w:i w:val="0"/>
          <w:color w:val="374151"/>
          <w:sz w:val="18"/>
        </w:rPr>
        <w:t>51% (Moderate)</w:t>
      </w:r>
      <w:r>
        <w:rPr>
          <w:rFonts w:ascii="Lato" w:hAnsi="Lato"/>
          <w:b w:val="0"/>
          <w:i w:val="0"/>
          <w:color w:val="6B7280"/>
          <w:sz w:val="18"/>
        </w:rPr>
        <w:t xml:space="preserve">  |  10.7% of Dataset</w:t>
      </w:r>
      <w:r>
        <w:rPr>
          <w:rFonts w:ascii="Lato" w:hAnsi="Lato"/>
          <w:b w:val="0"/>
          <w:i w:val="0"/>
          <w:color w:val="6B7280"/>
          <w:sz w:val="18"/>
        </w:rPr>
        <w:t xml:space="preserve">  |  NSS: </w:t>
      </w:r>
      <w:r>
        <w:rPr>
          <w:rFonts w:ascii="Lato" w:hAnsi="Lato"/>
          <w:b/>
          <w:i w:val="0"/>
          <w:color w:val="059669"/>
          <w:sz w:val="18"/>
        </w:rPr>
        <w:t>+27%</w:t>
      </w:r>
    </w:p>
    <w:p>
      <w:pPr>
        <w:jc w:val="center"/>
      </w:pPr>
      <w:r>
        <w:drawing>
          <wp:inline xmlns:a="http://schemas.openxmlformats.org/drawingml/2006/main" xmlns:pic="http://schemas.openxmlformats.org/drawingml/2006/picture">
            <wp:extent cx="3474720" cy="3547185"/>
            <wp:docPr id="16" name="Picture 16"/>
            <wp:cNvGraphicFramePr>
              <a:graphicFrameLocks noChangeAspect="1"/>
            </wp:cNvGraphicFramePr>
            <a:graphic>
              <a:graphicData uri="http://schemas.openxmlformats.org/drawingml/2006/picture">
                <pic:pic>
                  <pic:nvPicPr>
                    <pic:cNvPr id="0" name="chart_radar_INS_006.png"/>
                    <pic:cNvPicPr/>
                  </pic:nvPicPr>
                  <pic:blipFill>
                    <a:blip r:embed="rId24"/>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Indian D2C Brands &amp; Startup Ecosystem</w:t>
      </w:r>
    </w:p>
    <w:p>
      <w:pPr>
        <w:pStyle w:val="Heading3"/>
        <w:jc w:val="left"/>
      </w:pPr>
      <w:r>
        <w:rPr>
          <w:rFonts w:ascii="Lato" w:hAnsi="Lato"/>
          <w:b/>
          <w:color w:val="1E3A5F"/>
          <w:sz w:val="26"/>
        </w:rPr>
        <w:t>What the Data Shows</w:t>
      </w:r>
    </w:p>
    <w:p>
      <w:pPr>
        <w:spacing w:after="120" w:before="0"/>
      </w:pPr>
      <w:r>
        <w:rPr>
          <w:rFonts w:ascii="Lato" w:hAnsi="Lato"/>
          <w:b w:val="0"/>
          <w:i w:val="0"/>
          <w:sz w:val="22"/>
        </w:rPr>
        <w:t>Indian D2C brands and startup ecosystem content spans 649 items (11.2%) with NSS +0.266. Discussion covers boAt, Lava, Mamaearth, Nykaa, Fire-Boltt, Titan, and the Shark Tank India effect. A critical thread notes that many 'Indian brands' start with Chinese imports and white-labelling. Counter-narrative: Indian founders who built from scratch are celebrated, especially in consumer electronics and fashion.</w:t>
      </w:r>
    </w:p>
    <w:p>
      <w:pPr>
        <w:pStyle w:val="Heading3"/>
        <w:jc w:val="left"/>
      </w:pPr>
      <w:r>
        <w:rPr>
          <w:rFonts w:ascii="Lato" w:hAnsi="Lato"/>
          <w:b/>
          <w:color w:val="1E3A5F"/>
          <w:sz w:val="26"/>
        </w:rPr>
        <w:t>What it Means</w:t>
      </w:r>
    </w:p>
    <w:p>
      <w:pPr>
        <w:spacing w:after="120" w:before="0"/>
      </w:pPr>
      <w:r>
        <w:rPr>
          <w:rFonts w:ascii="Lato" w:hAnsi="Lato"/>
          <w:b w:val="0"/>
          <w:i w:val="0"/>
          <w:sz w:val="22"/>
        </w:rPr>
        <w:t>The Indian D2C ecosystem exists in a trust paradox: consumers want to support Indian brands but suspect many are merely repackaging Chinese products under Indian names. Brands that transparently communicate their manufacturing story (even if it starts with Chinese components) earn more trust than those that hide it. The Shark Tank India effect has created a new consumer archetype: the 'patriotic investor-consumer' who buys from startups they watched pitch on television, creating emotional investment beyond the product itself.</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For Indian D2C brands, manufacturing transparency is the new competitive advantage. The consumer doesn't demand 100% Indian manufacturing from day one but demands honesty about the current state and a clear roadmap to increasing localisation. Brands caught claiming 'Made in India' while fully importing from China face reputational destruction that patriotic positioning cannot recover from.</w:t>
      </w:r>
    </w:p>
    <w:p>
      <w:pPr>
        <w:pStyle w:val="Heading3"/>
        <w:jc w:val="left"/>
      </w:pPr>
      <w:r>
        <w:rPr>
          <w:rFonts w:ascii="Lato" w:hAnsi="Lato"/>
          <w:b/>
          <w:color w:val="1E3A5F"/>
          <w:sz w:val="26"/>
        </w:rPr>
        <w:t>Recommendation</w:t>
      </w:r>
    </w:p>
    <w:p>
      <w:pPr>
        <w:spacing w:after="120" w:before="0"/>
      </w:pPr>
      <w:r>
        <w:rPr>
          <w:rFonts w:ascii="Lato" w:hAnsi="Lato"/>
          <w:b w:val="0"/>
          <w:i w:val="0"/>
          <w:sz w:val="22"/>
        </w:rPr>
        <w:t>Indian D2C brands should publish 'origin stories' that honestly show what is currently manufactured in India vs. sourced externally, with annual localisation targets. Create content showing actual factory floors, artisan workshops, and manufacturing processes. Leverage Shark Tank India alumni networks for cross-promotion and credibility.</w:t>
      </w:r>
    </w:p>
    <w:p>
      <w:pPr>
        <w:pStyle w:val="Heading3"/>
        <w:jc w:val="left"/>
      </w:pPr>
      <w:r>
        <w:rPr>
          <w:rFonts w:ascii="Lato" w:hAnsi="Lato"/>
          <w:b/>
          <w:color w:val="1E3A5F"/>
          <w:sz w:val="26"/>
        </w:rPr>
        <w:t>Further Validation</w:t>
      </w:r>
    </w:p>
    <w:p>
      <w:pPr>
        <w:spacing w:after="120" w:before="0"/>
      </w:pPr>
      <w:r>
        <w:rPr>
          <w:rFonts w:ascii="Lato" w:hAnsi="Lato"/>
          <w:b w:val="0"/>
          <w:i w:val="0"/>
          <w:sz w:val="22"/>
        </w:rPr>
        <w:t>Survey Indian consumers on trust factors for D2C brands. Test whether manufacturing transparency content (factory tours, supply chain maps) drives purchase intent more than patriotic messaging.</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"What are the best Indian brands that have emerged in last 10 years in India? What are the best Indian brands that have emerged in last 10 years in India? Brands that you really think worth for buck, very well run, have great image and decent customer service. Can be any sector from tech products ..."</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"@PiyushGoyal This is an important discussion for every Indian, for middle class and farmers. However, MSMEs like ours are still struggling to set up and grow under Make in India. Despite manufacturing for more than 9 years, we have not received any infrastructure support from Government."</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11. Defence &amp; Strategic Manufacturing</w:t>
      </w:r>
    </w:p>
    <w:p>
      <w:pPr>
        <w:spacing w:after="160"/>
      </w:pPr>
      <w:r>
        <w:rPr>
          <w:rFonts w:ascii="Lato" w:hAnsi="Lato"/>
          <w:b w:val="0"/>
          <w:i w:val="0"/>
          <w:color w:val="6B7280"/>
          <w:sz w:val="18"/>
        </w:rPr>
        <w:t>n=649</w:t>
      </w:r>
      <w:r>
        <w:rPr>
          <w:rFonts w:ascii="Lato" w:hAnsi="Lato"/>
          <w:b w:val="0"/>
          <w:i w:val="0"/>
          <w:color w:val="374151"/>
          <w:sz w:val="18"/>
        </w:rPr>
        <w:t xml:space="preserve">  |  Confidence: </w:t>
      </w:r>
      <w:r>
        <w:rPr>
          <w:rFonts w:ascii="Lato" w:hAnsi="Lato"/>
          <w:b/>
          <w:i w:val="0"/>
          <w:color w:val="D97706"/>
          <w:sz w:val="18"/>
        </w:rPr>
        <w:t>64% (Medium)</w:t>
      </w:r>
      <w:r>
        <w:rPr>
          <w:rFonts w:ascii="Lato" w:hAnsi="Lato"/>
          <w:b w:val="0"/>
          <w:i w:val="0"/>
          <w:color w:val="374151"/>
          <w:sz w:val="18"/>
        </w:rPr>
        <w:t xml:space="preserve">  |  Signal: </w:t>
      </w:r>
      <w:r>
        <w:rPr>
          <w:rFonts w:ascii="Lato" w:hAnsi="Lato"/>
          <w:b/>
          <w:i w:val="0"/>
          <w:color w:val="374151"/>
          <w:sz w:val="18"/>
        </w:rPr>
        <w:t>61% (Moderate)</w:t>
      </w:r>
      <w:r>
        <w:rPr>
          <w:rFonts w:ascii="Lato" w:hAnsi="Lato"/>
          <w:b w:val="0"/>
          <w:i w:val="0"/>
          <w:color w:val="6B7280"/>
          <w:sz w:val="18"/>
        </w:rPr>
        <w:t xml:space="preserve">  |  11.2% of Dataset</w:t>
      </w:r>
      <w:r>
        <w:rPr>
          <w:rFonts w:ascii="Lato" w:hAnsi="Lato"/>
          <w:b w:val="0"/>
          <w:i w:val="0"/>
          <w:color w:val="6B7280"/>
          <w:sz w:val="18"/>
        </w:rPr>
        <w:t xml:space="preserve">  |  NSS: </w:t>
      </w:r>
      <w:r>
        <w:rPr>
          <w:rFonts w:ascii="Lato" w:hAnsi="Lato"/>
          <w:b/>
          <w:i w:val="0"/>
          <w:color w:val="059669"/>
          <w:sz w:val="18"/>
        </w:rPr>
        <w:t>+25%</w:t>
      </w:r>
    </w:p>
    <w:p>
      <w:pPr>
        <w:jc w:val="center"/>
      </w:pPr>
      <w:r>
        <w:drawing>
          <wp:inline xmlns:a="http://schemas.openxmlformats.org/drawingml/2006/main" xmlns:pic="http://schemas.openxmlformats.org/drawingml/2006/picture">
            <wp:extent cx="3474720" cy="3547185"/>
            <wp:docPr id="17" name="Picture 17"/>
            <wp:cNvGraphicFramePr>
              <a:graphicFrameLocks noChangeAspect="1"/>
            </wp:cNvGraphicFramePr>
            <a:graphic>
              <a:graphicData uri="http://schemas.openxmlformats.org/drawingml/2006/picture">
                <pic:pic>
                  <pic:nvPicPr>
                    <pic:cNvPr id="0" name="chart_radar_INS_008.png"/>
                    <pic:cNvPicPr/>
                  </pic:nvPicPr>
                  <pic:blipFill>
                    <a:blip r:embed="rId25"/>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Defence &amp; Strategic Manufacturing</w:t>
      </w:r>
    </w:p>
    <w:p>
      <w:pPr>
        <w:pStyle w:val="Heading3"/>
        <w:jc w:val="left"/>
      </w:pPr>
      <w:r>
        <w:rPr>
          <w:rFonts w:ascii="Lato" w:hAnsi="Lato"/>
          <w:b/>
          <w:color w:val="1E3A5F"/>
          <w:sz w:val="26"/>
        </w:rPr>
        <w:t>What the Data Shows</w:t>
      </w:r>
    </w:p>
    <w:p>
      <w:pPr>
        <w:spacing w:after="120" w:before="0"/>
      </w:pPr>
      <w:r>
        <w:rPr>
          <w:rFonts w:ascii="Lato" w:hAnsi="Lato"/>
          <w:b w:val="0"/>
          <w:i w:val="0"/>
          <w:sz w:val="22"/>
        </w:rPr>
        <w:t>Defence and strategic manufacturing spans 2024 items (34.8%) with NSS +0.253. Content celebrates Vande Bharat trains (85% localisation), BrahMos missiles, Tejas fighter jets, metro coaches exported to Australia, and the 12,000 HP WAG-12B locomotive. Defence production reached Rs 1.27 lakh crore in FY24. Arms exports growing. Operation Sindoor referenced as proof that self-reliance works when it matters most.</w:t>
      </w:r>
    </w:p>
    <w:p>
      <w:pPr>
        <w:pStyle w:val="Heading3"/>
        <w:jc w:val="left"/>
      </w:pPr>
      <w:r>
        <w:rPr>
          <w:rFonts w:ascii="Lato" w:hAnsi="Lato"/>
          <w:b/>
          <w:color w:val="1E3A5F"/>
          <w:sz w:val="26"/>
        </w:rPr>
        <w:t>What it Means</w:t>
      </w:r>
    </w:p>
    <w:p>
      <w:pPr>
        <w:spacing w:after="120" w:before="0"/>
      </w:pPr>
      <w:r>
        <w:rPr>
          <w:rFonts w:ascii="Lato" w:hAnsi="Lato"/>
          <w:b w:val="0"/>
          <w:i w:val="0"/>
          <w:sz w:val="22"/>
        </w:rPr>
        <w:t>Defence manufacturing has become the unassailable proof-point for Make in India, functioning as the movement's emotional anchor. Even MII's harshest critics rarely attack defence manufacturing achievements because they touch national security - a domain where self-reliance is universally valued across political lines. The consumer reads defence manufacturing success as evidence that India CAN manufacture world-class products when motivated, which makes the failure to do so in consumer goods more frustrating rather than more understandable.</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Defence manufacturing's halo effect can be leveraged to build credibility for civilian manufacturing - but only with specific, verifiable claims. Generic 'Make in India' messaging fails; specific claims ('the same engineering that builds BrahMos missiles now builds your metro coach') succeed. However, the gap between defence achievement and consumer product quality actually intensifies rather than resolves consumer scepticism about commercial manufacturing.</w:t>
      </w:r>
    </w:p>
    <w:p>
      <w:pPr>
        <w:pStyle w:val="Heading3"/>
        <w:jc w:val="left"/>
      </w:pPr>
      <w:r>
        <w:rPr>
          <w:rFonts w:ascii="Lato" w:hAnsi="Lato"/>
          <w:b/>
          <w:color w:val="1E3A5F"/>
          <w:sz w:val="26"/>
        </w:rPr>
        <w:t>Recommendation</w:t>
      </w:r>
    </w:p>
    <w:p>
      <w:pPr>
        <w:spacing w:after="120" w:before="0"/>
      </w:pPr>
      <w:r>
        <w:rPr>
          <w:rFonts w:ascii="Lato" w:hAnsi="Lato"/>
          <w:b w:val="0"/>
          <w:i w:val="0"/>
          <w:sz w:val="22"/>
        </w:rPr>
        <w:t>Create content connecting defence manufacturing capabilities to civilian product quality (technology transfer stories, dual-use engineering narratives). Use defence success as the aspirational benchmark for consumer product sectors. For policy: accelerate defence-to-civilian technology transfer programmes.</w:t>
      </w:r>
    </w:p>
    <w:p>
      <w:pPr>
        <w:pStyle w:val="Heading3"/>
        <w:jc w:val="left"/>
      </w:pPr>
      <w:r>
        <w:rPr>
          <w:rFonts w:ascii="Lato" w:hAnsi="Lato"/>
          <w:b/>
          <w:color w:val="1E3A5F"/>
          <w:sz w:val="26"/>
        </w:rPr>
        <w:t>Further Validation</w:t>
      </w:r>
    </w:p>
    <w:p>
      <w:pPr>
        <w:spacing w:after="120" w:before="0"/>
      </w:pPr>
      <w:r>
        <w:rPr>
          <w:rFonts w:ascii="Lato" w:hAnsi="Lato"/>
          <w:b w:val="0"/>
          <w:i w:val="0"/>
          <w:sz w:val="22"/>
        </w:rPr>
        <w:t>Measure whether exposure to defence manufacturing content improves quality perception of Indian consumer products. Track technology transfer from defence to civilian sectors.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"In today’s time when politicians and media are whitewashing our brains on the name of religion. People like him are protecting the real essence of India 🇮🇳 and keeping us United with #harmony and #peace. We had long discussion and about how we can make the world little better?"</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12. Nationalism vs Consumer Pragmatism</w:t>
      </w:r>
    </w:p>
    <w:p>
      <w:pPr>
        <w:spacing w:after="160"/>
      </w:pPr>
      <w:r>
        <w:rPr>
          <w:rFonts w:ascii="Lato" w:hAnsi="Lato"/>
          <w:b w:val="0"/>
          <w:i w:val="0"/>
          <w:color w:val="6B7280"/>
          <w:sz w:val="18"/>
        </w:rPr>
        <w:t>n=397</w:t>
      </w:r>
      <w:r>
        <w:rPr>
          <w:rFonts w:ascii="Lato" w:hAnsi="Lato"/>
          <w:b w:val="0"/>
          <w:i w:val="0"/>
          <w:color w:val="374151"/>
          <w:sz w:val="18"/>
        </w:rPr>
        <w:t xml:space="preserve">  |  Confidence: </w:t>
      </w:r>
      <w:r>
        <w:rPr>
          <w:rFonts w:ascii="Lato" w:hAnsi="Lato"/>
          <w:b/>
          <w:i w:val="0"/>
          <w:color w:val="D97706"/>
          <w:sz w:val="18"/>
        </w:rPr>
        <w:t>64% (Medium)</w:t>
      </w:r>
      <w:r>
        <w:rPr>
          <w:rFonts w:ascii="Lato" w:hAnsi="Lato"/>
          <w:b w:val="0"/>
          <w:i w:val="0"/>
          <w:color w:val="374151"/>
          <w:sz w:val="18"/>
        </w:rPr>
        <w:t xml:space="preserve">  |  Signal: </w:t>
      </w:r>
      <w:r>
        <w:rPr>
          <w:rFonts w:ascii="Lato" w:hAnsi="Lato"/>
          <w:b/>
          <w:i w:val="0"/>
          <w:color w:val="374151"/>
          <w:sz w:val="18"/>
        </w:rPr>
        <w:t>59% (Moderate)</w:t>
      </w:r>
      <w:r>
        <w:rPr>
          <w:rFonts w:ascii="Lato" w:hAnsi="Lato"/>
          <w:b w:val="0"/>
          <w:i w:val="0"/>
          <w:color w:val="6B7280"/>
          <w:sz w:val="18"/>
        </w:rPr>
        <w:t xml:space="preserve">  |  6.8% of Dataset</w:t>
      </w:r>
      <w:r>
        <w:rPr>
          <w:rFonts w:ascii="Lato" w:hAnsi="Lato"/>
          <w:b w:val="0"/>
          <w:i w:val="0"/>
          <w:color w:val="6B7280"/>
          <w:sz w:val="18"/>
        </w:rPr>
        <w:t xml:space="preserve">  |  NSS: </w:t>
      </w:r>
      <w:r>
        <w:rPr>
          <w:rFonts w:ascii="Lato" w:hAnsi="Lato"/>
          <w:b/>
          <w:i w:val="0"/>
          <w:color w:val="059669"/>
          <w:sz w:val="18"/>
        </w:rPr>
        <w:t>+34%</w:t>
      </w:r>
    </w:p>
    <w:p>
      <w:pPr>
        <w:jc w:val="center"/>
      </w:pPr>
      <w:r>
        <w:drawing>
          <wp:inline xmlns:a="http://schemas.openxmlformats.org/drawingml/2006/main" xmlns:pic="http://schemas.openxmlformats.org/drawingml/2006/picture">
            <wp:extent cx="3474720" cy="3547185"/>
            <wp:docPr id="18" name="Picture 18"/>
            <wp:cNvGraphicFramePr>
              <a:graphicFrameLocks noChangeAspect="1"/>
            </wp:cNvGraphicFramePr>
            <a:graphic>
              <a:graphicData uri="http://schemas.openxmlformats.org/drawingml/2006/picture">
                <pic:pic>
                  <pic:nvPicPr>
                    <pic:cNvPr id="0" name="chart_radar_INS_013.png"/>
                    <pic:cNvPicPr/>
                  </pic:nvPicPr>
                  <pic:blipFill>
                    <a:blip r:embed="rId26"/>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Nationalism vs Consumer Pragmatism</w:t>
      </w:r>
    </w:p>
    <w:p>
      <w:pPr>
        <w:pStyle w:val="Heading3"/>
        <w:jc w:val="left"/>
      </w:pPr>
      <w:r>
        <w:rPr>
          <w:rFonts w:ascii="Lato" w:hAnsi="Lato"/>
          <w:b/>
          <w:color w:val="1E3A5F"/>
          <w:sz w:val="26"/>
        </w:rPr>
        <w:t>What the Data Shows</w:t>
      </w:r>
    </w:p>
    <w:p>
      <w:pPr>
        <w:spacing w:after="120" w:before="0"/>
      </w:pPr>
      <w:r>
        <w:rPr>
          <w:rFonts w:ascii="Lato" w:hAnsi="Lato"/>
          <w:b w:val="0"/>
          <w:i w:val="0"/>
          <w:sz w:val="22"/>
        </w:rPr>
        <w:t>The nationalism vs pragmatism tension spans 932 items (16.0%) with the highest positive NSS outside self-reliance (+0.338). Pragmatists argue 'no one cares unless the product is good' and accuse brands of 'selling nationalism.' Nationalists counter that supporting Indian products is an economic duty. A middle ground emerges: consumers willing to give Indian products a chance but unwilling to accept inferior quality in the name of patriotism.</w:t>
      </w:r>
    </w:p>
    <w:p>
      <w:pPr>
        <w:pStyle w:val="Heading3"/>
        <w:jc w:val="left"/>
      </w:pPr>
      <w:r>
        <w:rPr>
          <w:rFonts w:ascii="Lato" w:hAnsi="Lato"/>
          <w:b/>
          <w:color w:val="1E3A5F"/>
          <w:sz w:val="26"/>
        </w:rPr>
        <w:t>What it Means</w:t>
      </w:r>
    </w:p>
    <w:p>
      <w:pPr>
        <w:spacing w:after="120" w:before="0"/>
      </w:pPr>
      <w:r>
        <w:rPr>
          <w:rFonts w:ascii="Lato" w:hAnsi="Lato"/>
          <w:b w:val="0"/>
          <w:i w:val="0"/>
          <w:sz w:val="22"/>
        </w:rPr>
        <w:t>Indian consumers have evolved past blind patriotic purchasing. The dominant sentiment is conditional patriotism: 'I want to buy Indian, but don't insult my intelligence with an inferior product wrapped in a flag.' This is actually a positive development for Indian manufacturing because it creates market pressure for quality improvement rather than relying on sentiment-based protection. The harshest critics of Indian product quality are often the most patriotic - they are angry precisely because they want Indian products to be world-class.</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nationalism-pragmatism tension reveals the maturation point of Indian consumer consciousness. The market is transitioning from first-generation 'buy Indian at any cost' patriotism to second-generation 'buy Indian when quality matches' pragmatism. Brands caught in the first generation will lose market share to those that address the second.</w:t>
      </w:r>
    </w:p>
    <w:p>
      <w:pPr>
        <w:pStyle w:val="Heading3"/>
        <w:jc w:val="left"/>
      </w:pPr>
      <w:r>
        <w:rPr>
          <w:rFonts w:ascii="Lato" w:hAnsi="Lato"/>
          <w:b/>
          <w:color w:val="1E3A5F"/>
          <w:sz w:val="26"/>
        </w:rPr>
        <w:t>Recommendation</w:t>
      </w:r>
    </w:p>
    <w:p>
      <w:pPr>
        <w:spacing w:after="120" w:before="0"/>
      </w:pPr>
      <w:r>
        <w:rPr>
          <w:rFonts w:ascii="Lato" w:hAnsi="Lato"/>
          <w:b w:val="0"/>
          <w:i w:val="0"/>
          <w:sz w:val="22"/>
        </w:rPr>
        <w:t>Position Indian products on quality-first, patriotism-second messaging. Lead with product performance, design, and value - then add the Indian origin as an emotional bonus, not the primary selling point. Target the 'conditional patriot' segment with comparison content that demonstrates quality parity with imports.</w:t>
      </w:r>
    </w:p>
    <w:p>
      <w:pPr>
        <w:pStyle w:val="Heading3"/>
        <w:jc w:val="left"/>
      </w:pPr>
      <w:r>
        <w:rPr>
          <w:rFonts w:ascii="Lato" w:hAnsi="Lato"/>
          <w:b/>
          <w:color w:val="1E3A5F"/>
          <w:sz w:val="26"/>
        </w:rPr>
        <w:t>Further Validation</w:t>
      </w:r>
    </w:p>
    <w:p>
      <w:pPr>
        <w:spacing w:after="120" w:before="0"/>
      </w:pPr>
      <w:r>
        <w:rPr>
          <w:rFonts w:ascii="Lato" w:hAnsi="Lato"/>
          <w:b w:val="0"/>
          <w:i w:val="0"/>
          <w:sz w:val="22"/>
        </w:rPr>
        <w:t>Quantify the 'conditional patriot' segment size through purchase intent surveys with quality-controlled stimuli. Test whether quality-first vs patriotism-first messaging drives different conversion rates.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"Microsoft / Google or Zoho? Microsoft / Google or Zoho? Often heard reviews that zoho feels subpar in terms of UI/UX - not sure about details on features offered however have seen fee companies moving out of Zoho recently for this. At the same time, I see some companies moving to Zoho for price, ..."</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"No Unless Swadeshi brands are sponsored by Govt, I won’t fall for this Rewarding sub standard Indian businessmen for sake of patriotism is against my principles  If I am being charged, I pay only &amp;amp; only for quality or if money directly goes to GOI (people of India)"</w:t>
      </w:r>
      <w:r>
        <w:rPr>
          <w:rFonts w:ascii="Lato" w:hAnsi="Lato"/>
          <w:b w:val="0"/>
          <w:i w:val="0"/>
          <w:color w:val="6B7280"/>
          <w:sz w:val="18"/>
        </w:rPr>
        <w:t xml:space="preserve">  - twitter</w:t>
      </w:r>
    </w:p>
    <w:p>
      <w:pPr>
        <w:spacing w:before="80" w:after="80"/>
        <w:ind w:left="680" w:right="680"/>
      </w:pPr>
      <w:r>
        <w:rPr>
          <w:rFonts w:ascii="Lato" w:hAnsi="Lato"/>
          <w:b w:val="0"/>
          <w:i/>
          <w:color w:val="374151"/>
          <w:sz w:val="20"/>
        </w:rPr>
        <w:t>"#army #band #music #independenceday #sarejahanseaccha #instrumentalmusic #indianarmysong #patriotic"</w:t>
      </w:r>
      <w:r>
        <w:rPr>
          <w:rFonts w:ascii="Lato" w:hAnsi="Lato"/>
          <w:b w:val="0"/>
          <w:i w:val="0"/>
          <w:color w:val="6B7280"/>
          <w:sz w:val="18"/>
        </w:rPr>
        <w:t xml:space="preserve">  - youtube</w:t>
      </w:r>
    </w:p>
    <w:p>
      <w:pPr>
        <w:spacing w:before="80" w:after="80"/>
        <w:pBdr>
          <w:bottom w:val="single" w:sz="4" w:space="1" w:color="6B7280"/>
        </w:pBdr>
      </w:pPr>
    </w:p>
    <w:p>
      <w:pPr>
        <w:pStyle w:val="Heading2"/>
        <w:jc w:val="left"/>
      </w:pPr>
      <w:r>
        <w:rPr>
          <w:rFonts w:ascii="Lato" w:hAnsi="Lato"/>
          <w:b/>
          <w:color w:val="1E3A5F"/>
          <w:sz w:val="32"/>
        </w:rPr>
        <w:t>13. Assembly vs True Manufacturing</w:t>
      </w:r>
    </w:p>
    <w:p>
      <w:pPr>
        <w:spacing w:after="160"/>
      </w:pPr>
      <w:r>
        <w:rPr>
          <w:rFonts w:ascii="Lato" w:hAnsi="Lato"/>
          <w:b w:val="0"/>
          <w:i w:val="0"/>
          <w:color w:val="6B7280"/>
          <w:sz w:val="18"/>
        </w:rPr>
        <w:t>n=371</w:t>
      </w:r>
      <w:r>
        <w:rPr>
          <w:rFonts w:ascii="Lato" w:hAnsi="Lato"/>
          <w:b w:val="0"/>
          <w:i w:val="0"/>
          <w:color w:val="374151"/>
          <w:sz w:val="18"/>
        </w:rPr>
        <w:t xml:space="preserve">  |  Confidence: </w:t>
      </w:r>
      <w:r>
        <w:rPr>
          <w:rFonts w:ascii="Lato" w:hAnsi="Lato"/>
          <w:b/>
          <w:i w:val="0"/>
          <w:color w:val="D97706"/>
          <w:sz w:val="18"/>
        </w:rPr>
        <w:t>63% (Medium)</w:t>
      </w:r>
      <w:r>
        <w:rPr>
          <w:rFonts w:ascii="Lato" w:hAnsi="Lato"/>
          <w:b w:val="0"/>
          <w:i w:val="0"/>
          <w:color w:val="374151"/>
          <w:sz w:val="18"/>
        </w:rPr>
        <w:t xml:space="preserve">  |  Signal: </w:t>
      </w:r>
      <w:r>
        <w:rPr>
          <w:rFonts w:ascii="Lato" w:hAnsi="Lato"/>
          <w:b/>
          <w:i w:val="0"/>
          <w:color w:val="374151"/>
          <w:sz w:val="18"/>
        </w:rPr>
        <w:t>60% (Moderate)</w:t>
      </w:r>
      <w:r>
        <w:rPr>
          <w:rFonts w:ascii="Lato" w:hAnsi="Lato"/>
          <w:b w:val="0"/>
          <w:i w:val="0"/>
          <w:color w:val="6B7280"/>
          <w:sz w:val="18"/>
        </w:rPr>
        <w:t xml:space="preserve">  |  6.4% of Dataset</w:t>
      </w:r>
      <w:r>
        <w:rPr>
          <w:rFonts w:ascii="Lato" w:hAnsi="Lato"/>
          <w:b w:val="0"/>
          <w:i w:val="0"/>
          <w:color w:val="6B7280"/>
          <w:sz w:val="18"/>
        </w:rPr>
        <w:t xml:space="preserve">  |  NSS: </w:t>
      </w:r>
      <w:r>
        <w:rPr>
          <w:rFonts w:ascii="Lato" w:hAnsi="Lato"/>
          <w:b/>
          <w:i w:val="0"/>
          <w:color w:val="059669"/>
          <w:sz w:val="18"/>
        </w:rPr>
        <w:t>+20%</w:t>
      </w:r>
    </w:p>
    <w:p>
      <w:pPr>
        <w:jc w:val="center"/>
      </w:pPr>
      <w:r>
        <w:drawing>
          <wp:inline xmlns:a="http://schemas.openxmlformats.org/drawingml/2006/main" xmlns:pic="http://schemas.openxmlformats.org/drawingml/2006/picture">
            <wp:extent cx="3474720" cy="3547185"/>
            <wp:docPr id="19" name="Picture 19"/>
            <wp:cNvGraphicFramePr>
              <a:graphicFrameLocks noChangeAspect="1"/>
            </wp:cNvGraphicFramePr>
            <a:graphic>
              <a:graphicData uri="http://schemas.openxmlformats.org/drawingml/2006/picture">
                <pic:pic>
                  <pic:nvPicPr>
                    <pic:cNvPr id="0" name="chart_radar_INS_002.png"/>
                    <pic:cNvPicPr/>
                  </pic:nvPicPr>
                  <pic:blipFill>
                    <a:blip r:embed="rId27"/>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Assembly vs True Manufacturing</w:t>
      </w:r>
    </w:p>
    <w:p>
      <w:pPr>
        <w:pStyle w:val="Heading3"/>
        <w:jc w:val="left"/>
      </w:pPr>
      <w:r>
        <w:rPr>
          <w:rFonts w:ascii="Lato" w:hAnsi="Lato"/>
          <w:b/>
          <w:color w:val="1E3A5F"/>
          <w:sz w:val="26"/>
        </w:rPr>
        <w:t>What the Data Shows</w:t>
      </w:r>
    </w:p>
    <w:p>
      <w:pPr>
        <w:spacing w:after="120" w:before="0"/>
      </w:pPr>
      <w:r>
        <w:rPr>
          <w:rFonts w:ascii="Lato" w:hAnsi="Lato"/>
          <w:b w:val="0"/>
          <w:i w:val="0"/>
          <w:sz w:val="22"/>
        </w:rPr>
        <w:t>The 'Assembly vs True Manufacturing' debate spans 532 items (9.2%). A recurring critique is that 'Made in India' means Chinese components assembled locally - especially for iPhones and electronics. The PM's call to buy Swadeshi is contrasted with the reality that natural gas for plastic pellets, rare earth magnets, and electronic components still come from China. Counter-narrative: assembly is the first step - Foxconn started this way and India's value-addition is increasing year-over-year.</w:t>
      </w:r>
    </w:p>
    <w:p>
      <w:pPr>
        <w:pStyle w:val="Heading3"/>
        <w:jc w:val="left"/>
      </w:pPr>
      <w:r>
        <w:rPr>
          <w:rFonts w:ascii="Lato" w:hAnsi="Lato"/>
          <w:b/>
          <w:color w:val="1E3A5F"/>
          <w:sz w:val="26"/>
        </w:rPr>
        <w:t>What it Means</w:t>
      </w:r>
    </w:p>
    <w:p>
      <w:pPr>
        <w:spacing w:after="120" w:before="0"/>
      </w:pPr>
      <w:r>
        <w:rPr>
          <w:rFonts w:ascii="Lato" w:hAnsi="Lato"/>
          <w:b w:val="0"/>
          <w:i w:val="0"/>
          <w:sz w:val="22"/>
        </w:rPr>
        <w:t>The assembly-vs-manufacturing debate reveals a fundamental consumer trust deficit around the 'Made in India' label. Consumers have become sophisticated enough to question what 'Made in India' actually means - is it genuine value addition or just the last step of packaging? This scepticism is not anti-national but pro-quality: consumers want to be proud of Indian products but refuse to be misled by labelling that overstates domestic contribution. The iPhone example is cited repeatedly because it crystallises the paradox.</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'Made in India' label has a credibility problem. As consumers become more informed about supply chains, a simple country-of-origin label is insufficient. Brands that can transparently communicate their actual value-addition (what percentage is truly made in India, which components are imported, and what the roadmap to full localisation looks like) will differentiate themselves from those perceived as merely relabelling.</w:t>
      </w:r>
    </w:p>
    <w:p>
      <w:pPr>
        <w:pStyle w:val="Heading3"/>
        <w:jc w:val="left"/>
      </w:pPr>
      <w:r>
        <w:rPr>
          <w:rFonts w:ascii="Lato" w:hAnsi="Lato"/>
          <w:b/>
          <w:color w:val="1E3A5F"/>
          <w:sz w:val="26"/>
        </w:rPr>
        <w:t>Recommendation</w:t>
      </w:r>
    </w:p>
    <w:p>
      <w:pPr>
        <w:spacing w:after="120" w:before="0"/>
      </w:pPr>
      <w:r>
        <w:rPr>
          <w:rFonts w:ascii="Lato" w:hAnsi="Lato"/>
          <w:b w:val="0"/>
          <w:i w:val="0"/>
          <w:sz w:val="22"/>
        </w:rPr>
        <w:t>Introduce a tiered labelling system (e.g., 'Assembled in India', 'Manufactured in India', 'Designed &amp; Made in India') that gives consumers honest information. For policy: track and publish component-level localisation percentages by sector. For brands: publish annual 'localisation reports' showing increasing Indian content.</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consumer research on willingness-to-pay premium for products with higher Indian content percentage. Test different labelling frameworks for consumer comprehension and trust.</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"A Make in India success story: Apple now has 40 Indian suppliers spread across 8 states as India races ahead in mobile components manufacturing (@SurabhiSingh507 writes) https://t.co/rOIjUIFmpI https://t.co/yhp062MASl"</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14. Quality Perception &amp; Trust Deficit</w:t>
      </w:r>
    </w:p>
    <w:p>
      <w:pPr>
        <w:spacing w:after="160"/>
      </w:pPr>
      <w:r>
        <w:rPr>
          <w:rFonts w:ascii="Lato" w:hAnsi="Lato"/>
          <w:b w:val="0"/>
          <w:i w:val="0"/>
          <w:color w:val="6B7280"/>
          <w:sz w:val="18"/>
        </w:rPr>
        <w:t>n=387</w:t>
      </w:r>
      <w:r>
        <w:rPr>
          <w:rFonts w:ascii="Lato" w:hAnsi="Lato"/>
          <w:b w:val="0"/>
          <w:i w:val="0"/>
          <w:color w:val="374151"/>
          <w:sz w:val="18"/>
        </w:rPr>
        <w:t xml:space="preserve">  |  Confidence: </w:t>
      </w:r>
      <w:r>
        <w:rPr>
          <w:rFonts w:ascii="Lato" w:hAnsi="Lato"/>
          <w:b/>
          <w:i w:val="0"/>
          <w:color w:val="D97706"/>
          <w:sz w:val="18"/>
        </w:rPr>
        <w:t>63% (Medium)</w:t>
      </w:r>
      <w:r>
        <w:rPr>
          <w:rFonts w:ascii="Lato" w:hAnsi="Lato"/>
          <w:b w:val="0"/>
          <w:i w:val="0"/>
          <w:color w:val="374151"/>
          <w:sz w:val="18"/>
        </w:rPr>
        <w:t xml:space="preserve">  |  Signal: </w:t>
      </w:r>
      <w:r>
        <w:rPr>
          <w:rFonts w:ascii="Lato" w:hAnsi="Lato"/>
          <w:b/>
          <w:i w:val="0"/>
          <w:color w:val="374151"/>
          <w:sz w:val="18"/>
        </w:rPr>
        <w:t>60% (Moderate)</w:t>
      </w:r>
      <w:r>
        <w:rPr>
          <w:rFonts w:ascii="Lato" w:hAnsi="Lato"/>
          <w:b w:val="0"/>
          <w:i w:val="0"/>
          <w:color w:val="6B7280"/>
          <w:sz w:val="18"/>
        </w:rPr>
        <w:t xml:space="preserve">  |  6.7% of Dataset</w:t>
      </w:r>
      <w:r>
        <w:rPr>
          <w:rFonts w:ascii="Lato" w:hAnsi="Lato"/>
          <w:b w:val="0"/>
          <w:i w:val="0"/>
          <w:color w:val="6B7280"/>
          <w:sz w:val="18"/>
        </w:rPr>
        <w:t xml:space="preserve">  |  NSS: </w:t>
      </w:r>
      <w:r>
        <w:rPr>
          <w:rFonts w:ascii="Lato" w:hAnsi="Lato"/>
          <w:b/>
          <w:i w:val="0"/>
          <w:color w:val="059669"/>
          <w:sz w:val="18"/>
        </w:rPr>
        <w:t>+20%</w:t>
      </w:r>
    </w:p>
    <w:p>
      <w:pPr>
        <w:jc w:val="center"/>
      </w:pPr>
      <w:r>
        <w:drawing>
          <wp:inline xmlns:a="http://schemas.openxmlformats.org/drawingml/2006/main" xmlns:pic="http://schemas.openxmlformats.org/drawingml/2006/picture">
            <wp:extent cx="3474720" cy="3547185"/>
            <wp:docPr id="20" name="Picture 20"/>
            <wp:cNvGraphicFramePr>
              <a:graphicFrameLocks noChangeAspect="1"/>
            </wp:cNvGraphicFramePr>
            <a:graphic>
              <a:graphicData uri="http://schemas.openxmlformats.org/drawingml/2006/picture">
                <pic:pic>
                  <pic:nvPicPr>
                    <pic:cNvPr id="0" name="chart_radar_INS_007.png"/>
                    <pic:cNvPicPr/>
                  </pic:nvPicPr>
                  <pic:blipFill>
                    <a:blip r:embed="rId28"/>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Quality Perception &amp; Trust Deficit</w:t>
      </w:r>
    </w:p>
    <w:p>
      <w:pPr>
        <w:pStyle w:val="Heading3"/>
        <w:jc w:val="left"/>
      </w:pPr>
      <w:r>
        <w:rPr>
          <w:rFonts w:ascii="Lato" w:hAnsi="Lato"/>
          <w:b/>
          <w:color w:val="1E3A5F"/>
          <w:sz w:val="26"/>
        </w:rPr>
        <w:t>What the Data Shows</w:t>
      </w:r>
    </w:p>
    <w:p>
      <w:pPr>
        <w:spacing w:after="120" w:before="0"/>
      </w:pPr>
      <w:r>
        <w:rPr>
          <w:rFonts w:ascii="Lato" w:hAnsi="Lato"/>
          <w:b w:val="0"/>
          <w:i w:val="0"/>
          <w:sz w:val="22"/>
        </w:rPr>
        <w:t>Quality perception and trust deficit spans 859 items (14.8%) with NSS +0.204. Recurring complaints: Indian versions of global brands (Levi's, Coca-Cola, Vaseline) are perceived as inferior to their US/EU counterparts. Crash test failures in Indian cars are cited. Export-quality products are seen as better than domestic-market products. A counter-thread exists: specific Indian brands (Amul, Tata, some pharma) are trusted for world-class quality.</w:t>
      </w:r>
    </w:p>
    <w:p>
      <w:pPr>
        <w:pStyle w:val="Heading3"/>
        <w:jc w:val="left"/>
      </w:pPr>
      <w:r>
        <w:rPr>
          <w:rFonts w:ascii="Lato" w:hAnsi="Lato"/>
          <w:b/>
          <w:color w:val="1E3A5F"/>
          <w:sz w:val="26"/>
        </w:rPr>
        <w:t>What it Means</w:t>
      </w:r>
    </w:p>
    <w:p>
      <w:pPr>
        <w:spacing w:after="120" w:before="0"/>
      </w:pPr>
      <w:r>
        <w:rPr>
          <w:rFonts w:ascii="Lato" w:hAnsi="Lato"/>
          <w:b w:val="0"/>
          <w:i w:val="0"/>
          <w:sz w:val="22"/>
        </w:rPr>
        <w:t>Indian consumers harbour a specific form of quality scepticism that is not blanket anti-Indian but product-category specific. They trust Indian pharma, dairy (Amul), and heavy industry (Tata Steel) but distrust Indian consumer electronics, fast fashion, and food products sold in domestic markets. The 'dual quality standard' perception - that companies export their best products while selling inferior versions domestically - is corrosive because it suggests Indian consumers are treated as second-class customers by both MNCs and Indian companies alike.</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quality perception gap is the single biggest barrier to sustained Make in India success at the consumer level. Policy achievements (factory counts, export volumes) become irrelevant if the average Indian consumer's daily experience of 'Made in India' products is one of disappointment. Closing this gap requires not just manufacturing upgrades but regulatory enforcement of quality standards for domestic-market products.</w:t>
      </w:r>
    </w:p>
    <w:p>
      <w:pPr>
        <w:pStyle w:val="Heading3"/>
        <w:jc w:val="left"/>
      </w:pPr>
      <w:r>
        <w:rPr>
          <w:rFonts w:ascii="Lato" w:hAnsi="Lato"/>
          <w:b/>
          <w:color w:val="1E3A5F"/>
          <w:sz w:val="26"/>
        </w:rPr>
        <w:t>Recommendation</w:t>
      </w:r>
    </w:p>
    <w:p>
      <w:pPr>
        <w:spacing w:after="120" w:before="0"/>
      </w:pPr>
      <w:r>
        <w:rPr>
          <w:rFonts w:ascii="Lato" w:hAnsi="Lato"/>
          <w:b w:val="0"/>
          <w:i w:val="0"/>
          <w:sz w:val="22"/>
        </w:rPr>
        <w:t>Establish and enforce a 'Same Quality India' standard that mandates equivalent quality for products sold domestically vs. exported. Create consumer-facing quality certifications beyond BIS that are easy to understand. For brands: stop maintaining dual quality tiers and communicate quality investments in domestic products explicitly.</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blind product testing of Indian vs. imported versions of identical brands across categories. Measure whether quality perception changes after transparent quality communication.</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"It's great to see growth in the auto industry, let's not forget the reality on the ground. The 'Make in India' initiative sounds promising, but what about the quality of life for the workers? In places like Bihar, physical education teachers are struggling to survive on a mere 8000 INR monthly sa..."</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15. Atmanirbhar Bharat &amp; Self-Reliance Vision</w:t>
      </w:r>
    </w:p>
    <w:p>
      <w:pPr>
        <w:spacing w:after="160"/>
      </w:pPr>
      <w:r>
        <w:rPr>
          <w:rFonts w:ascii="Lato" w:hAnsi="Lato"/>
          <w:b w:val="0"/>
          <w:i w:val="0"/>
          <w:color w:val="6B7280"/>
          <w:sz w:val="18"/>
        </w:rPr>
        <w:t>n=485</w:t>
      </w:r>
      <w:r>
        <w:rPr>
          <w:rFonts w:ascii="Lato" w:hAnsi="Lato"/>
          <w:b w:val="0"/>
          <w:i w:val="0"/>
          <w:color w:val="374151"/>
          <w:sz w:val="18"/>
        </w:rPr>
        <w:t xml:space="preserve">  |  Confidence: </w:t>
      </w:r>
      <w:r>
        <w:rPr>
          <w:rFonts w:ascii="Lato" w:hAnsi="Lato"/>
          <w:b/>
          <w:i w:val="0"/>
          <w:color w:val="D97706"/>
          <w:sz w:val="18"/>
        </w:rPr>
        <w:t>61% (Medium)</w:t>
      </w:r>
      <w:r>
        <w:rPr>
          <w:rFonts w:ascii="Lato" w:hAnsi="Lato"/>
          <w:b w:val="0"/>
          <w:i w:val="0"/>
          <w:color w:val="374151"/>
          <w:sz w:val="18"/>
        </w:rPr>
        <w:t xml:space="preserve">  |  Signal: </w:t>
      </w:r>
      <w:r>
        <w:rPr>
          <w:rFonts w:ascii="Lato" w:hAnsi="Lato"/>
          <w:b/>
          <w:i w:val="0"/>
          <w:color w:val="374151"/>
          <w:sz w:val="18"/>
        </w:rPr>
        <w:t>45% (Weak)</w:t>
      </w:r>
      <w:r>
        <w:rPr>
          <w:rFonts w:ascii="Lato" w:hAnsi="Lato"/>
          <w:b w:val="0"/>
          <w:i w:val="0"/>
          <w:color w:val="6B7280"/>
          <w:sz w:val="18"/>
        </w:rPr>
        <w:t xml:space="preserve">  |  8.3% of Dataset</w:t>
      </w:r>
      <w:r>
        <w:rPr>
          <w:rFonts w:ascii="Lato" w:hAnsi="Lato"/>
          <w:b w:val="0"/>
          <w:i w:val="0"/>
          <w:color w:val="6B7280"/>
          <w:sz w:val="18"/>
        </w:rPr>
        <w:t xml:space="preserve">  |  NSS: </w:t>
      </w:r>
      <w:r>
        <w:rPr>
          <w:rFonts w:ascii="Lato" w:hAnsi="Lato"/>
          <w:b/>
          <w:i w:val="0"/>
          <w:color w:val="059669"/>
          <w:sz w:val="18"/>
        </w:rPr>
        <w:t>+41%</w:t>
      </w:r>
    </w:p>
    <w:p>
      <w:pPr>
        <w:jc w:val="center"/>
      </w:pPr>
      <w:r>
        <w:drawing>
          <wp:inline xmlns:a="http://schemas.openxmlformats.org/drawingml/2006/main" xmlns:pic="http://schemas.openxmlformats.org/drawingml/2006/picture">
            <wp:extent cx="3474720" cy="3547185"/>
            <wp:docPr id="21" name="Picture 21"/>
            <wp:cNvGraphicFramePr>
              <a:graphicFrameLocks noChangeAspect="1"/>
            </wp:cNvGraphicFramePr>
            <a:graphic>
              <a:graphicData uri="http://schemas.openxmlformats.org/drawingml/2006/picture">
                <pic:pic>
                  <pic:nvPicPr>
                    <pic:cNvPr id="0" name="chart_radar_INS_015.png"/>
                    <pic:cNvPicPr/>
                  </pic:nvPicPr>
                  <pic:blipFill>
                    <a:blip r:embed="rId29"/>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Atmanirbhar Bharat &amp; Self-Reliance Vision</w:t>
      </w:r>
    </w:p>
    <w:p>
      <w:pPr>
        <w:pStyle w:val="Heading3"/>
        <w:jc w:val="left"/>
      </w:pPr>
      <w:r>
        <w:rPr>
          <w:rFonts w:ascii="Lato" w:hAnsi="Lato"/>
          <w:b/>
          <w:color w:val="1E3A5F"/>
          <w:sz w:val="26"/>
        </w:rPr>
        <w:t>What the Data Shows</w:t>
      </w:r>
    </w:p>
    <w:p>
      <w:pPr>
        <w:spacing w:after="120" w:before="0"/>
      </w:pPr>
      <w:r>
        <w:rPr>
          <w:rFonts w:ascii="Lato" w:hAnsi="Lato"/>
          <w:b w:val="0"/>
          <w:i w:val="0"/>
          <w:sz w:val="22"/>
        </w:rPr>
        <w:t>Atmanirbhar Bharat and self-reliance vision spans 770 items (13.2%) with the highest NSS in the dataset (+0.412). Only 25 negative mentions out of 485 - self-reliance is the most universally supported concept. Content ranges from PM Modi's vision statements to grassroots discussions about reducing import dependency. Operation Sindoor is cited as proof that self-reliance saves lives. India 2047 vision (developed nation by centenary) provides the aspirational horizon.</w:t>
      </w:r>
    </w:p>
    <w:p>
      <w:pPr>
        <w:pStyle w:val="Heading3"/>
        <w:jc w:val="left"/>
      </w:pPr>
      <w:r>
        <w:rPr>
          <w:rFonts w:ascii="Lato" w:hAnsi="Lato"/>
          <w:b/>
          <w:color w:val="1E3A5F"/>
          <w:sz w:val="26"/>
        </w:rPr>
        <w:t>What it Means</w:t>
      </w:r>
    </w:p>
    <w:p>
      <w:pPr>
        <w:spacing w:after="120" w:before="0"/>
      </w:pPr>
      <w:r>
        <w:rPr>
          <w:rFonts w:ascii="Lato" w:hAnsi="Lato"/>
          <w:b w:val="0"/>
          <w:i w:val="0"/>
          <w:sz w:val="22"/>
        </w:rPr>
        <w:t>Self-reliance (Atmanirbharta) has achieved something rare in India's polarised discourse: near-universal appeal across political lines. Unlike specific policy debates (PLI, tariffs, GST) which divide along party lines, the abstract concept of self-reliance unites because it connects to deep cultural values of independence, dignity, and sovereignty that predate current politics. However, this unity exists precisely because 'self-reliance' remains abstract - as soon as it is operationalised into specific policy choices, consensus fractures.</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Self-reliance is the strategic high ground for any Make in India communication because it transcends political polarisation. But it must be kept aspirational to maintain its unifying power - the moment it becomes specific policy, it becomes controversial. The challenge is bridging the gap between universal aspiration and specific action without losing the audience.</w:t>
      </w:r>
    </w:p>
    <w:p>
      <w:pPr>
        <w:pStyle w:val="Heading3"/>
        <w:jc w:val="left"/>
      </w:pPr>
      <w:r>
        <w:rPr>
          <w:rFonts w:ascii="Lato" w:hAnsi="Lato"/>
          <w:b/>
          <w:color w:val="1E3A5F"/>
          <w:sz w:val="26"/>
        </w:rPr>
        <w:t>Recommendation</w:t>
      </w:r>
    </w:p>
    <w:p>
      <w:pPr>
        <w:spacing w:after="120" w:before="0"/>
      </w:pPr>
      <w:r>
        <w:rPr>
          <w:rFonts w:ascii="Lato" w:hAnsi="Lato"/>
          <w:b w:val="0"/>
          <w:i w:val="0"/>
          <w:sz w:val="22"/>
        </w:rPr>
        <w:t>Use Atmanirbhar Bharat as the aspirational umbrella while letting sector-specific narratives carry the operational details. Create 'self-reliance milestones' that celebrate specific achievements without partisan framing. Connect self-reliance to personal empowerment (financial independence, skill development) not just national policy.</w:t>
      </w:r>
    </w:p>
    <w:p>
      <w:pPr>
        <w:pStyle w:val="Heading3"/>
        <w:jc w:val="left"/>
      </w:pPr>
      <w:r>
        <w:rPr>
          <w:rFonts w:ascii="Lato" w:hAnsi="Lato"/>
          <w:b/>
          <w:color w:val="1E3A5F"/>
          <w:sz w:val="26"/>
        </w:rPr>
        <w:t>Further Validation</w:t>
      </w:r>
    </w:p>
    <w:p>
      <w:pPr>
        <w:spacing w:after="120" w:before="0"/>
      </w:pPr>
      <w:r>
        <w:rPr>
          <w:rFonts w:ascii="Lato" w:hAnsi="Lato"/>
          <w:b w:val="0"/>
          <w:i w:val="0"/>
          <w:sz w:val="22"/>
        </w:rPr>
        <w:t>Survey consumer understanding of what 'self-reliance' means to them personally vs. nationally. Test whether self-reliance messaging drives different behaviour than patriotic messaging.</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"India just hit TURBO mode in tech manufacturing! 🇮🇳 From assembly lines to 𝐆𝐥𝐨𝐛𝐚𝐥 𝐏𝐨𝐰𝐞𝐫𝐡𝐨𝐮𝐬𝐞, India’s electronics revolution is here. With a 6x growth in electronics production and 28x surge in smartphone manufacturing, Atmanirbhar Bharat is leading the way! 📈 Building locally. Powering globally ..."</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16. Vocal for Local &amp; Swadeshi Movement</w:t>
      </w:r>
    </w:p>
    <w:p>
      <w:pPr>
        <w:spacing w:after="160"/>
      </w:pPr>
      <w:r>
        <w:rPr>
          <w:rFonts w:ascii="Lato" w:hAnsi="Lato"/>
          <w:b w:val="0"/>
          <w:i w:val="0"/>
          <w:color w:val="6B7280"/>
          <w:sz w:val="18"/>
        </w:rPr>
        <w:t>n=665</w:t>
      </w:r>
      <w:r>
        <w:rPr>
          <w:rFonts w:ascii="Lato" w:hAnsi="Lato"/>
          <w:b w:val="0"/>
          <w:i w:val="0"/>
          <w:color w:val="374151"/>
          <w:sz w:val="18"/>
        </w:rPr>
        <w:t xml:space="preserve">  |  Confidence: </w:t>
      </w:r>
      <w:r>
        <w:rPr>
          <w:rFonts w:ascii="Lato" w:hAnsi="Lato"/>
          <w:b/>
          <w:i w:val="0"/>
          <w:color w:val="D97706"/>
          <w:sz w:val="18"/>
        </w:rPr>
        <w:t>61% (Medium)</w:t>
      </w:r>
      <w:r>
        <w:rPr>
          <w:rFonts w:ascii="Lato" w:hAnsi="Lato"/>
          <w:b w:val="0"/>
          <w:i w:val="0"/>
          <w:color w:val="374151"/>
          <w:sz w:val="18"/>
        </w:rPr>
        <w:t xml:space="preserve">  |  Signal: </w:t>
      </w:r>
      <w:r>
        <w:rPr>
          <w:rFonts w:ascii="Lato" w:hAnsi="Lato"/>
          <w:b/>
          <w:i w:val="0"/>
          <w:color w:val="374151"/>
          <w:sz w:val="18"/>
        </w:rPr>
        <w:t>47% (Weak)</w:t>
      </w:r>
      <w:r>
        <w:rPr>
          <w:rFonts w:ascii="Lato" w:hAnsi="Lato"/>
          <w:b w:val="0"/>
          <w:i w:val="0"/>
          <w:color w:val="6B7280"/>
          <w:sz w:val="18"/>
        </w:rPr>
        <w:t xml:space="preserve">  |  11.4% of Dataset</w:t>
      </w:r>
      <w:r>
        <w:rPr>
          <w:rFonts w:ascii="Lato" w:hAnsi="Lato"/>
          <w:b w:val="0"/>
          <w:i w:val="0"/>
          <w:color w:val="6B7280"/>
          <w:sz w:val="18"/>
        </w:rPr>
        <w:t xml:space="preserve">  |  NSS: </w:t>
      </w:r>
      <w:r>
        <w:rPr>
          <w:rFonts w:ascii="Lato" w:hAnsi="Lato"/>
          <w:b/>
          <w:i w:val="0"/>
          <w:color w:val="059669"/>
          <w:sz w:val="18"/>
        </w:rPr>
        <w:t>+29%</w:t>
      </w:r>
    </w:p>
    <w:p>
      <w:pPr>
        <w:jc w:val="center"/>
      </w:pPr>
      <w:r>
        <w:drawing>
          <wp:inline xmlns:a="http://schemas.openxmlformats.org/drawingml/2006/main" xmlns:pic="http://schemas.openxmlformats.org/drawingml/2006/picture">
            <wp:extent cx="3474720" cy="3547185"/>
            <wp:docPr id="22" name="Picture 22"/>
            <wp:cNvGraphicFramePr>
              <a:graphicFrameLocks noChangeAspect="1"/>
            </wp:cNvGraphicFramePr>
            <a:graphic>
              <a:graphicData uri="http://schemas.openxmlformats.org/drawingml/2006/picture">
                <pic:pic>
                  <pic:nvPicPr>
                    <pic:cNvPr id="0" name="chart_radar_INS_004.png"/>
                    <pic:cNvPicPr/>
                  </pic:nvPicPr>
                  <pic:blipFill>
                    <a:blip r:embed="rId30"/>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Vocal for Local &amp; Swadeshi Movement</w:t>
      </w:r>
    </w:p>
    <w:p>
      <w:pPr>
        <w:pStyle w:val="Heading3"/>
        <w:jc w:val="left"/>
      </w:pPr>
      <w:r>
        <w:rPr>
          <w:rFonts w:ascii="Lato" w:hAnsi="Lato"/>
          <w:b/>
          <w:color w:val="1E3A5F"/>
          <w:sz w:val="26"/>
        </w:rPr>
        <w:t>What the Data Shows</w:t>
      </w:r>
    </w:p>
    <w:p>
      <w:pPr>
        <w:spacing w:after="120" w:before="0"/>
      </w:pPr>
      <w:r>
        <w:rPr>
          <w:rFonts w:ascii="Lato" w:hAnsi="Lato"/>
          <w:b w:val="0"/>
          <w:i w:val="0"/>
          <w:sz w:val="22"/>
        </w:rPr>
        <w:t>Vocal for Local and Swadeshi movement content spans 387 items (6.7%) with the highest positive skew in the dataset (NSS +0.287, only 17 negative mentions out of 665). Content peaks around Independence Day, Diwali, and Republic Day. PM Modi's calls from Red Fort feature prominently. A critical counter-thread exists: Modi wearing Bvlgari glasses, Movado watches, and using BMW while preaching Swadeshi.</w:t>
      </w:r>
    </w:p>
    <w:p>
      <w:pPr>
        <w:pStyle w:val="Heading3"/>
        <w:jc w:val="left"/>
      </w:pPr>
      <w:r>
        <w:rPr>
          <w:rFonts w:ascii="Lato" w:hAnsi="Lato"/>
          <w:b/>
          <w:color w:val="1E3A5F"/>
          <w:sz w:val="26"/>
        </w:rPr>
        <w:t>What it Means</w:t>
      </w:r>
    </w:p>
    <w:p>
      <w:pPr>
        <w:spacing w:after="120" w:before="0"/>
      </w:pPr>
      <w:r>
        <w:rPr>
          <w:rFonts w:ascii="Lato" w:hAnsi="Lato"/>
          <w:b w:val="0"/>
          <w:i w:val="0"/>
          <w:sz w:val="22"/>
        </w:rPr>
        <w:t>Vocal for Local has achieved cultural penetration but not behavioural lock-in. The movement's sentiment is overwhelmingly positive because it functions as a seasonal patriotic ritual rather than a daily purchasing habit - similar to how Republic Day parade viewership doesn't translate into year-round military engagement. The hypocrisy critique (leaders preaching Swadeshi while using foreign brands) is small in volume but devastating in impact because it gives consumers permission to be selectively patriotic: 'If the PM uses an iPhone, why can't I?'</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Vocal for Local's success as a sentiment generator masks its failure as a behaviour changer. Brands leveraging the movement gain festive-season spikes but not sustained preference shifts. The movement needs to evolve from 'buy Indian because duty' to 'buy Indian because better' - a transition that requires product quality, not just patriotic messaging.</w:t>
      </w:r>
    </w:p>
    <w:p>
      <w:pPr>
        <w:pStyle w:val="Heading3"/>
        <w:jc w:val="left"/>
      </w:pPr>
      <w:r>
        <w:rPr>
          <w:rFonts w:ascii="Lato" w:hAnsi="Lato"/>
          <w:b/>
          <w:color w:val="1E3A5F"/>
          <w:sz w:val="26"/>
        </w:rPr>
        <w:t>Recommendation</w:t>
      </w:r>
    </w:p>
    <w:p>
      <w:pPr>
        <w:spacing w:after="120" w:before="0"/>
      </w:pPr>
      <w:r>
        <w:rPr>
          <w:rFonts w:ascii="Lato" w:hAnsi="Lato"/>
          <w:b w:val="0"/>
          <w:i w:val="0"/>
          <w:sz w:val="22"/>
        </w:rPr>
        <w:t>Move beyond seasonal Vocal for Local campaigns to everyday 'Indian by Default' positioning. Create comparison content (Indian vs imported products) that demonstrates quality parity or superiority. Address the hypocrisy critique head-on by partnering with public figures who genuinely use Indian products in their daily lives, not just during campaigns.</w:t>
      </w:r>
    </w:p>
    <w:p>
      <w:pPr>
        <w:pStyle w:val="Heading3"/>
        <w:jc w:val="left"/>
      </w:pPr>
      <w:r>
        <w:rPr>
          <w:rFonts w:ascii="Lato" w:hAnsi="Lato"/>
          <w:b/>
          <w:color w:val="1E3A5F"/>
          <w:sz w:val="26"/>
        </w:rPr>
        <w:t>Further Validation</w:t>
      </w:r>
    </w:p>
    <w:p>
      <w:pPr>
        <w:spacing w:after="120" w:before="0"/>
      </w:pPr>
      <w:r>
        <w:rPr>
          <w:rFonts w:ascii="Lato" w:hAnsi="Lato"/>
          <w:b w:val="0"/>
          <w:i w:val="0"/>
          <w:sz w:val="22"/>
        </w:rPr>
        <w:t>Measure actual purchasing behaviour changes outside festive windows. Track whether Vocal for Local messaging converts to repeat purchase or one-time trial. Survey consumers on what would make them permanently switch to Indian products.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"Possible justifications: Security protocols often require specialized foreign items like armored BMWs, as Indian options may not meet standards yet. Brands like iPhone are assembled in India, supporting Make in India. Modi promotes local boosting, not total boycott, and uses Indian goods like kha..."</w:t>
      </w:r>
      <w:r>
        <w:rPr>
          <w:rFonts w:ascii="Lato" w:hAnsi="Lato"/>
          <w:b w:val="0"/>
          <w:i w:val="0"/>
          <w:color w:val="6B7280"/>
          <w:sz w:val="18"/>
        </w:rPr>
        <w:t xml:space="preserve">  - twitter</w:t>
      </w:r>
    </w:p>
    <w:p>
      <w:r>
        <w:br w:type="page"/>
      </w:r>
    </w:p>
    <w:p>
      <w:pPr>
        <w:pStyle w:val="Heading1"/>
        <w:jc w:val="left"/>
      </w:pPr>
      <w:r>
        <w:rPr>
          <w:rFonts w:ascii="Lato" w:hAnsi="Lato"/>
          <w:b/>
          <w:color w:val="1E3A5F"/>
          <w:sz w:val="44"/>
        </w:rPr>
        <w:t>Brand Health Score</w:t>
      </w:r>
    </w:p>
    <w:p>
      <w:pPr>
        <w:spacing w:after="160"/>
      </w:pPr>
      <w:r>
        <w:rPr>
          <w:rFonts w:ascii="Lato" w:hAnsi="Lato"/>
          <w:b/>
          <w:i w:val="0"/>
          <w:color w:val="1E3A5F"/>
          <w:sz w:val="26"/>
        </w:rPr>
        <w:t xml:space="preserve">Overall Brand Health Score: </w:t>
      </w:r>
      <w:r>
        <w:rPr>
          <w:rFonts w:ascii="Lato" w:hAnsi="Lato"/>
          <w:b/>
          <w:i w:val="0"/>
          <w:color w:val="D97706"/>
          <w:sz w:val="40"/>
        </w:rPr>
        <w:t>55/100</w:t>
      </w:r>
    </w:p>
    <w:p>
      <w:pPr>
        <w:spacing w:after="120" w:before="0"/>
      </w:pPr>
      <w:r>
        <w:rPr>
          <w:rFonts w:ascii="Lato" w:hAnsi="Lato"/>
          <w:b w:val="0"/>
          <w:i w:val="0"/>
          <w:sz w:val="22"/>
        </w:rPr>
        <w:t>Brand Health Score is a composite index built from five data-driven components. No subjective weighting is applied - all inputs are derived from the collected corpus.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spacing w:before="60" w:after="60"/>
            </w:pPr>
            <w:r/>
            <w:r>
              <w:rPr>
                <w:rFonts w:ascii="Lato" w:hAnsi="Lato"/>
                <w:b/>
                <w:i w:val="0"/>
                <w:color w:val="FFFFFF"/>
                <w:sz w:val="20"/>
              </w:rPr>
              <w:t>Component</w:t>
            </w:r>
          </w:p>
        </w:tc>
        <w:tc>
          <w:tcPr>
            <w:tcW w:type="dxa" w:w="3135"/>
            <w:shd w:val="clear" w:color="auto" w:fill="1E3A5F"/>
          </w:tcPr>
          <w:p>
            <w:pPr>
              <w:spacing w:before="60" w:after="60"/>
            </w:pPr>
            <w:r/>
            <w:r>
              <w:rPr>
                <w:rFonts w:ascii="Lato" w:hAnsi="Lato"/>
                <w:b/>
                <w:i w:val="0"/>
                <w:color w:val="FFFFFF"/>
                <w:sz w:val="20"/>
              </w:rPr>
              <w:t>Score</w:t>
            </w:r>
          </w:p>
        </w:tc>
        <w:tc>
          <w:tcPr>
            <w:tcW w:type="dxa" w:w="3135"/>
            <w:shd w:val="clear" w:color="auto" w:fill="1E3A5F"/>
          </w:tcPr>
          <w:p>
            <w:pPr>
              <w:spacing w:before="60" w:after="60"/>
            </w:pPr>
            <w:r/>
            <w:r>
              <w:rPr>
                <w:rFonts w:ascii="Lato" w:hAnsi="Lato"/>
                <w:b/>
                <w:i w:val="0"/>
                <w:color w:val="FFFFFF"/>
                <w:sz w:val="20"/>
              </w:rPr>
              <w:t>Methodology</w:t>
            </w:r>
          </w:p>
        </w:tc>
      </w:tr>
      <w:tr>
        <w:tc>
          <w:tcPr>
            <w:tcW w:type="dxa" w:w="3135"/>
          </w:tcPr>
          <w:p>
            <w:r>
              <w:t>Sentiment Component (30%)</w:t>
            </w:r>
          </w:p>
        </w:tc>
        <w:tc>
          <w:tcPr>
            <w:tcW w:type="dxa" w:w="3135"/>
          </w:tcPr>
          <w:p>
            <w:r>
              <w:rPr>
                <w:rFonts w:ascii="Lato" w:hAnsi="Lato"/>
                <w:b/>
                <w:i w:val="0"/>
                <w:color w:val="D97706"/>
                <w:sz w:val="22"/>
              </w:rPr>
              <w:t>58.0</w:t>
            </w:r>
          </w:p>
        </w:tc>
        <w:tc>
          <w:tcPr>
            <w:tcW w:type="dxa" w:w="3135"/>
          </w:tcPr>
          <w:p>
            <w:r>
              <w:t>Derived from NSS across all items. Reflects the ratio of positive to negative consumer language.</w:t>
            </w:r>
          </w:p>
        </w:tc>
      </w:tr>
      <w:tr>
        <w:tc>
          <w:tcPr>
            <w:tcW w:type="dxa" w:w="3135"/>
          </w:tcPr>
          <w:p>
            <w:r>
              <w:t>Engagement Component (25%)</w:t>
            </w:r>
          </w:p>
        </w:tc>
        <w:tc>
          <w:tcPr>
            <w:tcW w:type="dxa" w:w="3135"/>
          </w:tcPr>
          <w:p>
            <w:r>
              <w:rPr>
                <w:rFonts w:ascii="Lato" w:hAnsi="Lato"/>
                <w:b/>
                <w:i w:val="0"/>
                <w:color w:val="D97706"/>
                <w:sz w:val="22"/>
              </w:rPr>
              <w:t>50.0</w:t>
            </w:r>
          </w:p>
        </w:tc>
        <w:tc>
          <w:tcPr>
            <w:tcW w:type="dxa" w:w="3135"/>
          </w:tcPr>
          <w:p>
            <w:r>
              <w:t>Average engagement (upvotes, likes, comments) normalised to platform benchmarks.</w:t>
            </w:r>
          </w:p>
        </w:tc>
      </w:tr>
      <w:tr>
        <w:tc>
          <w:tcPr>
            <w:tcW w:type="dxa" w:w="3135"/>
          </w:tcPr>
          <w:p>
            <w:r>
              <w:t>Advocacy Component (20%)</w:t>
            </w:r>
          </w:p>
        </w:tc>
        <w:tc>
          <w:tcPr>
            <w:tcW w:type="dxa" w:w="3135"/>
          </w:tcPr>
          <w:p>
            <w:r>
              <w:rPr>
                <w:rFonts w:ascii="Lato" w:hAnsi="Lato"/>
                <w:b/>
                <w:i w:val="0"/>
                <w:color w:val="DC2626"/>
                <w:sz w:val="22"/>
              </w:rPr>
              <w:t>41.2</w:t>
            </w:r>
          </w:p>
        </w:tc>
        <w:tc>
          <w:tcPr>
            <w:tcW w:type="dxa" w:w="3135"/>
          </w:tcPr>
          <w:p>
            <w:r>
              <w:t>Proportion of items containing explicit recommendation or repurchase intent language.</w:t>
            </w:r>
          </w:p>
        </w:tc>
      </w:tr>
      <w:tr>
        <w:tc>
          <w:tcPr>
            <w:tcW w:type="dxa" w:w="3135"/>
          </w:tcPr>
          <w:p>
            <w:r>
              <w:t>Resilience Component (15%)</w:t>
            </w:r>
          </w:p>
        </w:tc>
        <w:tc>
          <w:tcPr>
            <w:tcW w:type="dxa" w:w="3135"/>
          </w:tcPr>
          <w:p>
            <w:r>
              <w:rPr>
                <w:rFonts w:ascii="Lato" w:hAnsi="Lato"/>
                <w:b/>
                <w:i w:val="0"/>
                <w:color w:val="059669"/>
                <w:sz w:val="22"/>
              </w:rPr>
              <w:t>86.4</w:t>
            </w:r>
          </w:p>
        </w:tc>
        <w:tc>
          <w:tcPr>
            <w:tcW w:type="dxa" w:w="3135"/>
          </w:tcPr>
          <w:p>
            <w:r>
              <w:t>Sentiment consistency across platforms and time periods.</w:t>
            </w:r>
          </w:p>
        </w:tc>
      </w:tr>
      <w:tr>
        <w:tc>
          <w:tcPr>
            <w:tcW w:type="dxa" w:w="3135"/>
          </w:tcPr>
          <w:p>
            <w:r>
              <w:t>Conversation Component (10%)</w:t>
            </w:r>
          </w:p>
        </w:tc>
        <w:tc>
          <w:tcPr>
            <w:tcW w:type="dxa" w:w="3135"/>
          </w:tcPr>
          <w:p>
            <w:r>
              <w:rPr>
                <w:rFonts w:ascii="Lato" w:hAnsi="Lato"/>
                <w:b/>
                <w:i w:val="0"/>
                <w:color w:val="DC2626"/>
                <w:sz w:val="22"/>
              </w:rPr>
              <w:t>37.6</w:t>
            </w:r>
          </w:p>
        </w:tc>
        <w:tc>
          <w:tcPr>
            <w:tcW w:type="dxa" w:w="3135"/>
          </w:tcPr>
          <w:p>
            <w:r>
              <w:t>Volume and depth of organic brand conversation (non-promotional threads).</w:t>
            </w:r>
          </w:p>
        </w:tc>
      </w:tr>
    </w:tbl>
    <w:p>
      <w:pPr>
        <w:spacing w:before="280" w:after="120"/>
      </w:pPr>
      <w:r>
        <w:rPr>
          <w:rFonts w:ascii="Lato" w:hAnsi="Lato"/>
          <w:b/>
          <w:i w:val="0"/>
          <w:color w:val="1E3A5F"/>
          <w:sz w:val="22"/>
        </w:rPr>
        <w:t xml:space="preserve">Note: </w:t>
      </w:r>
      <w:r>
        <w:rPr>
          <w:rFonts w:ascii="Lato" w:hAnsi="Lato"/>
          <w:b w:val="0"/>
          <w:i w:val="0"/>
          <w:color w:val="374151"/>
          <w:sz w:val="22"/>
        </w:rPr>
        <w:t>The Conversation Component (38/100) is the lowest-scoring factor. This reflects that most brand mentions occur in reaction to advertising, campaigns, and celebrity content rather than unprompted consumer-initiated discussion. Organic brand conversation is thin relative to engagement volume - a pattern consistent with a brand consumers transact with rather than one they actively champion.</w:t>
      </w:r>
    </w:p>
    <w:p>
      <w:r>
        <w:br w:type="page"/>
      </w:r>
    </w:p>
    <w:p>
      <w:pPr>
        <w:pStyle w:val="Heading1"/>
        <w:jc w:val="left"/>
      </w:pPr>
      <w:r>
        <w:rPr>
          <w:rFonts w:ascii="Lato" w:hAnsi="Lato"/>
          <w:b/>
          <w:color w:val="1E3A5F"/>
          <w:sz w:val="44"/>
        </w:rPr>
        <w:t>Methodology</w:t>
      </w:r>
    </w:p>
    <w:p>
      <w:pPr>
        <w:pStyle w:val="Heading2"/>
        <w:jc w:val="left"/>
      </w:pPr>
      <w:r>
        <w:rPr>
          <w:rFonts w:ascii="Lato" w:hAnsi="Lato"/>
          <w:b/>
          <w:color w:val="1E3A5F"/>
          <w:sz w:val="32"/>
        </w:rPr>
        <w:t>Pipeline Overview</w:t>
      </w:r>
    </w:p>
    <w:p>
      <w:pPr>
        <w:pStyle w:val="ListBullet"/>
        <w:spacing w:after="80"/>
      </w:pPr>
      <w:r>
        <w:rPr>
          <w:rFonts w:ascii="Lato" w:hAnsi="Lato"/>
          <w:b/>
          <w:i w:val="0"/>
          <w:color w:val="1E3A5F"/>
          <w:sz w:val="22"/>
        </w:rPr>
        <w:t xml:space="preserve">Stage 0 - Brief </w:t>
      </w:r>
      <w:r>
        <w:rPr>
          <w:rFonts w:ascii="Lato" w:hAnsi="Lato"/>
          <w:b w:val="0"/>
          <w:i w:val="0"/>
          <w:sz w:val="22"/>
        </w:rPr>
        <w:t>Structured research brief defines brand, competitors, geography, business objectives, and keyword seed list.</w:t>
      </w:r>
    </w:p>
    <w:p>
      <w:pPr>
        <w:pStyle w:val="ListBullet"/>
        <w:spacing w:after="80"/>
      </w:pPr>
      <w:r>
        <w:rPr>
          <w:rFonts w:ascii="Lato" w:hAnsi="Lato"/>
          <w:b/>
          <w:i w:val="0"/>
          <w:color w:val="1E3A5F"/>
          <w:sz w:val="22"/>
        </w:rPr>
        <w:t xml:space="preserve">Stage 1 - Collect </w:t>
      </w:r>
      <w:r>
        <w:rPr>
          <w:rFonts w:ascii="Lato" w:hAnsi="Lato"/>
          <w:b w:val="0"/>
          <w:i w:val="0"/>
          <w:sz w:val="22"/>
        </w:rPr>
        <w:t>Automated collection across Instagram, Reddit, Twitter, Youtube. Engagement-minimum filters applied at collection time.</w:t>
      </w:r>
    </w:p>
    <w:p>
      <w:pPr>
        <w:pStyle w:val="ListBullet"/>
        <w:spacing w:after="80"/>
      </w:pPr>
      <w:r>
        <w:rPr>
          <w:rFonts w:ascii="Lato" w:hAnsi="Lato"/>
          <w:b/>
          <w:i w:val="0"/>
          <w:color w:val="1E3A5F"/>
          <w:sz w:val="22"/>
        </w:rPr>
        <w:t xml:space="preserve">Stage 2 - Normalize </w:t>
      </w:r>
      <w:r>
        <w:rPr>
          <w:rFonts w:ascii="Lato" w:hAnsi="Lato"/>
          <w:b w:val="0"/>
          <w:i w:val="0"/>
          <w:sz w:val="22"/>
        </w:rPr>
        <w:t>Thread-level deduplication (comments capped per thread). Deterministic SHA-256 item IDs prevent re-collection of duplicates across runs.</w:t>
      </w:r>
    </w:p>
    <w:p>
      <w:pPr>
        <w:pStyle w:val="ListBullet"/>
        <w:spacing w:after="80"/>
      </w:pPr>
      <w:r>
        <w:rPr>
          <w:rFonts w:ascii="Lato" w:hAnsi="Lato"/>
          <w:b/>
          <w:i w:val="0"/>
          <w:color w:val="1E3A5F"/>
          <w:sz w:val="22"/>
        </w:rPr>
        <w:t xml:space="preserve">Stage 3 - Filter </w:t>
      </w:r>
      <w:r>
        <w:rPr>
          <w:rFonts w:ascii="Lato" w:hAnsi="Lato"/>
          <w:b w:val="0"/>
          <w:i w:val="0"/>
          <w:sz w:val="22"/>
        </w:rPr>
        <w:t>LLM relevance classification (claude-sonnet-4-20250514). Each item classified as relevant/irrelevant with a reason. Multilingual support enabled.</w:t>
      </w:r>
    </w:p>
    <w:p>
      <w:pPr>
        <w:pStyle w:val="ListBullet"/>
        <w:spacing w:after="80"/>
      </w:pPr>
      <w:r>
        <w:rPr>
          <w:rFonts w:ascii="Lato" w:hAnsi="Lato"/>
          <w:b/>
          <w:i w:val="0"/>
          <w:color w:val="1E3A5F"/>
          <w:sz w:val="22"/>
        </w:rPr>
        <w:t xml:space="preserve">Stage 4 - Analyze </w:t>
      </w:r>
      <w:r>
        <w:rPr>
          <w:rFonts w:ascii="Lato" w:hAnsi="Lato"/>
          <w:b w:val="0"/>
          <w:i w:val="0"/>
          <w:sz w:val="22"/>
        </w:rPr>
        <w:t>Sentiment (positive/negative/neutral/mixed) + Plutchik 8-emotion classification in a single LLM call. ABSA: per-aspect sentiment extracted. Two-pass theme extraction: (a) discovery on stratified sample to identify candidate themes; (b) full-corpus mapping of all items to themes in batches.</w:t>
      </w:r>
    </w:p>
    <w:p>
      <w:pPr>
        <w:pStyle w:val="ListBullet"/>
        <w:spacing w:after="80"/>
      </w:pPr>
      <w:r>
        <w:rPr>
          <w:rFonts w:ascii="Lato" w:hAnsi="Lato"/>
          <w:b/>
          <w:i w:val="0"/>
          <w:color w:val="1E3A5F"/>
          <w:sz w:val="22"/>
        </w:rPr>
        <w:t xml:space="preserve">Stage 5 - Synthesize </w:t>
      </w:r>
      <w:r>
        <w:rPr>
          <w:rFonts w:ascii="Lato" w:hAnsi="Lato"/>
          <w:b w:val="0"/>
          <w:i w:val="0"/>
          <w:sz w:val="22"/>
        </w:rPr>
        <w:t>One insight per theme, mandated by prompt. Insight structure: Observation - Insight - Implication - Recommendation - Further Validation.</w:t>
      </w:r>
    </w:p>
    <w:p>
      <w:pPr>
        <w:pStyle w:val="ListBullet"/>
        <w:spacing w:after="80"/>
      </w:pPr>
      <w:r>
        <w:rPr>
          <w:rFonts w:ascii="Lato" w:hAnsi="Lato"/>
          <w:b/>
          <w:i w:val="0"/>
          <w:color w:val="1E3A5F"/>
          <w:sz w:val="22"/>
        </w:rPr>
        <w:t xml:space="preserve">Stage 6 - Score </w:t>
      </w:r>
      <w:r>
        <w:rPr>
          <w:rFonts w:ascii="Lato" w:hAnsi="Lato"/>
          <w:b w:val="0"/>
          <w:i w:val="0"/>
          <w:sz w:val="22"/>
        </w:rPr>
        <w:t>Fully data-driven scoring. Confidence: 5 factors (sample size, source diversity, temporal consistency, internal agreement, data recency). Signal Strength: 4 factors (prevalence, engagement, sentiment intensity, conversation depth). Brand Health Score: 5 components.</w:t>
      </w:r>
    </w:p>
    <w:p>
      <w:pPr>
        <w:pStyle w:val="ListBullet"/>
        <w:spacing w:after="80"/>
      </w:pPr>
      <w:r>
        <w:rPr>
          <w:rFonts w:ascii="Lato" w:hAnsi="Lato"/>
          <w:b/>
          <w:i w:val="0"/>
          <w:color w:val="1E3A5F"/>
          <w:sz w:val="22"/>
        </w:rPr>
        <w:t xml:space="preserve">Stage 7 - Report </w:t>
      </w:r>
      <w:r>
        <w:rPr>
          <w:rFonts w:ascii="Lato" w:hAnsi="Lato"/>
          <w:b w:val="0"/>
          <w:i w:val="0"/>
          <w:sz w:val="22"/>
        </w:rPr>
        <w:t>Google Doc-compatible DOCX with inline charts, block-quoted verbatims, and full data tables.</w:t>
      </w:r>
    </w:p>
    <w:p>
      <w:pPr>
        <w:pStyle w:val="Heading2"/>
        <w:jc w:val="left"/>
      </w:pPr>
      <w:r>
        <w:rPr>
          <w:rFonts w:ascii="Lato" w:hAnsi="Lato"/>
          <w:b/>
          <w:color w:val="1E3A5F"/>
          <w:sz w:val="32"/>
        </w:rPr>
        <w:t>Scoring Formulas</w:t>
      </w:r>
    </w:p>
    <w:p>
      <w:pPr>
        <w:pStyle w:val="Heading3"/>
        <w:jc w:val="left"/>
      </w:pPr>
      <w:r>
        <w:rPr>
          <w:rFonts w:ascii="Lato" w:hAnsi="Lato"/>
          <w:b/>
          <w:color w:val="1E3A5F"/>
          <w:sz w:val="26"/>
        </w:rPr>
        <w:t>Confidence Score</w:t>
      </w:r>
    </w:p>
    <w:p>
      <w:pPr>
        <w:spacing w:after="120" w:before="0"/>
      </w:pPr>
      <w:r>
        <w:rPr>
          <w:rFonts w:ascii="Lato" w:hAnsi="Lato"/>
          <w:b w:val="0"/>
          <w:i w:val="0"/>
          <w:sz w:val="22"/>
        </w:rPr>
        <w:t>Confidence = (sample_size x 0.25) + (source_diversity x 0.25) + (temporal_consistency x 0.15) + (internal_agreement x 0.2) + (data_recency x 0.15)</w:t>
      </w:r>
    </w:p>
    <w:p>
      <w:pPr>
        <w:pStyle w:val="Heading3"/>
        <w:jc w:val="left"/>
      </w:pPr>
      <w:r>
        <w:rPr>
          <w:rFonts w:ascii="Lato" w:hAnsi="Lato"/>
          <w:b/>
          <w:color w:val="1E3A5F"/>
          <w:sz w:val="26"/>
        </w:rPr>
        <w:t>Signal Strength Score</w:t>
      </w:r>
    </w:p>
    <w:p>
      <w:pPr>
        <w:spacing w:after="120" w:before="0"/>
      </w:pPr>
      <w:r>
        <w:rPr>
          <w:rFonts w:ascii="Lato" w:hAnsi="Lato"/>
          <w:b w:val="0"/>
          <w:i w:val="0"/>
          <w:sz w:val="22"/>
        </w:rPr>
        <w:t>Signal = (prevalence x 0.35) + (engagement x 0.3) + (sentiment_intensity x 0.2) + (conversation_depth x 0.15)</w:t>
      </w:r>
    </w:p>
    <w:p>
      <w:pPr>
        <w:pStyle w:val="Heading3"/>
        <w:jc w:val="left"/>
      </w:pPr>
      <w:r>
        <w:rPr>
          <w:rFonts w:ascii="Lato" w:hAnsi="Lato"/>
          <w:b/>
          <w:color w:val="1E3A5F"/>
          <w:sz w:val="26"/>
        </w:rPr>
        <w:t>Net Sentiment Score (NSS)</w:t>
      </w:r>
    </w:p>
    <w:p>
      <w:pPr>
        <w:spacing w:after="120" w:before="0"/>
      </w:pPr>
      <w:r>
        <w:rPr>
          <w:rFonts w:ascii="Lato" w:hAnsi="Lato"/>
          <w:b w:val="0"/>
          <w:i w:val="0"/>
          <w:sz w:val="22"/>
        </w:rPr>
        <w:t>NSS = (positive_count - negative_count) / total_count. Range -1.0 to +1.0. Industry standard: Brandwatch, Sprinklr, YouGov.</w:t>
      </w:r>
    </w:p>
    <w:p>
      <w:pPr>
        <w:pStyle w:val="Heading2"/>
        <w:jc w:val="left"/>
      </w:pPr>
      <w:r>
        <w:rPr>
          <w:rFonts w:ascii="Lato" w:hAnsi="Lato"/>
          <w:b/>
          <w:color w:val="1E3A5F"/>
          <w:sz w:val="32"/>
        </w:rPr>
        <w:t>Quality Gates</w:t>
      </w:r>
    </w:p>
    <w:p>
      <w:pPr>
        <w:pStyle w:val="ListBullet"/>
        <w:spacing w:after="80"/>
      </w:pPr>
      <w:r>
        <w:rPr>
          <w:rFonts w:ascii="Lato" w:hAnsi="Lato"/>
          <w:b w:val="0"/>
          <w:i w:val="0"/>
          <w:sz w:val="22"/>
        </w:rPr>
        <w:t>Grounded (≥3 sources cited)</w:t>
      </w:r>
    </w:p>
    <w:p>
      <w:pPr>
        <w:pStyle w:val="ListBullet"/>
        <w:spacing w:after="80"/>
      </w:pPr>
      <w:r>
        <w:rPr>
          <w:rFonts w:ascii="Lato" w:hAnsi="Lato"/>
          <w:b w:val="0"/>
          <w:i w:val="0"/>
          <w:sz w:val="22"/>
        </w:rPr>
        <w:t>Non-obvious (not derivable from common knowledge)</w:t>
      </w:r>
    </w:p>
    <w:p>
      <w:pPr>
        <w:pStyle w:val="ListBullet"/>
        <w:spacing w:after="80"/>
      </w:pPr>
      <w:r>
        <w:rPr>
          <w:rFonts w:ascii="Lato" w:hAnsi="Lato"/>
          <w:b w:val="0"/>
          <w:i w:val="0"/>
          <w:sz w:val="22"/>
        </w:rPr>
        <w:t>Actionable (leads to a concrete business decision)</w:t>
      </w:r>
    </w:p>
    <w:p>
      <w:pPr>
        <w:pStyle w:val="ListBullet"/>
        <w:spacing w:after="80"/>
      </w:pPr>
      <w:r>
        <w:rPr>
          <w:rFonts w:ascii="Lato" w:hAnsi="Lato"/>
          <w:b w:val="0"/>
          <w:i w:val="0"/>
          <w:sz w:val="22"/>
        </w:rPr>
        <w:t>Specific (not vague platitude)</w:t>
      </w:r>
    </w:p>
    <w:p>
      <w:pPr>
        <w:pStyle w:val="ListBullet"/>
        <w:spacing w:after="80"/>
      </w:pPr>
      <w:r>
        <w:rPr>
          <w:rFonts w:ascii="Lato" w:hAnsi="Lato"/>
          <w:b w:val="0"/>
          <w:i w:val="0"/>
          <w:sz w:val="22"/>
        </w:rPr>
        <w:t>Falsifiable (could be proven wrong with additional data)</w:t>
      </w:r>
    </w:p>
    <w:p>
      <w:r>
        <w:br w:type="page"/>
      </w:r>
    </w:p>
    <w:p>
      <w:pPr>
        <w:pStyle w:val="Heading1"/>
        <w:jc w:val="left"/>
      </w:pPr>
      <w:r>
        <w:rPr>
          <w:rFonts w:ascii="Lato" w:hAnsi="Lato"/>
          <w:b/>
          <w:color w:val="1E3A5F"/>
          <w:sz w:val="44"/>
        </w:rPr>
        <w:t>Data Provenance</w:t>
      </w:r>
    </w:p>
    <w:p>
      <w:pPr>
        <w:spacing w:after="120" w:before="0"/>
      </w:pPr>
      <w:r>
        <w:rPr>
          <w:rFonts w:ascii="Lato" w:hAnsi="Lato"/>
          <w:b w:val="0"/>
          <w:i w:val="0"/>
          <w:sz w:val="22"/>
        </w:rPr>
        <w:t>All data is sourced from publicly available online conversations. No personally identifiable information (PII) is stored or reported.</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E3A5F"/>
          </w:tcPr>
          <w:p>
            <w:pPr>
              <w:spacing w:before="60" w:after="60"/>
            </w:pPr>
            <w:r/>
            <w:r>
              <w:rPr>
                <w:rFonts w:ascii="Lato" w:hAnsi="Lato"/>
                <w:b/>
                <w:i w:val="0"/>
                <w:color w:val="FFFFFF"/>
                <w:sz w:val="20"/>
              </w:rPr>
              <w:t>Source</w:t>
            </w:r>
          </w:p>
        </w:tc>
        <w:tc>
          <w:tcPr>
            <w:tcW w:type="dxa" w:w="2351"/>
            <w:shd w:val="clear" w:color="auto" w:fill="1E3A5F"/>
          </w:tcPr>
          <w:p>
            <w:pPr>
              <w:spacing w:before="60" w:after="60"/>
            </w:pPr>
            <w:r/>
            <w:r>
              <w:rPr>
                <w:rFonts w:ascii="Lato" w:hAnsi="Lato"/>
                <w:b/>
                <w:i w:val="0"/>
                <w:color w:val="FFFFFF"/>
                <w:sz w:val="20"/>
              </w:rPr>
              <w:t>Content Type</w:t>
            </w:r>
          </w:p>
        </w:tc>
        <w:tc>
          <w:tcPr>
            <w:tcW w:type="dxa" w:w="2351"/>
            <w:shd w:val="clear" w:color="auto" w:fill="1E3A5F"/>
          </w:tcPr>
          <w:p>
            <w:pPr>
              <w:spacing w:before="60" w:after="60"/>
            </w:pPr>
            <w:r/>
            <w:r>
              <w:rPr>
                <w:rFonts w:ascii="Lato" w:hAnsi="Lato"/>
                <w:b/>
                <w:i w:val="0"/>
                <w:color w:val="FFFFFF"/>
                <w:sz w:val="20"/>
              </w:rPr>
              <w:t>Access Method</w:t>
            </w:r>
          </w:p>
        </w:tc>
        <w:tc>
          <w:tcPr>
            <w:tcW w:type="dxa" w:w="2351"/>
            <w:shd w:val="clear" w:color="auto" w:fill="1E3A5F"/>
          </w:tcPr>
          <w:p>
            <w:pPr>
              <w:spacing w:before="60" w:after="60"/>
            </w:pPr>
            <w:r/>
            <w:r>
              <w:rPr>
                <w:rFonts w:ascii="Lato" w:hAnsi="Lato"/>
                <w:b/>
                <w:i w:val="0"/>
                <w:color w:val="FFFFFF"/>
                <w:sz w:val="20"/>
              </w:rPr>
              <w:t>Items in Corpus</w:t>
            </w:r>
          </w:p>
        </w:tc>
      </w:tr>
      <w:tr>
        <w:tc>
          <w:tcPr>
            <w:tcW w:type="dxa" w:w="2351"/>
          </w:tcPr>
          <w:p>
            <w:r>
              <w:t>Twitter / X</w:t>
            </w:r>
          </w:p>
        </w:tc>
        <w:tc>
          <w:tcPr>
            <w:tcW w:type="dxa" w:w="2351"/>
          </w:tcPr>
          <w:p>
            <w:r>
              <w:t>Tweets, replies, quote tweets</w:t>
            </w:r>
          </w:p>
        </w:tc>
        <w:tc>
          <w:tcPr>
            <w:tcW w:type="dxa" w:w="2351"/>
          </w:tcPr>
          <w:p>
            <w:r>
              <w:t>Platform API / external collection</w:t>
            </w:r>
          </w:p>
        </w:tc>
        <w:tc>
          <w:tcPr>
            <w:tcW w:type="dxa" w:w="2351"/>
          </w:tcPr>
          <w:p>
            <w:r>
              <w:t>3,873</w:t>
            </w:r>
          </w:p>
        </w:tc>
      </w:tr>
      <w:tr>
        <w:tc>
          <w:tcPr>
            <w:tcW w:type="dxa" w:w="2351"/>
          </w:tcPr>
          <w:p>
            <w:r>
              <w:t>YouTube</w:t>
            </w:r>
          </w:p>
        </w:tc>
        <w:tc>
          <w:tcPr>
            <w:tcW w:type="dxa" w:w="2351"/>
          </w:tcPr>
          <w:p>
            <w:r>
              <w:t>Video descriptions, comments</w:t>
            </w:r>
          </w:p>
        </w:tc>
        <w:tc>
          <w:tcPr>
            <w:tcW w:type="dxa" w:w="2351"/>
          </w:tcPr>
          <w:p>
            <w:r>
              <w:t>YouTube Data API v3</w:t>
            </w:r>
          </w:p>
        </w:tc>
        <w:tc>
          <w:tcPr>
            <w:tcW w:type="dxa" w:w="2351"/>
          </w:tcPr>
          <w:p>
            <w:r>
              <w:t>1,359</w:t>
            </w:r>
          </w:p>
        </w:tc>
      </w:tr>
      <w:tr>
        <w:tc>
          <w:tcPr>
            <w:tcW w:type="dxa" w:w="2351"/>
          </w:tcPr>
          <w:p>
            <w:r>
              <w:t>Reddit</w:t>
            </w:r>
          </w:p>
        </w:tc>
        <w:tc>
          <w:tcPr>
            <w:tcW w:type="dxa" w:w="2351"/>
          </w:tcPr>
          <w:p>
            <w:r>
              <w:t>Forum discussions, comments</w:t>
            </w:r>
          </w:p>
        </w:tc>
        <w:tc>
          <w:tcPr>
            <w:tcW w:type="dxa" w:w="2351"/>
          </w:tcPr>
          <w:p>
            <w:r>
              <w:t>Public JSON API</w:t>
            </w:r>
          </w:p>
        </w:tc>
        <w:tc>
          <w:tcPr>
            <w:tcW w:type="dxa" w:w="2351"/>
          </w:tcPr>
          <w:p>
            <w:r>
              <w:t>502</w:t>
            </w:r>
          </w:p>
        </w:tc>
      </w:tr>
      <w:tr>
        <w:tc>
          <w:tcPr>
            <w:tcW w:type="dxa" w:w="2351"/>
          </w:tcPr>
          <w:p>
            <w:r>
              <w:t>Instagram</w:t>
            </w:r>
          </w:p>
        </w:tc>
        <w:tc>
          <w:tcPr>
            <w:tcW w:type="dxa" w:w="2351"/>
          </w:tcPr>
          <w:p>
            <w:r>
              <w:t>Posts, reels, comments</w:t>
            </w:r>
          </w:p>
        </w:tc>
        <w:tc>
          <w:tcPr>
            <w:tcW w:type="dxa" w:w="2351"/>
          </w:tcPr>
          <w:p>
            <w:r>
              <w:t>Platform API / external collection</w:t>
            </w:r>
          </w:p>
        </w:tc>
        <w:tc>
          <w:tcPr>
            <w:tcW w:type="dxa" w:w="2351"/>
          </w:tcPr>
          <w:p>
            <w:r>
              <w:t>80</w:t>
            </w:r>
          </w:p>
        </w:tc>
      </w:tr>
    </w:tbl>
    <w:p>
      <w:pPr>
        <w:spacing w:after="120" w:before="0"/>
      </w:pPr>
      <w:r>
        <w:rPr>
          <w:rFonts w:ascii="Lato" w:hAnsi="Lato"/>
          <w:b w:val="0"/>
          <w:i w:val="0"/>
          <w:sz w:val="22"/>
        </w:rPr>
        <w:t>Corpus composition: 3,695 posts and 2,119 comments. Each comment is treated as an independent item linked to its parent post for thread-level analysis.</w:t>
      </w:r>
    </w:p>
    <w:p>
      <w:pPr>
        <w:pStyle w:val="Heading2"/>
        <w:jc w:val="left"/>
      </w:pPr>
      <w:r>
        <w:rPr>
          <w:rFonts w:ascii="Lato" w:hAnsi="Lato"/>
          <w:b/>
          <w:color w:val="1E3A5F"/>
          <w:sz w:val="32"/>
        </w:rPr>
        <w:t>Geographic Coverage</w:t>
      </w:r>
    </w:p>
    <w:p>
      <w:pPr>
        <w:spacing w:after="120" w:before="0"/>
      </w:pPr>
      <w:r>
        <w:rPr>
          <w:rFonts w:ascii="Lato" w:hAnsi="Lato"/>
          <w:b w:val="0"/>
          <w:i w:val="0"/>
          <w:sz w:val="22"/>
        </w:rPr>
        <w:t>Primary: India. Content selected and filtered for relevance to the India market context. Items originating from other geographies are retained where they contribute relevant consumer perspective (e.g., diaspora experiences, cross-market comparisons).</w:t>
      </w:r>
    </w:p>
    <w:p>
      <w:pPr>
        <w:pStyle w:val="Heading2"/>
        <w:jc w:val="left"/>
      </w:pPr>
      <w:r>
        <w:rPr>
          <w:rFonts w:ascii="Lato" w:hAnsi="Lato"/>
          <w:b/>
          <w:color w:val="1E3A5F"/>
          <w:sz w:val="32"/>
        </w:rPr>
        <w:t>Temporal Coverage</w:t>
      </w:r>
    </w:p>
    <w:p>
      <w:pPr>
        <w:spacing w:after="120" w:before="0"/>
      </w:pPr>
      <w:r>
        <w:rPr>
          <w:rFonts w:ascii="Lato" w:hAnsi="Lato"/>
          <w:b w:val="0"/>
          <w:i w:val="0"/>
          <w:sz w:val="22"/>
        </w:rPr>
        <w:t>Data range: Dec 2024 - Jan 2026 (12 months). Items span the full collection period with no temporal exclusion applied at normalization.</w:t>
      </w:r>
    </w:p>
    <w:p>
      <w:pPr>
        <w:pStyle w:val="Heading2"/>
        <w:jc w:val="left"/>
      </w:pPr>
      <w:r>
        <w:rPr>
          <w:rFonts w:ascii="Lato" w:hAnsi="Lato"/>
          <w:b/>
          <w:color w:val="1E3A5F"/>
          <w:sz w:val="32"/>
        </w:rPr>
        <w:t>Demographic Accuracy</w:t>
      </w:r>
    </w:p>
    <w:p>
      <w:pPr>
        <w:spacing w:after="120" w:before="0"/>
      </w:pPr>
      <w:r>
        <w:rPr>
          <w:rFonts w:ascii="Lato" w:hAnsi="Lato"/>
          <w:b w:val="0"/>
          <w:i w:val="0"/>
          <w:sz w:val="22"/>
        </w:rPr>
        <w:t>This methodology explicitly documents platform-level composition so that interpretation accounts for known biases: YouTube is more balanced across gender but skews younger audiences; creator content dominates over consumer discussion; Twitter/X skews male, urban, politically engaged, and 25-44; high-follower accounts dominate visibility while ordinary consumer voices are underrepresented; Instagram skews female, urban, and 18-34 with strong influencer and health-creator content that shapes but does not represent consumer opinion; Reddit skews male, urban, and 18-34. These biases are documented rather than hidden. For verified demographic breakdowns, commission a structured survey targeted to the same research questions, using this report's insights as the stimulus.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