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left"/>
      </w:pPr>
      <w:r>
        <w:rPr>
          <w:rFonts w:ascii="Lato" w:hAnsi="Lato"/>
          <w:b/>
          <w:i w:val="0"/>
          <w:color w:val="0F2440"/>
          <w:sz w:val="72"/>
        </w:rPr>
        <w:t>Weight Loss Medication</w:t>
      </w:r>
    </w:p>
    <w:p>
      <w:pPr>
        <w:spacing w:after="80"/>
        <w:jc w:val="left"/>
      </w:pPr>
      <w:r>
        <w:rPr>
          <w:rFonts w:ascii="Lato" w:hAnsi="Lato"/>
          <w:b w:val="0"/>
          <w:i w:val="0"/>
          <w:color w:val="374151"/>
          <w:sz w:val="28"/>
        </w:rPr>
        <w:t>Research Report: Consumer Sentiment &amp; Brand Perception</w:t>
      </w:r>
    </w:p>
    <w:p>
      <w:pPr>
        <w:spacing w:after="560"/>
        <w:jc w:val="left"/>
      </w:pPr>
      <w:r>
        <w:rPr>
          <w:rFonts w:ascii="Lato" w:hAnsi="Lato"/>
          <w:b w:val="0"/>
          <w:i w:val="0"/>
          <w:color w:val="6B7280"/>
          <w:sz w:val="22"/>
        </w:rPr>
        <w:t>Analysis Date: April 2026</w:t>
      </w:r>
    </w:p>
    <w:p>
      <w:pPr>
        <w:spacing w:before="80" w:after="80"/>
        <w:pBdr>
          <w:bottom w:val="single" w:sz="4" w:space="1" w:color="6B7280"/>
        </w:pBdr>
      </w:pPr>
    </w:p>
    <w:p/>
    <w:p>
      <w:pPr>
        <w:spacing w:before="80" w:after="80"/>
        <w:pBdr>
          <w:bottom w:val="single" w:sz="4" w:space="1" w:color="6B7280"/>
        </w:pBdr>
      </w:pPr>
    </w:p>
    <w:p>
      <w:pPr>
        <w:pStyle w:val="Heading2"/>
        <w:jc w:val="left"/>
      </w:pPr>
      <w:r>
        <w:rPr>
          <w:rFonts w:ascii="Lato" w:hAnsi="Lato"/>
          <w:b/>
          <w:color w:val="1E3A5F"/>
          <w:sz w:val="32"/>
        </w:rPr>
        <w:t>Summary of Data and Findings</w:t>
      </w:r>
    </w:p>
    <w:tbl>
      <w:tblPr>
        <w:tblStyle w:val="TableGrid"/>
        <w:tblW w:type="auto" w:w="0"/>
        <w:jc w:val="left"/>
        <w:tblLook w:firstColumn="1" w:firstRow="1" w:lastColumn="0" w:lastRow="0" w:noHBand="0" w:noVBand="1" w:val="04A0"/>
      </w:tblPr>
      <w:tblGrid>
        <w:gridCol w:w="4703"/>
        <w:gridCol w:w="4703"/>
      </w:tblGrid>
      <w:tr>
        <w:tc>
          <w:tcPr>
            <w:tcW w:type="dxa" w:w="4703"/>
          </w:tcPr>
          <w:p>
            <w:pPr>
              <w:spacing w:before="80" w:after="80"/>
            </w:pPr>
            <w:r/>
            <w:r>
              <w:rPr>
                <w:rFonts w:ascii="Lato" w:hAnsi="Lato"/>
                <w:b w:val="0"/>
                <w:i w:val="0"/>
                <w:color w:val="374151"/>
                <w:sz w:val="22"/>
              </w:rPr>
              <w:t>Items Analysed</w:t>
            </w:r>
          </w:p>
        </w:tc>
        <w:tc>
          <w:tcPr>
            <w:tcW w:type="dxa" w:w="4703"/>
          </w:tcPr>
          <w:p>
            <w:pPr>
              <w:spacing w:before="80" w:after="80"/>
            </w:pPr>
            <w:r/>
            <w:r>
              <w:rPr>
                <w:rFonts w:ascii="Lato" w:hAnsi="Lato"/>
                <w:b/>
                <w:i w:val="0"/>
                <w:color w:val="1E3A5F"/>
                <w:sz w:val="26"/>
              </w:rPr>
              <w:t>1,761</w:t>
            </w:r>
          </w:p>
        </w:tc>
      </w:tr>
      <w:tr>
        <w:tc>
          <w:tcPr>
            <w:tcW w:type="dxa" w:w="4703"/>
          </w:tcPr>
          <w:p>
            <w:pPr>
              <w:spacing w:before="80" w:after="80"/>
            </w:pPr>
            <w:r/>
            <w:r>
              <w:rPr>
                <w:rFonts w:ascii="Lato" w:hAnsi="Lato"/>
                <w:b w:val="0"/>
                <w:i w:val="0"/>
                <w:color w:val="374151"/>
                <w:sz w:val="22"/>
              </w:rPr>
              <w:t>Content Date Range</w:t>
            </w:r>
          </w:p>
        </w:tc>
        <w:tc>
          <w:tcPr>
            <w:tcW w:type="dxa" w:w="4703"/>
          </w:tcPr>
          <w:p>
            <w:pPr>
              <w:spacing w:before="80" w:after="80"/>
            </w:pPr>
            <w:r/>
            <w:r>
              <w:rPr>
                <w:rFonts w:ascii="Lato" w:hAnsi="Lato"/>
                <w:b/>
                <w:i w:val="0"/>
                <w:color w:val="1E3A5F"/>
                <w:sz w:val="26"/>
              </w:rPr>
              <w:t>Mar 2024 - Feb 2026</w:t>
            </w:r>
          </w:p>
        </w:tc>
      </w:tr>
      <w:tr>
        <w:tc>
          <w:tcPr>
            <w:tcW w:type="dxa" w:w="4703"/>
          </w:tcPr>
          <w:p>
            <w:pPr>
              <w:spacing w:before="80" w:after="80"/>
            </w:pPr>
            <w:r/>
            <w:r>
              <w:rPr>
                <w:rFonts w:ascii="Lato" w:hAnsi="Lato"/>
                <w:b w:val="0"/>
                <w:i w:val="0"/>
                <w:color w:val="374151"/>
                <w:sz w:val="22"/>
              </w:rPr>
              <w:t>Insights Identified</w:t>
            </w:r>
          </w:p>
        </w:tc>
        <w:tc>
          <w:tcPr>
            <w:tcW w:type="dxa" w:w="4703"/>
          </w:tcPr>
          <w:p>
            <w:pPr>
              <w:spacing w:before="80" w:after="80"/>
            </w:pPr>
            <w:r/>
            <w:r>
              <w:rPr>
                <w:rFonts w:ascii="Lato" w:hAnsi="Lato"/>
                <w:b/>
                <w:i w:val="0"/>
                <w:color w:val="1E3A5F"/>
                <w:sz w:val="26"/>
              </w:rPr>
              <w:t>12</w:t>
            </w:r>
          </w:p>
        </w:tc>
      </w:tr>
      <w:tr>
        <w:tc>
          <w:tcPr>
            <w:tcW w:type="dxa" w:w="4703"/>
          </w:tcPr>
          <w:p>
            <w:pPr>
              <w:spacing w:before="80" w:after="80"/>
            </w:pPr>
            <w:r/>
            <w:r>
              <w:rPr>
                <w:rFonts w:ascii="Lato" w:hAnsi="Lato"/>
                <w:b w:val="0"/>
                <w:i w:val="0"/>
                <w:color w:val="374151"/>
                <w:sz w:val="22"/>
              </w:rPr>
              <w:t>Net Sentiment Score</w:t>
            </w:r>
          </w:p>
        </w:tc>
        <w:tc>
          <w:tcPr>
            <w:tcW w:type="dxa" w:w="4703"/>
          </w:tcPr>
          <w:p>
            <w:pPr>
              <w:spacing w:before="80" w:after="80"/>
            </w:pPr>
            <w:r/>
            <w:r>
              <w:rPr>
                <w:rFonts w:ascii="Lato" w:hAnsi="Lato"/>
                <w:b/>
                <w:i w:val="0"/>
                <w:color w:val="059669"/>
                <w:sz w:val="26"/>
              </w:rPr>
              <w:t>+19.5%</w:t>
            </w:r>
          </w:p>
        </w:tc>
      </w:tr>
      <w:tr>
        <w:tc>
          <w:tcPr>
            <w:tcW w:type="dxa" w:w="4703"/>
          </w:tcPr>
          <w:p>
            <w:pPr>
              <w:spacing w:before="80" w:after="80"/>
            </w:pPr>
            <w:r/>
            <w:r>
              <w:rPr>
                <w:rFonts w:ascii="Lato" w:hAnsi="Lato"/>
                <w:b w:val="0"/>
                <w:i w:val="0"/>
                <w:color w:val="374151"/>
                <w:sz w:val="22"/>
              </w:rPr>
              <w:t>Brand Health Score</w:t>
            </w:r>
          </w:p>
        </w:tc>
        <w:tc>
          <w:tcPr>
            <w:tcW w:type="dxa" w:w="4703"/>
          </w:tcPr>
          <w:p>
            <w:pPr>
              <w:spacing w:before="80" w:after="80"/>
            </w:pPr>
            <w:r/>
            <w:r>
              <w:rPr>
                <w:rFonts w:ascii="Lato" w:hAnsi="Lato"/>
                <w:b/>
                <w:i w:val="0"/>
                <w:color w:val="D97706"/>
                <w:sz w:val="26"/>
              </w:rPr>
              <w:t>69/100</w:t>
            </w:r>
          </w:p>
        </w:tc>
      </w:tr>
      <w:tr>
        <w:tc>
          <w:tcPr>
            <w:tcW w:type="dxa" w:w="4703"/>
          </w:tcPr>
          <w:p>
            <w:pPr>
              <w:spacing w:before="80" w:after="80"/>
            </w:pPr>
            <w:r/>
            <w:r>
              <w:rPr>
                <w:rFonts w:ascii="Lato" w:hAnsi="Lato"/>
                <w:b w:val="0"/>
                <w:i w:val="0"/>
                <w:color w:val="374151"/>
                <w:sz w:val="22"/>
              </w:rPr>
              <w:t>Data Sources</w:t>
            </w:r>
          </w:p>
        </w:tc>
        <w:tc>
          <w:tcPr>
            <w:tcW w:type="dxa" w:w="4703"/>
          </w:tcPr>
          <w:p>
            <w:pPr>
              <w:spacing w:before="80" w:after="80"/>
            </w:pPr>
            <w:r/>
            <w:r>
              <w:rPr>
                <w:rFonts w:ascii="Lato" w:hAnsi="Lato"/>
                <w:b/>
                <w:i w:val="0"/>
                <w:color w:val="1E3A5F"/>
                <w:sz w:val="26"/>
              </w:rPr>
              <w:t>3 platforms</w:t>
            </w:r>
          </w:p>
        </w:tc>
      </w:tr>
    </w:tbl>
    <w:p>
      <w:r>
        <w:br w:type="page"/>
      </w:r>
    </w:p>
    <w:p>
      <w:pPr>
        <w:pStyle w:val="Heading1"/>
        <w:jc w:val="left"/>
      </w:pPr>
      <w:r>
        <w:rPr>
          <w:rFonts w:ascii="Lato" w:hAnsi="Lato"/>
          <w:b/>
          <w:color w:val="1E3A5F"/>
          <w:sz w:val="44"/>
        </w:rPr>
        <w:t>Data Universe</w:t>
      </w:r>
    </w:p>
    <w:p>
      <w:pPr>
        <w:pStyle w:val="Heading2"/>
        <w:jc w:val="left"/>
      </w:pPr>
      <w:r>
        <w:rPr>
          <w:rFonts w:ascii="Lato" w:hAnsi="Lato"/>
          <w:b/>
          <w:color w:val="1E3A5F"/>
          <w:sz w:val="32"/>
        </w:rPr>
        <w:t>Collection Funnel</w:t>
      </w:r>
    </w:p>
    <w:p>
      <w:pPr>
        <w:spacing w:after="120" w:before="0"/>
      </w:pPr>
      <w:r>
        <w:rPr>
          <w:rFonts w:ascii="Lato" w:hAnsi="Lato"/>
          <w:b w:val="0"/>
          <w:i w:val="0"/>
          <w:sz w:val="22"/>
        </w:rPr>
        <w:t>Of 43,698 raw data points collected across all sources, 4,475 remained after deduplication and quality filtering, and 1,812 passed LLM relevance classification (4.1% of total collected). These 1,812 items form the analysis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Stage</w:t>
            </w:r>
          </w:p>
        </w:tc>
        <w:tc>
          <w:tcPr>
            <w:tcW w:type="dxa" w:w="3135"/>
            <w:shd w:val="clear" w:color="auto" w:fill="1E3A5F"/>
          </w:tcPr>
          <w:p>
            <w:pPr>
              <w:spacing w:before="60" w:after="60"/>
            </w:pPr>
            <w:r/>
            <w:r>
              <w:rPr>
                <w:rFonts w:ascii="Lato" w:hAnsi="Lato"/>
                <w:b/>
                <w:i w:val="0"/>
                <w:color w:val="FFFFFF"/>
                <w:sz w:val="20"/>
              </w:rPr>
              <w:t>Items</w:t>
            </w:r>
          </w:p>
        </w:tc>
        <w:tc>
          <w:tcPr>
            <w:tcW w:type="dxa" w:w="3135"/>
            <w:shd w:val="clear" w:color="auto" w:fill="1E3A5F"/>
          </w:tcPr>
          <w:p>
            <w:pPr>
              <w:spacing w:before="60" w:after="60"/>
            </w:pPr>
            <w:r/>
            <w:r>
              <w:rPr>
                <w:rFonts w:ascii="Lato" w:hAnsi="Lato"/>
                <w:b/>
                <w:i w:val="0"/>
                <w:color w:val="FFFFFF"/>
                <w:sz w:val="20"/>
              </w:rPr>
              <w:t>Notes</w:t>
            </w:r>
          </w:p>
        </w:tc>
      </w:tr>
      <w:tr>
        <w:tc>
          <w:tcPr>
            <w:tcW w:type="dxa" w:w="3135"/>
          </w:tcPr>
          <w:p>
            <w:r>
              <w:t>Raw collected</w:t>
            </w:r>
          </w:p>
        </w:tc>
        <w:tc>
          <w:tcPr>
            <w:tcW w:type="dxa" w:w="3135"/>
          </w:tcPr>
          <w:p>
            <w:r>
              <w:t>43,698</w:t>
            </w:r>
          </w:p>
        </w:tc>
        <w:tc>
          <w:tcPr>
            <w:tcW w:type="dxa" w:w="3135"/>
          </w:tcPr>
          <w:p>
            <w:r>
              <w:t>All posts, comments, articles and videos gathered across all platforms</w:t>
            </w:r>
          </w:p>
        </w:tc>
      </w:tr>
      <w:tr>
        <w:tc>
          <w:tcPr>
            <w:tcW w:type="dxa" w:w="3135"/>
          </w:tcPr>
          <w:p>
            <w:r>
              <w:t>After deduplication &amp; quality filter</w:t>
            </w:r>
          </w:p>
        </w:tc>
        <w:tc>
          <w:tcPr>
            <w:tcW w:type="dxa" w:w="3135"/>
          </w:tcPr>
          <w:p>
            <w:r>
              <w:t>4,475</w:t>
            </w:r>
          </w:p>
        </w:tc>
        <w:tc>
          <w:tcPr>
            <w:tcW w:type="dxa" w:w="3135"/>
          </w:tcPr>
          <w:p>
            <w:r>
              <w:t>Thread dedup (max 5 comments/thread, random selection), empty/short text removed</w:t>
            </w:r>
          </w:p>
        </w:tc>
      </w:tr>
      <w:tr>
        <w:tc>
          <w:tcPr>
            <w:tcW w:type="dxa" w:w="3135"/>
          </w:tcPr>
          <w:p>
            <w:r>
              <w:t>After relevance classification</w:t>
            </w:r>
          </w:p>
        </w:tc>
        <w:tc>
          <w:tcPr>
            <w:tcW w:type="dxa" w:w="3135"/>
          </w:tcPr>
          <w:p>
            <w:r>
              <w:t>1,812</w:t>
            </w:r>
          </w:p>
        </w:tc>
        <w:tc>
          <w:tcPr>
            <w:tcW w:type="dxa" w:w="3135"/>
          </w:tcPr>
          <w:p>
            <w:r>
              <w:t>LLM relevance filter — 4.1% of raw collected. Analysis corpus.</w:t>
            </w:r>
          </w:p>
        </w:tc>
      </w:tr>
    </w:tbl>
    <w:p/>
    <w:p>
      <w:pPr>
        <w:pStyle w:val="Heading2"/>
        <w:jc w:val="left"/>
      </w:pPr>
      <w:r>
        <w:rPr>
          <w:rFonts w:ascii="Lato" w:hAnsi="Lato"/>
          <w:b/>
          <w:color w:val="1E3A5F"/>
          <w:sz w:val="32"/>
        </w:rPr>
        <w:t>Platform Breakdown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Platform</w:t>
            </w:r>
          </w:p>
        </w:tc>
        <w:tc>
          <w:tcPr>
            <w:tcW w:type="dxa" w:w="3135"/>
            <w:shd w:val="clear" w:color="auto" w:fill="1E3A5F"/>
          </w:tcPr>
          <w:p>
            <w:pPr>
              <w:spacing w:before="60" w:after="60"/>
            </w:pPr>
            <w:r/>
            <w:r>
              <w:rPr>
                <w:rFonts w:ascii="Lato" w:hAnsi="Lato"/>
                <w:b/>
                <w:i w:val="0"/>
                <w:color w:val="FFFFFF"/>
                <w:sz w:val="20"/>
              </w:rPr>
              <w:t>Items</w:t>
            </w:r>
          </w:p>
        </w:tc>
        <w:tc>
          <w:tcPr>
            <w:tcW w:type="dxa" w:w="3135"/>
            <w:shd w:val="clear" w:color="auto" w:fill="1E3A5F"/>
          </w:tcPr>
          <w:p>
            <w:pPr>
              <w:spacing w:before="60" w:after="60"/>
            </w:pPr>
            <w:r/>
            <w:r>
              <w:rPr>
                <w:rFonts w:ascii="Lato" w:hAnsi="Lato"/>
                <w:b/>
                <w:i w:val="0"/>
                <w:color w:val="FFFFFF"/>
                <w:sz w:val="20"/>
              </w:rPr>
              <w:t>Share of Corpus</w:t>
            </w:r>
          </w:p>
        </w:tc>
      </w:tr>
      <w:tr>
        <w:tc>
          <w:tcPr>
            <w:tcW w:type="dxa" w:w="3135"/>
          </w:tcPr>
          <w:p>
            <w:r>
              <w:t>Reddit</w:t>
            </w:r>
          </w:p>
        </w:tc>
        <w:tc>
          <w:tcPr>
            <w:tcW w:type="dxa" w:w="3135"/>
          </w:tcPr>
          <w:p>
            <w:r>
              <w:t>928</w:t>
            </w:r>
          </w:p>
        </w:tc>
        <w:tc>
          <w:tcPr>
            <w:tcW w:type="dxa" w:w="3135"/>
          </w:tcPr>
          <w:p>
            <w:r>
              <w:t>51.2%</w:t>
            </w:r>
          </w:p>
        </w:tc>
      </w:tr>
      <w:tr>
        <w:tc>
          <w:tcPr>
            <w:tcW w:type="dxa" w:w="3135"/>
          </w:tcPr>
          <w:p>
            <w:r>
              <w:t>Instagram</w:t>
            </w:r>
          </w:p>
        </w:tc>
        <w:tc>
          <w:tcPr>
            <w:tcW w:type="dxa" w:w="3135"/>
          </w:tcPr>
          <w:p>
            <w:r>
              <w:t>737</w:t>
            </w:r>
          </w:p>
        </w:tc>
        <w:tc>
          <w:tcPr>
            <w:tcW w:type="dxa" w:w="3135"/>
          </w:tcPr>
          <w:p>
            <w:r>
              <w:t>40.7%</w:t>
            </w:r>
          </w:p>
        </w:tc>
      </w:tr>
      <w:tr>
        <w:tc>
          <w:tcPr>
            <w:tcW w:type="dxa" w:w="3135"/>
          </w:tcPr>
          <w:p>
            <w:r>
              <w:t>Youtube</w:t>
            </w:r>
          </w:p>
        </w:tc>
        <w:tc>
          <w:tcPr>
            <w:tcW w:type="dxa" w:w="3135"/>
          </w:tcPr>
          <w:p>
            <w:r>
              <w:t>147</w:t>
            </w:r>
          </w:p>
        </w:tc>
        <w:tc>
          <w:tcPr>
            <w:tcW w:type="dxa" w:w="3135"/>
          </w:tcPr>
          <w:p>
            <w:r>
              <w:t>8.1%</w:t>
            </w:r>
          </w:p>
        </w:tc>
      </w:tr>
    </w:tbl>
    <w:p>
      <w:pPr>
        <w:jc w:val="center"/>
      </w:pPr>
      <w:r>
        <w:drawing>
          <wp:inline xmlns:a="http://schemas.openxmlformats.org/drawingml/2006/main" xmlns:pic="http://schemas.openxmlformats.org/drawingml/2006/picture">
            <wp:extent cx="4114800" cy="1408928"/>
            <wp:docPr id="1" name="Picture 1"/>
            <wp:cNvGraphicFramePr>
              <a:graphicFrameLocks noChangeAspect="1"/>
            </wp:cNvGraphicFramePr>
            <a:graphic>
              <a:graphicData uri="http://schemas.openxmlformats.org/drawingml/2006/picture">
                <pic:pic>
                  <pic:nvPicPr>
                    <pic:cNvPr id="0" name="chart_platforms.png"/>
                    <pic:cNvPicPr/>
                  </pic:nvPicPr>
                  <pic:blipFill>
                    <a:blip r:embed="rId9"/>
                    <a:stretch>
                      <a:fillRect/>
                    </a:stretch>
                  </pic:blipFill>
                  <pic:spPr>
                    <a:xfrm>
                      <a:off x="0" y="0"/>
                      <a:ext cx="4114800" cy="1408928"/>
                    </a:xfrm>
                    <a:prstGeom prst="rect"/>
                  </pic:spPr>
                </pic:pic>
              </a:graphicData>
            </a:graphic>
          </wp:inline>
        </w:drawing>
      </w:r>
    </w:p>
    <w:p>
      <w:pPr>
        <w:spacing w:after="240"/>
        <w:jc w:val="center"/>
      </w:pPr>
      <w:r>
        <w:rPr>
          <w:rFonts w:ascii="Lato" w:hAnsi="Lato"/>
          <w:b w:val="0"/>
          <w:i/>
          <w:color w:val="6B7280"/>
          <w:sz w:val="18"/>
        </w:rPr>
        <w:t>Figure 1: Item distribution by source platform</w:t>
      </w:r>
    </w:p>
    <w:p>
      <w:pPr>
        <w:pStyle w:val="Heading2"/>
        <w:jc w:val="left"/>
      </w:pPr>
      <w:r>
        <w:rPr>
          <w:rFonts w:ascii="Lato" w:hAnsi="Lato"/>
          <w:b/>
          <w:color w:val="1E3A5F"/>
          <w:sz w:val="32"/>
        </w:rPr>
        <w:t>Temporal Distribution</w:t>
      </w:r>
    </w:p>
    <w:p>
      <w:pPr>
        <w:spacing w:after="120" w:before="0"/>
      </w:pPr>
      <w:r>
        <w:rPr>
          <w:rFonts w:ascii="Lato" w:hAnsi="Lato"/>
          <w:b w:val="0"/>
          <w:i w:val="0"/>
          <w:sz w:val="22"/>
        </w:rPr>
        <w:t>The chart below shows when the analysed content was originally published, based on source timestamps. Percentages are of the full corpus. Items without a source timestamp are shown separately as 'Undated'.</w:t>
      </w:r>
    </w:p>
    <w:p>
      <w:pPr>
        <w:jc w:val="center"/>
      </w:pPr>
      <w:r>
        <w:drawing>
          <wp:inline xmlns:a="http://schemas.openxmlformats.org/drawingml/2006/main" xmlns:pic="http://schemas.openxmlformats.org/drawingml/2006/picture">
            <wp:extent cx="4572000" cy="1968099"/>
            <wp:docPr id="2" name="Picture 2"/>
            <wp:cNvGraphicFramePr>
              <a:graphicFrameLocks noChangeAspect="1"/>
            </wp:cNvGraphicFramePr>
            <a:graphic>
              <a:graphicData uri="http://schemas.openxmlformats.org/drawingml/2006/picture">
                <pic:pic>
                  <pic:nvPicPr>
                    <pic:cNvPr id="0" name="chart_temporal.png"/>
                    <pic:cNvPicPr/>
                  </pic:nvPicPr>
                  <pic:blipFill>
                    <a:blip r:embed="rId10"/>
                    <a:stretch>
                      <a:fillRect/>
                    </a:stretch>
                  </pic:blipFill>
                  <pic:spPr>
                    <a:xfrm>
                      <a:off x="0" y="0"/>
                      <a:ext cx="4572000" cy="1968099"/>
                    </a:xfrm>
                    <a:prstGeom prst="rect"/>
                  </pic:spPr>
                </pic:pic>
              </a:graphicData>
            </a:graphic>
          </wp:inline>
        </w:drawing>
      </w:r>
    </w:p>
    <w:p>
      <w:pPr>
        <w:spacing w:after="240"/>
        <w:jc w:val="center"/>
      </w:pPr>
      <w:r>
        <w:rPr>
          <w:rFonts w:ascii="Lato" w:hAnsi="Lato"/>
          <w:b w:val="0"/>
          <w:i/>
          <w:color w:val="6B7280"/>
          <w:sz w:val="18"/>
        </w:rPr>
        <w:t>Figure 2: Content publication date by year (full corpus denominator)</w:t>
      </w:r>
    </w:p>
    <w:p>
      <w:pPr>
        <w:pStyle w:val="Heading2"/>
        <w:jc w:val="left"/>
      </w:pPr>
      <w:r>
        <w:rPr>
          <w:rFonts w:ascii="Lato" w:hAnsi="Lato"/>
          <w:b/>
          <w:color w:val="1E3A5F"/>
          <w:sz w:val="32"/>
        </w:rPr>
        <w:t>Collection Methodology</w:t>
      </w:r>
    </w:p>
    <w:p>
      <w:pPr>
        <w:spacing w:after="120" w:before="0"/>
      </w:pPr>
      <w:r>
        <w:rPr>
          <w:rFonts w:ascii="Lato" w:hAnsi="Lato"/>
          <w:b w:val="0"/>
          <w:i w:val="0"/>
          <w:sz w:val="22"/>
        </w:rPr>
        <w:t>Data was collected using automated scrapers with engagement-weighted filtering applied per platform. Thread-level deduplication caps comments per thread to prevent over-indexing vocal threads. All items passed an LLM relevance classification step before analysis.</w:t>
      </w:r>
    </w:p>
    <w:p>
      <w:r>
        <w:br w:type="page"/>
      </w:r>
    </w:p>
    <w:p>
      <w:pPr>
        <w:pStyle w:val="Heading1"/>
        <w:jc w:val="left"/>
      </w:pPr>
      <w:r>
        <w:rPr>
          <w:rFonts w:ascii="Lato" w:hAnsi="Lato"/>
          <w:b/>
          <w:color w:val="1E3A5F"/>
          <w:sz w:val="44"/>
        </w:rPr>
        <w:t>Sentiment &amp; Emotion Analysis</w:t>
      </w:r>
    </w:p>
    <w:p>
      <w:pPr>
        <w:pStyle w:val="Heading2"/>
        <w:jc w:val="left"/>
      </w:pPr>
      <w:r>
        <w:rPr>
          <w:rFonts w:ascii="Lato" w:hAnsi="Lato"/>
          <w:b/>
          <w:color w:val="1E3A5F"/>
          <w:sz w:val="32"/>
        </w:rPr>
        <w:t>Overall Sentiment Distribution</w:t>
      </w:r>
    </w:p>
    <w:p>
      <w:pPr>
        <w:spacing w:after="120" w:before="0"/>
      </w:pPr>
      <w:r>
        <w:rPr>
          <w:rFonts w:ascii="Lato" w:hAnsi="Lato"/>
          <w:b w:val="0"/>
          <w:i w:val="0"/>
          <w:sz w:val="22"/>
        </w:rPr>
        <w:t>Net Sentiment Score (NSS): +19.5%  |  Positive: 665 (37.8%)  |  Negative: 322 (18.3%)  |  Neutral: 586 (33.3%)</w:t>
      </w:r>
    </w:p>
    <w:p>
      <w:pPr>
        <w:spacing w:after="120" w:before="0"/>
      </w:pPr>
      <w:r>
        <w:rPr>
          <w:rFonts w:ascii="Lato" w:hAnsi="Lato"/>
          <w:b w:val="0"/>
          <w:i/>
          <w:color w:val="6B7280"/>
          <w:sz w:val="22"/>
        </w:rPr>
        <w:t>NSS is computed as (positive - negative) / total items. Range: -1.0 (all negative) to +1.0 (all positive). Neutral and mixed items remain in the denominator, anchoring the score to the full corpus rather than just polarised items. A positive NSS indicates net favourable sentiment; a negative NSS indicates net unfavourable.</w:t>
      </w:r>
    </w:p>
    <w:p>
      <w:pPr>
        <w:jc w:val="center"/>
      </w:pPr>
      <w:r>
        <w:drawing>
          <wp:inline xmlns:a="http://schemas.openxmlformats.org/drawingml/2006/main" xmlns:pic="http://schemas.openxmlformats.org/drawingml/2006/picture">
            <wp:extent cx="4572000" cy="1681223"/>
            <wp:docPr id="3" name="Picture 3"/>
            <wp:cNvGraphicFramePr>
              <a:graphicFrameLocks noChangeAspect="1"/>
            </wp:cNvGraphicFramePr>
            <a:graphic>
              <a:graphicData uri="http://schemas.openxmlformats.org/drawingml/2006/picture">
                <pic:pic>
                  <pic:nvPicPr>
                    <pic:cNvPr id="0" name="chart_sentiment.png"/>
                    <pic:cNvPicPr/>
                  </pic:nvPicPr>
                  <pic:blipFill>
                    <a:blip r:embed="rId11"/>
                    <a:stretch>
                      <a:fillRect/>
                    </a:stretch>
                  </pic:blipFill>
                  <pic:spPr>
                    <a:xfrm>
                      <a:off x="0" y="0"/>
                      <a:ext cx="4572000" cy="1681223"/>
                    </a:xfrm>
                    <a:prstGeom prst="rect"/>
                  </pic:spPr>
                </pic:pic>
              </a:graphicData>
            </a:graphic>
          </wp:inline>
        </w:drawing>
      </w:r>
    </w:p>
    <w:p>
      <w:pPr>
        <w:spacing w:after="240"/>
        <w:jc w:val="center"/>
      </w:pPr>
      <w:r>
        <w:rPr>
          <w:rFonts w:ascii="Lato" w:hAnsi="Lato"/>
          <w:b w:val="0"/>
          <w:i/>
          <w:color w:val="6B7280"/>
          <w:sz w:val="18"/>
        </w:rPr>
        <w:t>Figure 2: Sentiment distribution across 1,761 items</w:t>
      </w:r>
    </w:p>
    <w:p>
      <w:pPr>
        <w:pStyle w:val="Heading2"/>
        <w:jc w:val="left"/>
      </w:pPr>
      <w:r>
        <w:rPr>
          <w:rFonts w:ascii="Lato" w:hAnsi="Lato"/>
          <w:b/>
          <w:color w:val="1E3A5F"/>
          <w:sz w:val="32"/>
        </w:rPr>
        <w:t>Emotion Profile (Plutchik 8-Emotion Model)</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pPr>
              <w:spacing w:before="60" w:after="60"/>
            </w:pPr>
            <w:r/>
            <w:r>
              <w:rPr>
                <w:rFonts w:ascii="Lato" w:hAnsi="Lato"/>
                <w:b/>
                <w:i w:val="0"/>
                <w:color w:val="FFFFFF"/>
                <w:sz w:val="20"/>
              </w:rPr>
              <w:t>Emotion</w:t>
            </w:r>
          </w:p>
        </w:tc>
        <w:tc>
          <w:tcPr>
            <w:tcW w:type="dxa" w:w="4703"/>
            <w:shd w:val="clear" w:color="auto" w:fill="1E3A5F"/>
          </w:tcPr>
          <w:p>
            <w:pPr>
              <w:spacing w:before="60" w:after="60"/>
            </w:pPr>
            <w:r/>
            <w:r>
              <w:rPr>
                <w:rFonts w:ascii="Lato" w:hAnsi="Lato"/>
                <w:b/>
                <w:i w:val="0"/>
                <w:color w:val="FFFFFF"/>
                <w:sz w:val="20"/>
              </w:rPr>
              <w:t>Count</w:t>
            </w:r>
          </w:p>
        </w:tc>
      </w:tr>
      <w:tr>
        <w:tc>
          <w:tcPr>
            <w:tcW w:type="dxa" w:w="4703"/>
          </w:tcPr>
          <w:p>
            <w:r>
              <w:t>None</w:t>
            </w:r>
          </w:p>
        </w:tc>
        <w:tc>
          <w:tcPr>
            <w:tcW w:type="dxa" w:w="4703"/>
          </w:tcPr>
          <w:p>
            <w:r>
              <w:t>547</w:t>
            </w:r>
          </w:p>
        </w:tc>
      </w:tr>
      <w:tr>
        <w:tc>
          <w:tcPr>
            <w:tcW w:type="dxa" w:w="4703"/>
          </w:tcPr>
          <w:p>
            <w:r>
              <w:t>Joy</w:t>
            </w:r>
          </w:p>
        </w:tc>
        <w:tc>
          <w:tcPr>
            <w:tcW w:type="dxa" w:w="4703"/>
          </w:tcPr>
          <w:p>
            <w:r>
              <w:t>449</w:t>
            </w:r>
          </w:p>
        </w:tc>
      </w:tr>
      <w:tr>
        <w:tc>
          <w:tcPr>
            <w:tcW w:type="dxa" w:w="4703"/>
          </w:tcPr>
          <w:p>
            <w:r>
              <w:t>Trust</w:t>
            </w:r>
          </w:p>
        </w:tc>
        <w:tc>
          <w:tcPr>
            <w:tcW w:type="dxa" w:w="4703"/>
          </w:tcPr>
          <w:p>
            <w:r>
              <w:t>233</w:t>
            </w:r>
          </w:p>
        </w:tc>
      </w:tr>
      <w:tr>
        <w:tc>
          <w:tcPr>
            <w:tcW w:type="dxa" w:w="4703"/>
          </w:tcPr>
          <w:p>
            <w:r>
              <w:t>Sadness</w:t>
            </w:r>
          </w:p>
        </w:tc>
        <w:tc>
          <w:tcPr>
            <w:tcW w:type="dxa" w:w="4703"/>
          </w:tcPr>
          <w:p>
            <w:r>
              <w:t>156</w:t>
            </w:r>
          </w:p>
        </w:tc>
      </w:tr>
      <w:tr>
        <w:tc>
          <w:tcPr>
            <w:tcW w:type="dxa" w:w="4703"/>
          </w:tcPr>
          <w:p>
            <w:r>
              <w:t>Fear</w:t>
            </w:r>
          </w:p>
        </w:tc>
        <w:tc>
          <w:tcPr>
            <w:tcW w:type="dxa" w:w="4703"/>
          </w:tcPr>
          <w:p>
            <w:r>
              <w:t>139</w:t>
            </w:r>
          </w:p>
        </w:tc>
      </w:tr>
      <w:tr>
        <w:tc>
          <w:tcPr>
            <w:tcW w:type="dxa" w:w="4703"/>
          </w:tcPr>
          <w:p>
            <w:r>
              <w:t>Anticipation</w:t>
            </w:r>
          </w:p>
        </w:tc>
        <w:tc>
          <w:tcPr>
            <w:tcW w:type="dxa" w:w="4703"/>
          </w:tcPr>
          <w:p>
            <w:r>
              <w:t>127</w:t>
            </w:r>
          </w:p>
        </w:tc>
      </w:tr>
      <w:tr>
        <w:tc>
          <w:tcPr>
            <w:tcW w:type="dxa" w:w="4703"/>
          </w:tcPr>
          <w:p>
            <w:r>
              <w:t>Disgust</w:t>
            </w:r>
          </w:p>
        </w:tc>
        <w:tc>
          <w:tcPr>
            <w:tcW w:type="dxa" w:w="4703"/>
          </w:tcPr>
          <w:p>
            <w:r>
              <w:t>71</w:t>
            </w:r>
          </w:p>
        </w:tc>
      </w:tr>
      <w:tr>
        <w:tc>
          <w:tcPr>
            <w:tcW w:type="dxa" w:w="4703"/>
          </w:tcPr>
          <w:p>
            <w:r>
              <w:t>Surprise</w:t>
            </w:r>
          </w:p>
        </w:tc>
        <w:tc>
          <w:tcPr>
            <w:tcW w:type="dxa" w:w="4703"/>
          </w:tcPr>
          <w:p>
            <w:r>
              <w:t>27</w:t>
            </w:r>
          </w:p>
        </w:tc>
      </w:tr>
      <w:tr>
        <w:tc>
          <w:tcPr>
            <w:tcW w:type="dxa" w:w="4703"/>
          </w:tcPr>
          <w:p>
            <w:r>
              <w:t>Anger</w:t>
            </w:r>
          </w:p>
        </w:tc>
        <w:tc>
          <w:tcPr>
            <w:tcW w:type="dxa" w:w="4703"/>
          </w:tcPr>
          <w:p>
            <w:r>
              <w:t>12</w:t>
            </w:r>
          </w:p>
        </w:tc>
      </w:tr>
    </w:tbl>
    <w:p>
      <w:pPr>
        <w:jc w:val="center"/>
      </w:pPr>
      <w:r>
        <w:drawing>
          <wp:inline xmlns:a="http://schemas.openxmlformats.org/drawingml/2006/main" xmlns:pic="http://schemas.openxmlformats.org/drawingml/2006/picture">
            <wp:extent cx="4572000" cy="2258493"/>
            <wp:docPr id="4" name="Picture 4"/>
            <wp:cNvGraphicFramePr>
              <a:graphicFrameLocks noChangeAspect="1"/>
            </wp:cNvGraphicFramePr>
            <a:graphic>
              <a:graphicData uri="http://schemas.openxmlformats.org/drawingml/2006/picture">
                <pic:pic>
                  <pic:nvPicPr>
                    <pic:cNvPr id="0" name="chart_emotions.png"/>
                    <pic:cNvPicPr/>
                  </pic:nvPicPr>
                  <pic:blipFill>
                    <a:blip r:embed="rId12"/>
                    <a:stretch>
                      <a:fillRect/>
                    </a:stretch>
                  </pic:blipFill>
                  <pic:spPr>
                    <a:xfrm>
                      <a:off x="0" y="0"/>
                      <a:ext cx="4572000" cy="2258493"/>
                    </a:xfrm>
                    <a:prstGeom prst="rect"/>
                  </pic:spPr>
                </pic:pic>
              </a:graphicData>
            </a:graphic>
          </wp:inline>
        </w:drawing>
      </w:r>
    </w:p>
    <w:p>
      <w:pPr>
        <w:spacing w:after="240"/>
        <w:jc w:val="center"/>
      </w:pPr>
      <w:r>
        <w:rPr>
          <w:rFonts w:ascii="Lato" w:hAnsi="Lato"/>
          <w:b w:val="0"/>
          <w:i/>
          <w:color w:val="6B7280"/>
          <w:sz w:val="18"/>
        </w:rPr>
        <w:t>Figure 3: Plutchik emotion distribution</w:t>
      </w:r>
    </w:p>
    <w:p>
      <w:pPr>
        <w:pStyle w:val="Heading2"/>
        <w:jc w:val="left"/>
      </w:pPr>
      <w:r>
        <w:rPr>
          <w:rFonts w:ascii="Lato" w:hAnsi="Lato"/>
          <w:b/>
          <w:color w:val="1E3A5F"/>
          <w:sz w:val="32"/>
        </w:rPr>
        <w:t>Aspect-Based Sentiment Analysis (ABSA)</w:t>
      </w:r>
    </w:p>
    <w:p>
      <w:pPr>
        <w:spacing w:after="120" w:before="0"/>
      </w:pPr>
      <w:r>
        <w:rPr>
          <w:rFonts w:ascii="Lato" w:hAnsi="Lato"/>
          <w:b w:val="0"/>
          <w:i w:val="0"/>
          <w:sz w:val="22"/>
        </w:rPr>
        <w:t>Aspects with ≥10 mentions are shown below. NSS is statistically meaningful only at this threshold.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spacing w:before="60" w:after="60"/>
            </w:pPr>
            <w:r/>
            <w:r>
              <w:rPr>
                <w:rFonts w:ascii="Lato" w:hAnsi="Lato"/>
                <w:b/>
                <w:i w:val="0"/>
                <w:color w:val="FFFFFF"/>
                <w:sz w:val="20"/>
              </w:rPr>
              <w:t>Aspect</w:t>
            </w:r>
          </w:p>
        </w:tc>
        <w:tc>
          <w:tcPr>
            <w:tcW w:type="dxa" w:w="1881"/>
            <w:shd w:val="clear" w:color="auto" w:fill="1E3A5F"/>
          </w:tcPr>
          <w:p>
            <w:pPr>
              <w:spacing w:before="60" w:after="60"/>
            </w:pPr>
            <w:r/>
            <w:r>
              <w:rPr>
                <w:rFonts w:ascii="Lato" w:hAnsi="Lato"/>
                <w:b/>
                <w:i w:val="0"/>
                <w:color w:val="FFFFFF"/>
                <w:sz w:val="20"/>
              </w:rPr>
              <w:t>Total</w:t>
            </w:r>
          </w:p>
        </w:tc>
        <w:tc>
          <w:tcPr>
            <w:tcW w:type="dxa" w:w="1881"/>
            <w:shd w:val="clear" w:color="auto" w:fill="1E3A5F"/>
          </w:tcPr>
          <w:p>
            <w:pPr>
              <w:spacing w:before="60" w:after="60"/>
            </w:pPr>
            <w:r/>
            <w:r>
              <w:rPr>
                <w:rFonts w:ascii="Lato" w:hAnsi="Lato"/>
                <w:b/>
                <w:i w:val="0"/>
                <w:color w:val="FFFFFF"/>
                <w:sz w:val="20"/>
              </w:rPr>
              <w:t>Positive</w:t>
            </w:r>
          </w:p>
        </w:tc>
        <w:tc>
          <w:tcPr>
            <w:tcW w:type="dxa" w:w="1881"/>
            <w:shd w:val="clear" w:color="auto" w:fill="1E3A5F"/>
          </w:tcPr>
          <w:p>
            <w:pPr>
              <w:spacing w:before="60" w:after="60"/>
            </w:pPr>
            <w:r/>
            <w:r>
              <w:rPr>
                <w:rFonts w:ascii="Lato" w:hAnsi="Lato"/>
                <w:b/>
                <w:i w:val="0"/>
                <w:color w:val="FFFFFF"/>
                <w:sz w:val="20"/>
              </w:rPr>
              <w:t>Negative</w:t>
            </w:r>
          </w:p>
        </w:tc>
        <w:tc>
          <w:tcPr>
            <w:tcW w:type="dxa" w:w="1881"/>
            <w:shd w:val="clear" w:color="auto" w:fill="1E3A5F"/>
          </w:tcPr>
          <w:p>
            <w:pPr>
              <w:spacing w:before="60" w:after="60"/>
            </w:pPr>
            <w:r/>
            <w:r>
              <w:rPr>
                <w:rFonts w:ascii="Lato" w:hAnsi="Lato"/>
                <w:b/>
                <w:i w:val="0"/>
                <w:color w:val="FFFFFF"/>
                <w:sz w:val="20"/>
              </w:rPr>
              <w:t>NSS</w:t>
            </w:r>
          </w:p>
        </w:tc>
      </w:tr>
      <w:tr>
        <w:tc>
          <w:tcPr>
            <w:tcW w:type="dxa" w:w="1881"/>
          </w:tcPr>
          <w:p>
            <w:r>
              <w:t>Efficacy</w:t>
            </w:r>
          </w:p>
        </w:tc>
        <w:tc>
          <w:tcPr>
            <w:tcW w:type="dxa" w:w="1881"/>
          </w:tcPr>
          <w:p>
            <w:r>
              <w:t>609</w:t>
            </w:r>
          </w:p>
        </w:tc>
        <w:tc>
          <w:tcPr>
            <w:tcW w:type="dxa" w:w="1881"/>
          </w:tcPr>
          <w:p>
            <w:r>
              <w:t>217</w:t>
            </w:r>
          </w:p>
        </w:tc>
        <w:tc>
          <w:tcPr>
            <w:tcW w:type="dxa" w:w="1881"/>
          </w:tcPr>
          <w:p>
            <w:r>
              <w:t>13</w:t>
            </w:r>
          </w:p>
        </w:tc>
        <w:tc>
          <w:tcPr>
            <w:tcW w:type="dxa" w:w="1881"/>
          </w:tcPr>
          <w:p>
            <w:r>
              <w:t>+33%</w:t>
            </w:r>
          </w:p>
        </w:tc>
      </w:tr>
      <w:tr>
        <w:tc>
          <w:tcPr>
            <w:tcW w:type="dxa" w:w="1881"/>
          </w:tcPr>
          <w:p>
            <w:r>
              <w:t>Accessibility</w:t>
            </w:r>
          </w:p>
        </w:tc>
        <w:tc>
          <w:tcPr>
            <w:tcW w:type="dxa" w:w="1881"/>
          </w:tcPr>
          <w:p>
            <w:r>
              <w:t>298</w:t>
            </w:r>
          </w:p>
        </w:tc>
        <w:tc>
          <w:tcPr>
            <w:tcW w:type="dxa" w:w="1881"/>
          </w:tcPr>
          <w:p>
            <w:r>
              <w:t>72</w:t>
            </w:r>
          </w:p>
        </w:tc>
        <w:tc>
          <w:tcPr>
            <w:tcW w:type="dxa" w:w="1881"/>
          </w:tcPr>
          <w:p>
            <w:r>
              <w:t>1</w:t>
            </w:r>
          </w:p>
        </w:tc>
        <w:tc>
          <w:tcPr>
            <w:tcW w:type="dxa" w:w="1881"/>
          </w:tcPr>
          <w:p>
            <w:r>
              <w:t>+24%</w:t>
            </w:r>
          </w:p>
        </w:tc>
      </w:tr>
      <w:tr>
        <w:tc>
          <w:tcPr>
            <w:tcW w:type="dxa" w:w="1881"/>
          </w:tcPr>
          <w:p>
            <w:r>
              <w:t>Side Effects</w:t>
            </w:r>
          </w:p>
        </w:tc>
        <w:tc>
          <w:tcPr>
            <w:tcW w:type="dxa" w:w="1881"/>
          </w:tcPr>
          <w:p>
            <w:r>
              <w:t>227</w:t>
            </w:r>
          </w:p>
        </w:tc>
        <w:tc>
          <w:tcPr>
            <w:tcW w:type="dxa" w:w="1881"/>
          </w:tcPr>
          <w:p>
            <w:r>
              <w:t>12</w:t>
            </w:r>
          </w:p>
        </w:tc>
        <w:tc>
          <w:tcPr>
            <w:tcW w:type="dxa" w:w="1881"/>
          </w:tcPr>
          <w:p>
            <w:r>
              <w:t>78</w:t>
            </w:r>
          </w:p>
        </w:tc>
        <w:tc>
          <w:tcPr>
            <w:tcW w:type="dxa" w:w="1881"/>
          </w:tcPr>
          <w:p>
            <w:r>
              <w:t>-29%</w:t>
            </w:r>
          </w:p>
        </w:tc>
      </w:tr>
      <w:tr>
        <w:tc>
          <w:tcPr>
            <w:tcW w:type="dxa" w:w="1881"/>
          </w:tcPr>
          <w:p>
            <w:r>
              <w:t>Cost</w:t>
            </w:r>
          </w:p>
        </w:tc>
        <w:tc>
          <w:tcPr>
            <w:tcW w:type="dxa" w:w="1881"/>
          </w:tcPr>
          <w:p>
            <w:r>
              <w:t>205</w:t>
            </w:r>
          </w:p>
        </w:tc>
        <w:tc>
          <w:tcPr>
            <w:tcW w:type="dxa" w:w="1881"/>
          </w:tcPr>
          <w:p>
            <w:r>
              <w:t>32</w:t>
            </w:r>
          </w:p>
        </w:tc>
        <w:tc>
          <w:tcPr>
            <w:tcW w:type="dxa" w:w="1881"/>
          </w:tcPr>
          <w:p>
            <w:r>
              <w:t>27</w:t>
            </w:r>
          </w:p>
        </w:tc>
        <w:tc>
          <w:tcPr>
            <w:tcW w:type="dxa" w:w="1881"/>
          </w:tcPr>
          <w:p>
            <w:r>
              <w:t>+2%</w:t>
            </w:r>
          </w:p>
        </w:tc>
      </w:tr>
      <w:tr>
        <w:tc>
          <w:tcPr>
            <w:tcW w:type="dxa" w:w="1881"/>
          </w:tcPr>
          <w:p>
            <w:r>
              <w:t>Muscle Preservation</w:t>
            </w:r>
          </w:p>
        </w:tc>
        <w:tc>
          <w:tcPr>
            <w:tcW w:type="dxa" w:w="1881"/>
          </w:tcPr>
          <w:p>
            <w:r>
              <w:t>192</w:t>
            </w:r>
          </w:p>
        </w:tc>
        <w:tc>
          <w:tcPr>
            <w:tcW w:type="dxa" w:w="1881"/>
          </w:tcPr>
          <w:p>
            <w:r>
              <w:t>41</w:t>
            </w:r>
          </w:p>
        </w:tc>
        <w:tc>
          <w:tcPr>
            <w:tcW w:type="dxa" w:w="1881"/>
          </w:tcPr>
          <w:p>
            <w:r>
              <w:t>26</w:t>
            </w:r>
          </w:p>
        </w:tc>
        <w:tc>
          <w:tcPr>
            <w:tcW w:type="dxa" w:w="1881"/>
          </w:tcPr>
          <w:p>
            <w:r>
              <w:t>+8%</w:t>
            </w:r>
          </w:p>
        </w:tc>
      </w:tr>
      <w:tr>
        <w:tc>
          <w:tcPr>
            <w:tcW w:type="dxa" w:w="1881"/>
          </w:tcPr>
          <w:p>
            <w:r>
              <w:t>Sustainability</w:t>
            </w:r>
          </w:p>
        </w:tc>
        <w:tc>
          <w:tcPr>
            <w:tcW w:type="dxa" w:w="1881"/>
          </w:tcPr>
          <w:p>
            <w:r>
              <w:t>154</w:t>
            </w:r>
          </w:p>
        </w:tc>
        <w:tc>
          <w:tcPr>
            <w:tcW w:type="dxa" w:w="1881"/>
          </w:tcPr>
          <w:p>
            <w:r>
              <w:t>104</w:t>
            </w:r>
          </w:p>
        </w:tc>
        <w:tc>
          <w:tcPr>
            <w:tcW w:type="dxa" w:w="1881"/>
          </w:tcPr>
          <w:p>
            <w:r>
              <w:t>14</w:t>
            </w:r>
          </w:p>
        </w:tc>
        <w:tc>
          <w:tcPr>
            <w:tcW w:type="dxa" w:w="1881"/>
          </w:tcPr>
          <w:p>
            <w:r>
              <w:t>+58%</w:t>
            </w:r>
          </w:p>
        </w:tc>
      </w:tr>
      <w:tr>
        <w:tc>
          <w:tcPr>
            <w:tcW w:type="dxa" w:w="1881"/>
          </w:tcPr>
          <w:p>
            <w:r>
              <w:t>Natural Alternatives</w:t>
            </w:r>
          </w:p>
        </w:tc>
        <w:tc>
          <w:tcPr>
            <w:tcW w:type="dxa" w:w="1881"/>
          </w:tcPr>
          <w:p>
            <w:r>
              <w:t>141</w:t>
            </w:r>
          </w:p>
        </w:tc>
        <w:tc>
          <w:tcPr>
            <w:tcW w:type="dxa" w:w="1881"/>
          </w:tcPr>
          <w:p>
            <w:r>
              <w:t>110</w:t>
            </w:r>
          </w:p>
        </w:tc>
        <w:tc>
          <w:tcPr>
            <w:tcW w:type="dxa" w:w="1881"/>
          </w:tcPr>
          <w:p>
            <w:r>
              <w:t>1</w:t>
            </w:r>
          </w:p>
        </w:tc>
        <w:tc>
          <w:tcPr>
            <w:tcW w:type="dxa" w:w="1881"/>
          </w:tcPr>
          <w:p>
            <w:r>
              <w:t>+77%</w:t>
            </w:r>
          </w:p>
        </w:tc>
      </w:tr>
      <w:tr>
        <w:tc>
          <w:tcPr>
            <w:tcW w:type="dxa" w:w="1881"/>
          </w:tcPr>
          <w:p>
            <w:r>
              <w:t>Stigma</w:t>
            </w:r>
          </w:p>
        </w:tc>
        <w:tc>
          <w:tcPr>
            <w:tcW w:type="dxa" w:w="1881"/>
          </w:tcPr>
          <w:p>
            <w:r>
              <w:t>91</w:t>
            </w:r>
          </w:p>
        </w:tc>
        <w:tc>
          <w:tcPr>
            <w:tcW w:type="dxa" w:w="1881"/>
          </w:tcPr>
          <w:p>
            <w:r>
              <w:t>0</w:t>
            </w:r>
          </w:p>
        </w:tc>
        <w:tc>
          <w:tcPr>
            <w:tcW w:type="dxa" w:w="1881"/>
          </w:tcPr>
          <w:p>
            <w:r>
              <w:t>65</w:t>
            </w:r>
          </w:p>
        </w:tc>
        <w:tc>
          <w:tcPr>
            <w:tcW w:type="dxa" w:w="1881"/>
          </w:tcPr>
          <w:p>
            <w:r>
              <w:t>-71%</w:t>
            </w:r>
          </w:p>
        </w:tc>
      </w:tr>
    </w:tbl>
    <w:p>
      <w:pPr>
        <w:spacing w:after="120" w:before="0"/>
      </w:pPr>
      <w:r>
        <w:rPr>
          <w:rFonts w:ascii="Lato" w:hAnsi="Lato"/>
          <w:b w:val="0"/>
          <w:i w:val="0"/>
          <w:sz w:val="22"/>
        </w:rPr>
      </w:r>
    </w:p>
    <w:p>
      <w:pPr>
        <w:jc w:val="center"/>
      </w:pPr>
      <w:r>
        <w:drawing>
          <wp:inline xmlns:a="http://schemas.openxmlformats.org/drawingml/2006/main" xmlns:pic="http://schemas.openxmlformats.org/drawingml/2006/picture">
            <wp:extent cx="5029200" cy="2640437"/>
            <wp:docPr id="5" name="Picture 5"/>
            <wp:cNvGraphicFramePr>
              <a:graphicFrameLocks noChangeAspect="1"/>
            </wp:cNvGraphicFramePr>
            <a:graphic>
              <a:graphicData uri="http://schemas.openxmlformats.org/drawingml/2006/picture">
                <pic:pic>
                  <pic:nvPicPr>
                    <pic:cNvPr id="0" name="chart_aspect_heatmap.png"/>
                    <pic:cNvPicPr/>
                  </pic:nvPicPr>
                  <pic:blipFill>
                    <a:blip r:embed="rId13"/>
                    <a:stretch>
                      <a:fillRect/>
                    </a:stretch>
                  </pic:blipFill>
                  <pic:spPr>
                    <a:xfrm>
                      <a:off x="0" y="0"/>
                      <a:ext cx="5029200" cy="2640437"/>
                    </a:xfrm>
                    <a:prstGeom prst="rect"/>
                  </pic:spPr>
                </pic:pic>
              </a:graphicData>
            </a:graphic>
          </wp:inline>
        </w:drawing>
      </w:r>
    </w:p>
    <w:p>
      <w:pPr>
        <w:spacing w:after="240"/>
        <w:jc w:val="center"/>
      </w:pPr>
      <w:r>
        <w:rPr>
          <w:rFonts w:ascii="Lato" w:hAnsi="Lato"/>
          <w:b w:val="0"/>
          <w:i/>
          <w:color w:val="6B7280"/>
          <w:sz w:val="18"/>
        </w:rPr>
        <w:t>Figure 4: Aspect sentiment heatmap (aspects with ≥10 mentions)</w:t>
      </w:r>
    </w:p>
    <w:p>
      <w:r>
        <w:br w:type="page"/>
      </w:r>
    </w:p>
    <w:p>
      <w:pPr>
        <w:pStyle w:val="Heading1"/>
        <w:jc w:val="left"/>
      </w:pPr>
      <w:r>
        <w:rPr>
          <w:rFonts w:ascii="Lato" w:hAnsi="Lato"/>
          <w:b/>
          <w:color w:val="1E3A5F"/>
          <w:sz w:val="44"/>
        </w:rPr>
        <w:t>Insight Landscape</w:t>
      </w:r>
    </w:p>
    <w:p>
      <w:pPr>
        <w:spacing w:after="120" w:before="0"/>
      </w:pPr>
      <w:r>
        <w:rPr>
          <w:rFonts w:ascii="Lato" w:hAnsi="Lato"/>
          <w:b w:val="0"/>
          <w:i w:val="0"/>
          <w:sz w:val="22"/>
        </w:rPr>
        <w:t>12 insights were identified from 1,761 items using a two-pass extraction approach (stratified discovery sample + full-corpus mapping).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spacing w:before="60" w:after="60"/>
            </w:pPr>
            <w:r/>
            <w:r>
              <w:rPr>
                <w:rFonts w:ascii="Lato" w:hAnsi="Lato"/>
                <w:b/>
                <w:i w:val="0"/>
                <w:color w:val="FFFFFF"/>
                <w:sz w:val="20"/>
              </w:rPr>
              <w:t>Insight</w:t>
            </w:r>
          </w:p>
        </w:tc>
        <w:tc>
          <w:tcPr>
            <w:tcW w:type="dxa" w:w="1568"/>
            <w:shd w:val="clear" w:color="auto" w:fill="1E3A5F"/>
          </w:tcPr>
          <w:p>
            <w:pPr>
              <w:spacing w:before="60" w:after="60"/>
            </w:pPr>
            <w:r/>
            <w:r>
              <w:rPr>
                <w:rFonts w:ascii="Lato" w:hAnsi="Lato"/>
                <w:b/>
                <w:i w:val="0"/>
                <w:color w:val="FFFFFF"/>
                <w:sz w:val="20"/>
              </w:rPr>
              <w:t>Items</w:t>
            </w:r>
          </w:p>
        </w:tc>
        <w:tc>
          <w:tcPr>
            <w:tcW w:type="dxa" w:w="1568"/>
            <w:shd w:val="clear" w:color="auto" w:fill="1E3A5F"/>
          </w:tcPr>
          <w:p>
            <w:pPr>
              <w:spacing w:before="60" w:after="60"/>
            </w:pPr>
            <w:r/>
            <w:r>
              <w:rPr>
                <w:rFonts w:ascii="Lato" w:hAnsi="Lato"/>
                <w:b/>
                <w:i w:val="0"/>
                <w:color w:val="FFFFFF"/>
                <w:sz w:val="20"/>
              </w:rPr>
              <w:t>Prevalence in Dataset</w:t>
            </w:r>
          </w:p>
        </w:tc>
        <w:tc>
          <w:tcPr>
            <w:tcW w:type="dxa" w:w="1568"/>
            <w:shd w:val="clear" w:color="auto" w:fill="1E3A5F"/>
          </w:tcPr>
          <w:p>
            <w:pPr>
              <w:spacing w:before="60" w:after="60"/>
            </w:pPr>
            <w:r/>
            <w:r>
              <w:rPr>
                <w:rFonts w:ascii="Lato" w:hAnsi="Lato"/>
                <w:b/>
                <w:i w:val="0"/>
                <w:color w:val="FFFFFF"/>
                <w:sz w:val="20"/>
              </w:rPr>
              <w:t>Signal Strength</w:t>
            </w:r>
          </w:p>
        </w:tc>
        <w:tc>
          <w:tcPr>
            <w:tcW w:type="dxa" w:w="1568"/>
            <w:shd w:val="clear" w:color="auto" w:fill="1E3A5F"/>
          </w:tcPr>
          <w:p>
            <w:pPr>
              <w:spacing w:before="60" w:after="60"/>
            </w:pPr>
            <w:r/>
            <w:r>
              <w:rPr>
                <w:rFonts w:ascii="Lato" w:hAnsi="Lato"/>
                <w:b/>
                <w:i w:val="0"/>
                <w:color w:val="FFFFFF"/>
                <w:sz w:val="20"/>
              </w:rPr>
              <w:t>Confidence Score</w:t>
            </w:r>
          </w:p>
        </w:tc>
        <w:tc>
          <w:tcPr>
            <w:tcW w:type="dxa" w:w="1568"/>
            <w:shd w:val="clear" w:color="auto" w:fill="1E3A5F"/>
          </w:tcPr>
          <w:p>
            <w:pPr>
              <w:spacing w:before="60" w:after="60"/>
            </w:pPr>
            <w:r/>
            <w:r>
              <w:rPr>
                <w:rFonts w:ascii="Lato" w:hAnsi="Lato"/>
                <w:b/>
                <w:i w:val="0"/>
                <w:color w:val="FFFFFF"/>
                <w:sz w:val="20"/>
              </w:rPr>
              <w:t>NSS</w:t>
            </w:r>
          </w:p>
        </w:tc>
      </w:tr>
      <w:tr>
        <w:tc>
          <w:tcPr>
            <w:tcW w:type="dxa" w:w="1568"/>
          </w:tcPr>
          <w:p>
            <w:r>
              <w:t>GLP-1 Medication Efficacy &amp; Personal Journeys</w:t>
            </w:r>
          </w:p>
        </w:tc>
        <w:tc>
          <w:tcPr>
            <w:tcW w:type="dxa" w:w="1568"/>
          </w:tcPr>
          <w:p>
            <w:r>
              <w:t>906</w:t>
            </w:r>
          </w:p>
        </w:tc>
        <w:tc>
          <w:tcPr>
            <w:tcW w:type="dxa" w:w="1568"/>
          </w:tcPr>
          <w:p>
            <w:r>
              <w:t>50.5%</w:t>
            </w:r>
          </w:p>
        </w:tc>
        <w:tc>
          <w:tcPr>
            <w:tcW w:type="dxa" w:w="1568"/>
          </w:tcPr>
          <w:p>
            <w:r>
              <w:t>65% (Moderate)</w:t>
            </w:r>
          </w:p>
        </w:tc>
        <w:tc>
          <w:tcPr>
            <w:tcW w:type="dxa" w:w="1568"/>
          </w:tcPr>
          <w:p>
            <w:r>
              <w:t>73% (Medium)</w:t>
            </w:r>
          </w:p>
        </w:tc>
        <w:tc>
          <w:tcPr>
            <w:tcW w:type="dxa" w:w="1568"/>
          </w:tcPr>
          <w:p>
            <w:r>
              <w:t>+22%</w:t>
            </w:r>
          </w:p>
        </w:tc>
      </w:tr>
      <w:tr>
        <w:tc>
          <w:tcPr>
            <w:tcW w:type="dxa" w:w="1568"/>
          </w:tcPr>
          <w:p>
            <w:r>
              <w:t>India Market Access &amp; Affordability</w:t>
            </w:r>
          </w:p>
        </w:tc>
        <w:tc>
          <w:tcPr>
            <w:tcW w:type="dxa" w:w="1568"/>
          </w:tcPr>
          <w:p>
            <w:r>
              <w:t>774</w:t>
            </w:r>
          </w:p>
        </w:tc>
        <w:tc>
          <w:tcPr>
            <w:tcW w:type="dxa" w:w="1568"/>
          </w:tcPr>
          <w:p>
            <w:r>
              <w:t>43.1%</w:t>
            </w:r>
          </w:p>
        </w:tc>
        <w:tc>
          <w:tcPr>
            <w:tcW w:type="dxa" w:w="1568"/>
          </w:tcPr>
          <w:p>
            <w:r>
              <w:t>66% (Moderate)</w:t>
            </w:r>
          </w:p>
        </w:tc>
        <w:tc>
          <w:tcPr>
            <w:tcW w:type="dxa" w:w="1568"/>
          </w:tcPr>
          <w:p>
            <w:r>
              <w:t>73% (Medium)</w:t>
            </w:r>
          </w:p>
        </w:tc>
        <w:tc>
          <w:tcPr>
            <w:tcW w:type="dxa" w:w="1568"/>
          </w:tcPr>
          <w:p>
            <w:r>
              <w:t>+25%</w:t>
            </w:r>
          </w:p>
        </w:tc>
      </w:tr>
      <w:tr>
        <w:tc>
          <w:tcPr>
            <w:tcW w:type="dxa" w:w="1568"/>
          </w:tcPr>
          <w:p>
            <w:r>
              <w:t>Diet &amp; Nutrition on GLP-1</w:t>
            </w:r>
          </w:p>
        </w:tc>
        <w:tc>
          <w:tcPr>
            <w:tcW w:type="dxa" w:w="1568"/>
          </w:tcPr>
          <w:p>
            <w:r>
              <w:t>709</w:t>
            </w:r>
          </w:p>
        </w:tc>
        <w:tc>
          <w:tcPr>
            <w:tcW w:type="dxa" w:w="1568"/>
          </w:tcPr>
          <w:p>
            <w:r>
              <w:t>39.5%</w:t>
            </w:r>
          </w:p>
        </w:tc>
        <w:tc>
          <w:tcPr>
            <w:tcW w:type="dxa" w:w="1568"/>
          </w:tcPr>
          <w:p>
            <w:r>
              <w:t>72% (Moderate)</w:t>
            </w:r>
          </w:p>
        </w:tc>
        <w:tc>
          <w:tcPr>
            <w:tcW w:type="dxa" w:w="1568"/>
          </w:tcPr>
          <w:p>
            <w:r>
              <w:t>73% (Medium)</w:t>
            </w:r>
          </w:p>
        </w:tc>
        <w:tc>
          <w:tcPr>
            <w:tcW w:type="dxa" w:w="1568"/>
          </w:tcPr>
          <w:p>
            <w:r>
              <w:t>+27%</w:t>
            </w:r>
          </w:p>
        </w:tc>
      </w:tr>
      <w:tr>
        <w:tc>
          <w:tcPr>
            <w:tcW w:type="dxa" w:w="1568"/>
          </w:tcPr>
          <w:p>
            <w:r>
              <w:t>Medical Science &amp; GLP-1 Education</w:t>
            </w:r>
          </w:p>
        </w:tc>
        <w:tc>
          <w:tcPr>
            <w:tcW w:type="dxa" w:w="1568"/>
          </w:tcPr>
          <w:p>
            <w:r>
              <w:t>460</w:t>
            </w:r>
          </w:p>
        </w:tc>
        <w:tc>
          <w:tcPr>
            <w:tcW w:type="dxa" w:w="1568"/>
          </w:tcPr>
          <w:p>
            <w:r>
              <w:t>25.6%</w:t>
            </w:r>
          </w:p>
        </w:tc>
        <w:tc>
          <w:tcPr>
            <w:tcW w:type="dxa" w:w="1568"/>
          </w:tcPr>
          <w:p>
            <w:r>
              <w:t>58% (Moderate)</w:t>
            </w:r>
          </w:p>
        </w:tc>
        <w:tc>
          <w:tcPr>
            <w:tcW w:type="dxa" w:w="1568"/>
          </w:tcPr>
          <w:p>
            <w:r>
              <w:t>70% (Medium)</w:t>
            </w:r>
          </w:p>
        </w:tc>
        <w:tc>
          <w:tcPr>
            <w:tcW w:type="dxa" w:w="1568"/>
          </w:tcPr>
          <w:p>
            <w:r>
              <w:t>+23%</w:t>
            </w:r>
          </w:p>
        </w:tc>
      </w:tr>
      <w:tr>
        <w:tc>
          <w:tcPr>
            <w:tcW w:type="dxa" w:w="1568"/>
          </w:tcPr>
          <w:p>
            <w:r>
              <w:t>Indian Weight Loss Culture &amp; Desi Diet</w:t>
            </w:r>
          </w:p>
        </w:tc>
        <w:tc>
          <w:tcPr>
            <w:tcW w:type="dxa" w:w="1568"/>
          </w:tcPr>
          <w:p>
            <w:r>
              <w:t>400</w:t>
            </w:r>
          </w:p>
        </w:tc>
        <w:tc>
          <w:tcPr>
            <w:tcW w:type="dxa" w:w="1568"/>
          </w:tcPr>
          <w:p>
            <w:r>
              <w:t>22.3%</w:t>
            </w:r>
          </w:p>
        </w:tc>
        <w:tc>
          <w:tcPr>
            <w:tcW w:type="dxa" w:w="1568"/>
          </w:tcPr>
          <w:p>
            <w:r>
              <w:t>64% (Moderate)</w:t>
            </w:r>
          </w:p>
        </w:tc>
        <w:tc>
          <w:tcPr>
            <w:tcW w:type="dxa" w:w="1568"/>
          </w:tcPr>
          <w:p>
            <w:r>
              <w:t>68% (Medium)</w:t>
            </w:r>
          </w:p>
        </w:tc>
        <w:tc>
          <w:tcPr>
            <w:tcW w:type="dxa" w:w="1568"/>
          </w:tcPr>
          <w:p>
            <w:r>
              <w:t>+31%</w:t>
            </w:r>
          </w:p>
        </w:tc>
      </w:tr>
      <w:tr>
        <w:tc>
          <w:tcPr>
            <w:tcW w:type="dxa" w:w="1568"/>
          </w:tcPr>
          <w:p>
            <w:r>
              <w:t>PCOS, Hormones &amp; Women's Health</w:t>
            </w:r>
          </w:p>
        </w:tc>
        <w:tc>
          <w:tcPr>
            <w:tcW w:type="dxa" w:w="1568"/>
          </w:tcPr>
          <w:p>
            <w:r>
              <w:t>288</w:t>
            </w:r>
          </w:p>
        </w:tc>
        <w:tc>
          <w:tcPr>
            <w:tcW w:type="dxa" w:w="1568"/>
          </w:tcPr>
          <w:p>
            <w:r>
              <w:t>16.0%</w:t>
            </w:r>
          </w:p>
        </w:tc>
        <w:tc>
          <w:tcPr>
            <w:tcW w:type="dxa" w:w="1568"/>
          </w:tcPr>
          <w:p>
            <w:r>
              <w:t>65% (Moderate)</w:t>
            </w:r>
          </w:p>
        </w:tc>
        <w:tc>
          <w:tcPr>
            <w:tcW w:type="dxa" w:w="1568"/>
          </w:tcPr>
          <w:p>
            <w:r>
              <w:t>65% (Medium)</w:t>
            </w:r>
          </w:p>
        </w:tc>
        <w:tc>
          <w:tcPr>
            <w:tcW w:type="dxa" w:w="1568"/>
          </w:tcPr>
          <w:p>
            <w:r>
              <w:t>+26%</w:t>
            </w:r>
          </w:p>
        </w:tc>
      </w:tr>
      <w:tr>
        <w:tc>
          <w:tcPr>
            <w:tcW w:type="dxa" w:w="1568"/>
          </w:tcPr>
          <w:p>
            <w:r>
              <w:t>Natural Alternatives &amp; Anti-Medication Stance</w:t>
            </w:r>
          </w:p>
        </w:tc>
        <w:tc>
          <w:tcPr>
            <w:tcW w:type="dxa" w:w="1568"/>
          </w:tcPr>
          <w:p>
            <w:r>
              <w:t>287</w:t>
            </w:r>
          </w:p>
        </w:tc>
        <w:tc>
          <w:tcPr>
            <w:tcW w:type="dxa" w:w="1568"/>
          </w:tcPr>
          <w:p>
            <w:r>
              <w:t>16.0%</w:t>
            </w:r>
          </w:p>
        </w:tc>
        <w:tc>
          <w:tcPr>
            <w:tcW w:type="dxa" w:w="1568"/>
          </w:tcPr>
          <w:p>
            <w:r>
              <w:t>66% (Moderate)</w:t>
            </w:r>
          </w:p>
        </w:tc>
        <w:tc>
          <w:tcPr>
            <w:tcW w:type="dxa" w:w="1568"/>
          </w:tcPr>
          <w:p>
            <w:r>
              <w:t>65% (Medium)</w:t>
            </w:r>
          </w:p>
        </w:tc>
        <w:tc>
          <w:tcPr>
            <w:tcW w:type="dxa" w:w="1568"/>
          </w:tcPr>
          <w:p>
            <w:r>
              <w:t>+26%</w:t>
            </w:r>
          </w:p>
        </w:tc>
      </w:tr>
      <w:tr>
        <w:tc>
          <w:tcPr>
            <w:tcW w:type="dxa" w:w="1568"/>
          </w:tcPr>
          <w:p>
            <w:r>
              <w:t>Side Effects &amp; Health Risks</w:t>
            </w:r>
          </w:p>
        </w:tc>
        <w:tc>
          <w:tcPr>
            <w:tcW w:type="dxa" w:w="1568"/>
          </w:tcPr>
          <w:p>
            <w:r>
              <w:t>271</w:t>
            </w:r>
          </w:p>
        </w:tc>
        <w:tc>
          <w:tcPr>
            <w:tcW w:type="dxa" w:w="1568"/>
          </w:tcPr>
          <w:p>
            <w:r>
              <w:t>15.1%</w:t>
            </w:r>
          </w:p>
        </w:tc>
        <w:tc>
          <w:tcPr>
            <w:tcW w:type="dxa" w:w="1568"/>
          </w:tcPr>
          <w:p>
            <w:r>
              <w:t>59% (Moderate)</w:t>
            </w:r>
          </w:p>
        </w:tc>
        <w:tc>
          <w:tcPr>
            <w:tcW w:type="dxa" w:w="1568"/>
          </w:tcPr>
          <w:p>
            <w:r>
              <w:t>65% (Medium)</w:t>
            </w:r>
          </w:p>
        </w:tc>
        <w:tc>
          <w:tcPr>
            <w:tcW w:type="dxa" w:w="1568"/>
          </w:tcPr>
          <w:p>
            <w:r>
              <w:t>-17%</w:t>
            </w:r>
          </w:p>
        </w:tc>
      </w:tr>
      <w:tr>
        <w:tc>
          <w:tcPr>
            <w:tcW w:type="dxa" w:w="1568"/>
          </w:tcPr>
          <w:p>
            <w:r>
              <w:t>Stigma, Shame &amp; Social Judgment</w:t>
            </w:r>
          </w:p>
        </w:tc>
        <w:tc>
          <w:tcPr>
            <w:tcW w:type="dxa" w:w="1568"/>
          </w:tcPr>
          <w:p>
            <w:r>
              <w:t>266</w:t>
            </w:r>
          </w:p>
        </w:tc>
        <w:tc>
          <w:tcPr>
            <w:tcW w:type="dxa" w:w="1568"/>
          </w:tcPr>
          <w:p>
            <w:r>
              <w:t>14.8%</w:t>
            </w:r>
          </w:p>
        </w:tc>
        <w:tc>
          <w:tcPr>
            <w:tcW w:type="dxa" w:w="1568"/>
          </w:tcPr>
          <w:p>
            <w:r>
              <w:t>65% (Moderate)</w:t>
            </w:r>
          </w:p>
        </w:tc>
        <w:tc>
          <w:tcPr>
            <w:tcW w:type="dxa" w:w="1568"/>
          </w:tcPr>
          <w:p>
            <w:r>
              <w:t>67% (Medium)</w:t>
            </w:r>
          </w:p>
        </w:tc>
        <w:tc>
          <w:tcPr>
            <w:tcW w:type="dxa" w:w="1568"/>
          </w:tcPr>
          <w:p>
            <w:r>
              <w:t>+24%</w:t>
            </w:r>
          </w:p>
        </w:tc>
      </w:tr>
      <w:tr>
        <w:tc>
          <w:tcPr>
            <w:tcW w:type="dxa" w:w="1568"/>
          </w:tcPr>
          <w:p>
            <w:r>
              <w:t>Sustainability &amp; Weight Regain Fears</w:t>
            </w:r>
          </w:p>
        </w:tc>
        <w:tc>
          <w:tcPr>
            <w:tcW w:type="dxa" w:w="1568"/>
          </w:tcPr>
          <w:p>
            <w:r>
              <w:t>217</w:t>
            </w:r>
          </w:p>
        </w:tc>
        <w:tc>
          <w:tcPr>
            <w:tcW w:type="dxa" w:w="1568"/>
          </w:tcPr>
          <w:p>
            <w:r>
              <w:t>12.1%</w:t>
            </w:r>
          </w:p>
        </w:tc>
        <w:tc>
          <w:tcPr>
            <w:tcW w:type="dxa" w:w="1568"/>
          </w:tcPr>
          <w:p>
            <w:r>
              <w:t>70% (Moderate)</w:t>
            </w:r>
          </w:p>
        </w:tc>
        <w:tc>
          <w:tcPr>
            <w:tcW w:type="dxa" w:w="1568"/>
          </w:tcPr>
          <w:p>
            <w:r>
              <w:t>64% (Medium)</w:t>
            </w:r>
          </w:p>
        </w:tc>
        <w:tc>
          <w:tcPr>
            <w:tcW w:type="dxa" w:w="1568"/>
          </w:tcPr>
          <w:p>
            <w:r>
              <w:t>+25%</w:t>
            </w:r>
          </w:p>
        </w:tc>
      </w:tr>
      <w:tr>
        <w:tc>
          <w:tcPr>
            <w:tcW w:type="dxa" w:w="1568"/>
          </w:tcPr>
          <w:p>
            <w:r>
              <w:t>Celebrity &amp; Bollywood Ozempic Speculation</w:t>
            </w:r>
          </w:p>
        </w:tc>
        <w:tc>
          <w:tcPr>
            <w:tcW w:type="dxa" w:w="1568"/>
          </w:tcPr>
          <w:p>
            <w:r>
              <w:t>115</w:t>
            </w:r>
          </w:p>
        </w:tc>
        <w:tc>
          <w:tcPr>
            <w:tcW w:type="dxa" w:w="1568"/>
          </w:tcPr>
          <w:p>
            <w:r>
              <w:t>6.4%</w:t>
            </w:r>
          </w:p>
        </w:tc>
        <w:tc>
          <w:tcPr>
            <w:tcW w:type="dxa" w:w="1568"/>
          </w:tcPr>
          <w:p>
            <w:r>
              <w:t>61% (Moderate)</w:t>
            </w:r>
          </w:p>
        </w:tc>
        <w:tc>
          <w:tcPr>
            <w:tcW w:type="dxa" w:w="1568"/>
          </w:tcPr>
          <w:p>
            <w:r>
              <w:t>60% (Medium)</w:t>
            </w:r>
          </w:p>
        </w:tc>
        <w:tc>
          <w:tcPr>
            <w:tcW w:type="dxa" w:w="1568"/>
          </w:tcPr>
          <w:p>
            <w:r>
              <w:t>+15%</w:t>
            </w:r>
          </w:p>
        </w:tc>
      </w:tr>
      <w:tr>
        <w:tc>
          <w:tcPr>
            <w:tcW w:type="dxa" w:w="1568"/>
          </w:tcPr>
          <w:p>
            <w:r>
              <w:t>Obesity Epidemic &amp; Systemic Food Issues</w:t>
            </w:r>
          </w:p>
        </w:tc>
        <w:tc>
          <w:tcPr>
            <w:tcW w:type="dxa" w:w="1568"/>
          </w:tcPr>
          <w:p>
            <w:r>
              <w:t>103</w:t>
            </w:r>
          </w:p>
        </w:tc>
        <w:tc>
          <w:tcPr>
            <w:tcW w:type="dxa" w:w="1568"/>
          </w:tcPr>
          <w:p>
            <w:r>
              <w:t>5.7%</w:t>
            </w:r>
          </w:p>
        </w:tc>
        <w:tc>
          <w:tcPr>
            <w:tcW w:type="dxa" w:w="1568"/>
          </w:tcPr>
          <w:p>
            <w:r>
              <w:t>45% (Weak)</w:t>
            </w:r>
          </w:p>
        </w:tc>
        <w:tc>
          <w:tcPr>
            <w:tcW w:type="dxa" w:w="1568"/>
          </w:tcPr>
          <w:p>
            <w:r>
              <w:t>61% (Medium)</w:t>
            </w:r>
          </w:p>
        </w:tc>
        <w:tc>
          <w:tcPr>
            <w:tcW w:type="dxa" w:w="1568"/>
          </w:tcPr>
          <w:p>
            <w:r>
              <w:t>+16%</w:t>
            </w:r>
          </w:p>
        </w:tc>
      </w:tr>
    </w:tbl>
    <w:p>
      <w:pPr>
        <w:jc w:val="center"/>
      </w:pPr>
      <w:r>
        <w:drawing>
          <wp:inline xmlns:a="http://schemas.openxmlformats.org/drawingml/2006/main" xmlns:pic="http://schemas.openxmlformats.org/drawingml/2006/picture">
            <wp:extent cx="5029200" cy="3759971"/>
            <wp:docPr id="6" name="Picture 6"/>
            <wp:cNvGraphicFramePr>
              <a:graphicFrameLocks noChangeAspect="1"/>
            </wp:cNvGraphicFramePr>
            <a:graphic>
              <a:graphicData uri="http://schemas.openxmlformats.org/drawingml/2006/picture">
                <pic:pic>
                  <pic:nvPicPr>
                    <pic:cNvPr id="0" name="chart_themes.png"/>
                    <pic:cNvPicPr/>
                  </pic:nvPicPr>
                  <pic:blipFill>
                    <a:blip r:embed="rId14"/>
                    <a:stretch>
                      <a:fillRect/>
                    </a:stretch>
                  </pic:blipFill>
                  <pic:spPr>
                    <a:xfrm>
                      <a:off x="0" y="0"/>
                      <a:ext cx="5029200" cy="3759971"/>
                    </a:xfrm>
                    <a:prstGeom prst="rect"/>
                  </pic:spPr>
                </pic:pic>
              </a:graphicData>
            </a:graphic>
          </wp:inline>
        </w:drawing>
      </w:r>
    </w:p>
    <w:p>
      <w:pPr>
        <w:spacing w:after="240"/>
        <w:jc w:val="center"/>
      </w:pPr>
      <w:r>
        <w:rPr>
          <w:rFonts w:ascii="Lato" w:hAnsi="Lato"/>
          <w:b w:val="0"/>
          <w:i/>
          <w:color w:val="6B7280"/>
          <w:sz w:val="18"/>
        </w:rPr>
        <w:t>Figure 5: Insight prevalence (% of total corpus)</w:t>
      </w:r>
    </w:p>
    <w:p>
      <w:r>
        <w:br w:type="page"/>
      </w:r>
    </w:p>
    <w:p>
      <w:pPr>
        <w:pStyle w:val="Heading1"/>
        <w:jc w:val="left"/>
      </w:pPr>
      <w:r>
        <w:rPr>
          <w:rFonts w:ascii="Lato" w:hAnsi="Lato"/>
          <w:b/>
          <w:color w:val="1E3A5F"/>
          <w:sz w:val="44"/>
        </w:rPr>
        <w:t>Insight Deep Dives</w:t>
      </w:r>
    </w:p>
    <w:p>
      <w:pPr>
        <w:spacing w:after="120" w:before="0"/>
      </w:pPr>
      <w:r>
        <w:rPr>
          <w:rFonts w:ascii="Lato" w:hAnsi="Lato"/>
          <w:b w:val="0"/>
          <w:i w:val="0"/>
          <w:sz w:val="22"/>
        </w:rPr>
        <w:t>One insight per theme, ordered by confidence score. Each insight follows the framework: What the Data Shows, What it Means, Business Implication and Rationale, Recommendation, Further Validation.</w:t>
      </w:r>
    </w:p>
    <w:p>
      <w:pPr>
        <w:pStyle w:val="Heading2"/>
        <w:jc w:val="left"/>
      </w:pPr>
      <w:r>
        <w:rPr>
          <w:rFonts w:ascii="Lato" w:hAnsi="Lato"/>
          <w:b/>
          <w:color w:val="1E3A5F"/>
          <w:sz w:val="32"/>
        </w:rPr>
        <w:t>01. Diet &amp; Nutrition on GLP-1</w:t>
      </w:r>
    </w:p>
    <w:p>
      <w:pPr>
        <w:spacing w:after="160"/>
      </w:pPr>
      <w:r>
        <w:rPr>
          <w:rFonts w:ascii="Lato" w:hAnsi="Lato"/>
          <w:b w:val="0"/>
          <w:i w:val="0"/>
          <w:color w:val="6B7280"/>
          <w:sz w:val="18"/>
        </w:rPr>
        <w:t>n=709</w:t>
      </w:r>
      <w:r>
        <w:rPr>
          <w:rFonts w:ascii="Lato" w:hAnsi="Lato"/>
          <w:b w:val="0"/>
          <w:i w:val="0"/>
          <w:color w:val="374151"/>
          <w:sz w:val="18"/>
        </w:rPr>
        <w:t xml:space="preserve">  |  Confidence: </w:t>
      </w:r>
      <w:r>
        <w:rPr>
          <w:rFonts w:ascii="Lato" w:hAnsi="Lato"/>
          <w:b/>
          <w:i w:val="0"/>
          <w:color w:val="D97706"/>
          <w:sz w:val="18"/>
        </w:rPr>
        <w:t>73% (Medium)</w:t>
      </w:r>
      <w:r>
        <w:rPr>
          <w:rFonts w:ascii="Lato" w:hAnsi="Lato"/>
          <w:b w:val="0"/>
          <w:i w:val="0"/>
          <w:color w:val="374151"/>
          <w:sz w:val="18"/>
        </w:rPr>
        <w:t xml:space="preserve">  |  Signal: </w:t>
      </w:r>
      <w:r>
        <w:rPr>
          <w:rFonts w:ascii="Lato" w:hAnsi="Lato"/>
          <w:b/>
          <w:i w:val="0"/>
          <w:color w:val="374151"/>
          <w:sz w:val="18"/>
        </w:rPr>
        <w:t>72% (Moderate)</w:t>
      </w:r>
      <w:r>
        <w:rPr>
          <w:rFonts w:ascii="Lato" w:hAnsi="Lato"/>
          <w:b w:val="0"/>
          <w:i w:val="0"/>
          <w:color w:val="6B7280"/>
          <w:sz w:val="18"/>
        </w:rPr>
        <w:t xml:space="preserve">  |  39.5% of Dataset</w:t>
      </w:r>
      <w:r>
        <w:rPr>
          <w:rFonts w:ascii="Lato" w:hAnsi="Lato"/>
          <w:b w:val="0"/>
          <w:i w:val="0"/>
          <w:color w:val="6B7280"/>
          <w:sz w:val="18"/>
        </w:rPr>
        <w:t xml:space="preserve">  |  NSS: </w:t>
      </w:r>
      <w:r>
        <w:rPr>
          <w:rFonts w:ascii="Lato" w:hAnsi="Lato"/>
          <w:b/>
          <w:i w:val="0"/>
          <w:color w:val="059669"/>
          <w:sz w:val="18"/>
        </w:rPr>
        <w:t>+27%</w:t>
      </w:r>
    </w:p>
    <w:p>
      <w:pPr>
        <w:jc w:val="center"/>
      </w:pPr>
      <w:r>
        <w:drawing>
          <wp:inline xmlns:a="http://schemas.openxmlformats.org/drawingml/2006/main" xmlns:pic="http://schemas.openxmlformats.org/drawingml/2006/picture">
            <wp:extent cx="3474720" cy="3547185"/>
            <wp:docPr id="7" name="Picture 7"/>
            <wp:cNvGraphicFramePr>
              <a:graphicFrameLocks noChangeAspect="1"/>
            </wp:cNvGraphicFramePr>
            <a:graphic>
              <a:graphicData uri="http://schemas.openxmlformats.org/drawingml/2006/picture">
                <pic:pic>
                  <pic:nvPicPr>
                    <pic:cNvPr id="0" name="chart_radar_INS_007.png"/>
                    <pic:cNvPicPr/>
                  </pic:nvPicPr>
                  <pic:blipFill>
                    <a:blip r:embed="rId15"/>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Diet &amp; Nutrition on GLP-1</w:t>
      </w:r>
    </w:p>
    <w:p>
      <w:pPr>
        <w:pStyle w:val="Heading3"/>
        <w:jc w:val="left"/>
      </w:pPr>
      <w:r>
        <w:rPr>
          <w:rFonts w:ascii="Lato" w:hAnsi="Lato"/>
          <w:b/>
          <w:color w:val="1E3A5F"/>
          <w:sz w:val="26"/>
        </w:rPr>
        <w:t>What the Data Shows</w:t>
      </w:r>
    </w:p>
    <w:p>
      <w:pPr>
        <w:spacing w:after="120" w:before="0"/>
      </w:pPr>
      <w:r>
        <w:rPr>
          <w:rFonts w:ascii="Lato" w:hAnsi="Lato"/>
          <w:b w:val="0"/>
          <w:i w:val="0"/>
          <w:sz w:val="22"/>
        </w:rPr>
        <w:t>Diet and nutrition while on GLP-1 medication is the second-largest theme with 709 mentions (39.5% prevalence). Dominant topics include protein prioritization (hitting 100-150g daily with suppressed appetite), food aversion management, 'food noise' reduction, and practical meal planning. A sub-narrative exists around Indian food compatibility with GLP-1 medication, including concerns about spicy food causing heartburn on Ozempic.</w:t>
      </w:r>
    </w:p>
    <w:p>
      <w:pPr>
        <w:pStyle w:val="Heading3"/>
        <w:jc w:val="left"/>
      </w:pPr>
      <w:r>
        <w:rPr>
          <w:rFonts w:ascii="Lato" w:hAnsi="Lato"/>
          <w:b/>
          <w:color w:val="1E3A5F"/>
          <w:sz w:val="26"/>
        </w:rPr>
        <w:t>What it Means</w:t>
      </w:r>
    </w:p>
    <w:p>
      <w:pPr>
        <w:spacing w:after="120" w:before="0"/>
      </w:pPr>
      <w:r>
        <w:rPr>
          <w:rFonts w:ascii="Lato" w:hAnsi="Lato"/>
          <w:b w:val="0"/>
          <w:i w:val="0"/>
          <w:sz w:val="22"/>
        </w:rPr>
        <w:t>GLP-1 users face a paradox: the medication suppresses appetite effectively, but this creates a nutritional deficit risk where users are not consuming enough protein, vitamins, and calories to maintain muscle mass and overall health. The content reveals that many users are under-eating rather than eating differently, turning appetite suppression into inadvertent malnutrition. Indian users face the additional challenge that traditional vegetarian diets are carbohydrate-heavy, making the protein pivot especially difficult.</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nutrition management gap represents an unmet service opportunity worth capturing before competitors do. GLP-1 patients need not just the medication but a comprehensive nutritional support system - and Indian patients specifically need vegetarian-friendly, high-protein meal plans that work with their cultural food preferences.</w:t>
      </w:r>
    </w:p>
    <w:p>
      <w:pPr>
        <w:pStyle w:val="Heading3"/>
        <w:jc w:val="left"/>
      </w:pPr>
      <w:r>
        <w:rPr>
          <w:rFonts w:ascii="Lato" w:hAnsi="Lato"/>
          <w:b/>
          <w:color w:val="1E3A5F"/>
          <w:sz w:val="26"/>
        </w:rPr>
        <w:t>Recommendation</w:t>
      </w:r>
    </w:p>
    <w:p>
      <w:pPr>
        <w:spacing w:after="120" w:before="0"/>
      </w:pPr>
      <w:r>
        <w:rPr>
          <w:rFonts w:ascii="Lato" w:hAnsi="Lato"/>
          <w:b w:val="0"/>
          <w:i w:val="0"/>
          <w:sz w:val="22"/>
        </w:rPr>
        <w:t>Develop a GLP-1-specific nutrition support program for the Indian market featuring vegetarian and regional meal plans (South Indian, North Indian) optimized for high protein and low volume. Partner with Indian dietitians to create practical content addressing the specific challenge of hitting 100g+ protein on a vegetarian diet with suppressed appetite.</w:t>
      </w:r>
    </w:p>
    <w:p>
      <w:pPr>
        <w:pStyle w:val="Heading3"/>
        <w:jc w:val="left"/>
      </w:pPr>
      <w:r>
        <w:rPr>
          <w:rFonts w:ascii="Lato" w:hAnsi="Lato"/>
          <w:b/>
          <w:color w:val="1E3A5F"/>
          <w:sz w:val="26"/>
        </w:rPr>
        <w:t>Further Validation</w:t>
      </w:r>
    </w:p>
    <w:p>
      <w:pPr>
        <w:spacing w:after="120" w:before="0"/>
      </w:pPr>
      <w:r>
        <w:rPr>
          <w:rFonts w:ascii="Lato" w:hAnsi="Lato"/>
          <w:b w:val="0"/>
          <w:i w:val="0"/>
          <w:sz w:val="22"/>
        </w:rPr>
        <w:t>Survey GLP-1 users in India to quantify protein intake vs. targets and identify the most common nutritional deficiencies. Test whether nutrition support programs improve medication adherence and outcomes.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"Sugars from Fruita definitely the healthiest sugars that you can consume however if you were to eat nothing but fruit all day and being a calorie surplus you could still gain weight."</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"It is also shown that this change can be reversed in two to three generations if the population can have access to a healthy diet. The issue is that the perfectly healthy person will still face these chronic issues because they live in a high stress environment."</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"Calories are irrelevant for some of them.  Try eating 7000 calories worth of butter or oil.  You will not gain 1kg even though 7000 calories equals 1kg of body fat according to science.  I ate 1700 calories more a day for a year and i should have doubled in weight yet i didn't."</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02. India Market Access &amp; Affordability</w:t>
      </w:r>
    </w:p>
    <w:p>
      <w:pPr>
        <w:spacing w:after="160"/>
      </w:pPr>
      <w:r>
        <w:rPr>
          <w:rFonts w:ascii="Lato" w:hAnsi="Lato"/>
          <w:b w:val="0"/>
          <w:i w:val="0"/>
          <w:color w:val="6B7280"/>
          <w:sz w:val="18"/>
        </w:rPr>
        <w:t>n=774</w:t>
      </w:r>
      <w:r>
        <w:rPr>
          <w:rFonts w:ascii="Lato" w:hAnsi="Lato"/>
          <w:b w:val="0"/>
          <w:i w:val="0"/>
          <w:color w:val="374151"/>
          <w:sz w:val="18"/>
        </w:rPr>
        <w:t xml:space="preserve">  |  Confidence: </w:t>
      </w:r>
      <w:r>
        <w:rPr>
          <w:rFonts w:ascii="Lato" w:hAnsi="Lato"/>
          <w:b/>
          <w:i w:val="0"/>
          <w:color w:val="D97706"/>
          <w:sz w:val="18"/>
        </w:rPr>
        <w:t>73% (Medium)</w:t>
      </w:r>
      <w:r>
        <w:rPr>
          <w:rFonts w:ascii="Lato" w:hAnsi="Lato"/>
          <w:b w:val="0"/>
          <w:i w:val="0"/>
          <w:color w:val="374151"/>
          <w:sz w:val="18"/>
        </w:rPr>
        <w:t xml:space="preserve">  |  Signal: </w:t>
      </w:r>
      <w:r>
        <w:rPr>
          <w:rFonts w:ascii="Lato" w:hAnsi="Lato"/>
          <w:b/>
          <w:i w:val="0"/>
          <w:color w:val="374151"/>
          <w:sz w:val="18"/>
        </w:rPr>
        <w:t>66% (Moderate)</w:t>
      </w:r>
      <w:r>
        <w:rPr>
          <w:rFonts w:ascii="Lato" w:hAnsi="Lato"/>
          <w:b w:val="0"/>
          <w:i w:val="0"/>
          <w:color w:val="6B7280"/>
          <w:sz w:val="18"/>
        </w:rPr>
        <w:t xml:space="preserve">  |  43.1% of Dataset</w:t>
      </w:r>
      <w:r>
        <w:rPr>
          <w:rFonts w:ascii="Lato" w:hAnsi="Lato"/>
          <w:b w:val="0"/>
          <w:i w:val="0"/>
          <w:color w:val="6B7280"/>
          <w:sz w:val="18"/>
        </w:rPr>
        <w:t xml:space="preserve">  |  NSS: </w:t>
      </w:r>
      <w:r>
        <w:rPr>
          <w:rFonts w:ascii="Lato" w:hAnsi="Lato"/>
          <w:b/>
          <w:i w:val="0"/>
          <w:color w:val="059669"/>
          <w:sz w:val="18"/>
        </w:rPr>
        <w:t>+25%</w:t>
      </w:r>
    </w:p>
    <w:p>
      <w:pPr>
        <w:jc w:val="center"/>
      </w:pPr>
      <w:r>
        <w:drawing>
          <wp:inline xmlns:a="http://schemas.openxmlformats.org/drawingml/2006/main" xmlns:pic="http://schemas.openxmlformats.org/drawingml/2006/picture">
            <wp:extent cx="3474720" cy="3547185"/>
            <wp:docPr id="8" name="Picture 8"/>
            <wp:cNvGraphicFramePr>
              <a:graphicFrameLocks noChangeAspect="1"/>
            </wp:cNvGraphicFramePr>
            <a:graphic>
              <a:graphicData uri="http://schemas.openxmlformats.org/drawingml/2006/picture">
                <pic:pic>
                  <pic:nvPicPr>
                    <pic:cNvPr id="0" name="chart_radar_INS_003.png"/>
                    <pic:cNvPicPr/>
                  </pic:nvPicPr>
                  <pic:blipFill>
                    <a:blip r:embed="rId16"/>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India Market Access &amp; Affordability</w:t>
      </w:r>
    </w:p>
    <w:p>
      <w:pPr>
        <w:pStyle w:val="Heading3"/>
        <w:jc w:val="left"/>
      </w:pPr>
      <w:r>
        <w:rPr>
          <w:rFonts w:ascii="Lato" w:hAnsi="Lato"/>
          <w:b/>
          <w:color w:val="1E3A5F"/>
          <w:sz w:val="26"/>
        </w:rPr>
        <w:t>What the Data Shows</w:t>
      </w:r>
    </w:p>
    <w:p>
      <w:pPr>
        <w:spacing w:after="120" w:before="0"/>
      </w:pPr>
      <w:r>
        <w:rPr>
          <w:rFonts w:ascii="Lato" w:hAnsi="Lato"/>
          <w:b w:val="0"/>
          <w:i w:val="0"/>
          <w:sz w:val="22"/>
        </w:rPr>
        <w:t>India-specific market access and affordability discussion involves 774 mentions (43.12% prevalence). Key topics include the Mounjaro launch in India, cost concerns (perceived as expensive), where to find prescribing doctors in specific Indian cities (Delhi, Mumbai, Bangalore, Hyderabad), patent expiration timelines for generics, and the emergence of platforms like Sugar.fit offering doctor-guided GLP-1 programs.</w:t>
      </w:r>
    </w:p>
    <w:p>
      <w:pPr>
        <w:pStyle w:val="Heading3"/>
        <w:jc w:val="left"/>
      </w:pPr>
      <w:r>
        <w:rPr>
          <w:rFonts w:ascii="Lato" w:hAnsi="Lato"/>
          <w:b/>
          <w:color w:val="1E3A5F"/>
          <w:sz w:val="26"/>
        </w:rPr>
        <w:t>What it Means</w:t>
      </w:r>
    </w:p>
    <w:p>
      <w:pPr>
        <w:spacing w:after="120" w:before="0"/>
      </w:pPr>
      <w:r>
        <w:rPr>
          <w:rFonts w:ascii="Lato" w:hAnsi="Lato"/>
          <w:b w:val="0"/>
          <w:i w:val="0"/>
          <w:sz w:val="22"/>
        </w:rPr>
        <w:t>Indian consumers face a triple access barrier: cost (perceived as unaffordable for the middle class), medical gatekeeping (difficulty finding doctors willing to prescribe for weight loss vs. diabetes), and information asymmetry (not knowing which medications are available in India vs. abroad). The patent expiration narrative creates a 'wait and see' attitude among price-sensitive consumers who believe generics will make these drugs accessible soon.</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Indian GLP-1 market is at an inflection point where affordability and doctor education will determine adoption velocity. First-to-generic and first-to-prescribe-access will capture the massive latent demand visible in the data. The emergence of telehealth GLP-1 platforms signals that traditional pharma distribution may be disrupted.</w:t>
      </w:r>
    </w:p>
    <w:p>
      <w:pPr>
        <w:pStyle w:val="Heading3"/>
        <w:jc w:val="left"/>
      </w:pPr>
      <w:r>
        <w:rPr>
          <w:rFonts w:ascii="Lato" w:hAnsi="Lato"/>
          <w:b/>
          <w:color w:val="1E3A5F"/>
          <w:sz w:val="26"/>
        </w:rPr>
        <w:t>Recommendation</w:t>
      </w:r>
    </w:p>
    <w:p>
      <w:pPr>
        <w:spacing w:after="120" w:before="0"/>
      </w:pPr>
      <w:r>
        <w:rPr>
          <w:rFonts w:ascii="Lato" w:hAnsi="Lato"/>
          <w:b w:val="0"/>
          <w:i w:val="0"/>
          <w:sz w:val="22"/>
        </w:rPr>
        <w:t>For pharma companies: prioritize generic timeline communication and patient assistance programs for the Indian market. For healthcare platforms: invest in endocrinologist education programs to expand the prescriber base beyond metro cities. Track the Sugar.fit model as a potential distribution channel disruption.</w:t>
      </w:r>
    </w:p>
    <w:p>
      <w:pPr>
        <w:pStyle w:val="Heading3"/>
        <w:jc w:val="left"/>
      </w:pPr>
      <w:r>
        <w:rPr>
          <w:rFonts w:ascii="Lato" w:hAnsi="Lato"/>
          <w:b/>
          <w:color w:val="1E3A5F"/>
          <w:sz w:val="26"/>
        </w:rPr>
        <w:t>Further Validation</w:t>
      </w:r>
    </w:p>
    <w:p>
      <w:pPr>
        <w:spacing w:after="120" w:before="0"/>
      </w:pPr>
      <w:r>
        <w:rPr>
          <w:rFonts w:ascii="Lato" w:hAnsi="Lato"/>
          <w:b w:val="0"/>
          <w:i w:val="0"/>
          <w:sz w:val="22"/>
        </w:rPr>
        <w:t>Quantitative survey of Indian consumers to establish willingness-to-pay thresholds at different price points and the impact of generic availability announcements on purchase intent.</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"I've never seen one of those! Interesting; thanks for sharing.</w:t>
        <w:br/>
        <w:br/>
        <w:t>What oil do you use for cooking Indian food usually? Why not just use that instead of olive oil? (I love olive oil, don't get me wrong. I usually need something with a higher smoking point and generally prefer the flavor of peanut oil for Indian food, though.)"</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 xml:space="preserve">""To join download our app - IWLD - Indian Weight Loss Diet - </w:t>
        <w:br/>
        <w:t>Join karne k liye IWLD app download karo -</w:t>
        <w:br/>
        <w:t>WhatsApp: ‪+91 8956557753‬ ""</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03. GLP-1 Medication Efficacy &amp; Personal Journeys</w:t>
      </w:r>
    </w:p>
    <w:p>
      <w:pPr>
        <w:spacing w:after="160"/>
      </w:pPr>
      <w:r>
        <w:rPr>
          <w:rFonts w:ascii="Lato" w:hAnsi="Lato"/>
          <w:b w:val="0"/>
          <w:i w:val="0"/>
          <w:color w:val="6B7280"/>
          <w:sz w:val="18"/>
        </w:rPr>
        <w:t>n=906</w:t>
      </w:r>
      <w:r>
        <w:rPr>
          <w:rFonts w:ascii="Lato" w:hAnsi="Lato"/>
          <w:b w:val="0"/>
          <w:i w:val="0"/>
          <w:color w:val="374151"/>
          <w:sz w:val="18"/>
        </w:rPr>
        <w:t xml:space="preserve">  |  Confidence: </w:t>
      </w:r>
      <w:r>
        <w:rPr>
          <w:rFonts w:ascii="Lato" w:hAnsi="Lato"/>
          <w:b/>
          <w:i w:val="0"/>
          <w:color w:val="D97706"/>
          <w:sz w:val="18"/>
        </w:rPr>
        <w:t>73% (Medium)</w:t>
      </w:r>
      <w:r>
        <w:rPr>
          <w:rFonts w:ascii="Lato" w:hAnsi="Lato"/>
          <w:b w:val="0"/>
          <w:i w:val="0"/>
          <w:color w:val="374151"/>
          <w:sz w:val="18"/>
        </w:rPr>
        <w:t xml:space="preserve">  |  Signal: </w:t>
      </w:r>
      <w:r>
        <w:rPr>
          <w:rFonts w:ascii="Lato" w:hAnsi="Lato"/>
          <w:b/>
          <w:i w:val="0"/>
          <w:color w:val="374151"/>
          <w:sz w:val="18"/>
        </w:rPr>
        <w:t>65% (Moderate)</w:t>
      </w:r>
      <w:r>
        <w:rPr>
          <w:rFonts w:ascii="Lato" w:hAnsi="Lato"/>
          <w:b w:val="0"/>
          <w:i w:val="0"/>
          <w:color w:val="6B7280"/>
          <w:sz w:val="18"/>
        </w:rPr>
        <w:t xml:space="preserve">  |  50.5% of Dataset</w:t>
      </w:r>
      <w:r>
        <w:rPr>
          <w:rFonts w:ascii="Lato" w:hAnsi="Lato"/>
          <w:b w:val="0"/>
          <w:i w:val="0"/>
          <w:color w:val="6B7280"/>
          <w:sz w:val="18"/>
        </w:rPr>
        <w:t xml:space="preserve">  |  NSS: </w:t>
      </w:r>
      <w:r>
        <w:rPr>
          <w:rFonts w:ascii="Lato" w:hAnsi="Lato"/>
          <w:b/>
          <w:i w:val="0"/>
          <w:color w:val="059669"/>
          <w:sz w:val="18"/>
        </w:rPr>
        <w:t>+22%</w:t>
      </w:r>
    </w:p>
    <w:p>
      <w:pPr>
        <w:jc w:val="center"/>
      </w:pPr>
      <w:r>
        <w:drawing>
          <wp:inline xmlns:a="http://schemas.openxmlformats.org/drawingml/2006/main" xmlns:pic="http://schemas.openxmlformats.org/drawingml/2006/picture">
            <wp:extent cx="3474720" cy="3547185"/>
            <wp:docPr id="9" name="Picture 9"/>
            <wp:cNvGraphicFramePr>
              <a:graphicFrameLocks noChangeAspect="1"/>
            </wp:cNvGraphicFramePr>
            <a:graphic>
              <a:graphicData uri="http://schemas.openxmlformats.org/drawingml/2006/picture">
                <pic:pic>
                  <pic:nvPicPr>
                    <pic:cNvPr id="0" name="chart_radar_INS_001.png"/>
                    <pic:cNvPicPr/>
                  </pic:nvPicPr>
                  <pic:blipFill>
                    <a:blip r:embed="rId17"/>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GLP-1 Medication Efficacy &amp; Personal Journeys</w:t>
      </w:r>
    </w:p>
    <w:p>
      <w:pPr>
        <w:pStyle w:val="Heading3"/>
        <w:jc w:val="left"/>
      </w:pPr>
      <w:r>
        <w:rPr>
          <w:rFonts w:ascii="Lato" w:hAnsi="Lato"/>
          <w:b/>
          <w:color w:val="1E3A5F"/>
          <w:sz w:val="26"/>
        </w:rPr>
        <w:t>What the Data Shows</w:t>
      </w:r>
    </w:p>
    <w:p>
      <w:pPr>
        <w:spacing w:after="120" w:before="0"/>
      </w:pPr>
      <w:r>
        <w:rPr>
          <w:rFonts w:ascii="Lato" w:hAnsi="Lato"/>
          <w:b w:val="0"/>
          <w:i w:val="0"/>
          <w:sz w:val="22"/>
        </w:rPr>
        <w:t>GLP-1 medications dominate the weight loss conversation with 906 consumer mentions (50.47% prevalence). Personal journey narratives - weekly weigh-ins, dose titration updates, before-and-after stories - constitute the largest content category. Sentiment skews positive (NSS +0.22) with consumers reporting significant weight loss (10-25kg over 3-6 months). Indian users on Mounjaro (tirzepatide) are particularly active, sharing weekly progress with specific metrics.</w:t>
      </w:r>
    </w:p>
    <w:p>
      <w:pPr>
        <w:pStyle w:val="Heading3"/>
        <w:jc w:val="left"/>
      </w:pPr>
      <w:r>
        <w:rPr>
          <w:rFonts w:ascii="Lato" w:hAnsi="Lato"/>
          <w:b/>
          <w:color w:val="1E3A5F"/>
          <w:sz w:val="26"/>
        </w:rPr>
        <w:t>What it Means</w:t>
      </w:r>
    </w:p>
    <w:p>
      <w:pPr>
        <w:spacing w:after="120" w:before="0"/>
      </w:pPr>
      <w:r>
        <w:rPr>
          <w:rFonts w:ascii="Lato" w:hAnsi="Lato"/>
          <w:b w:val="0"/>
          <w:i w:val="0"/>
          <w:sz w:val="22"/>
        </w:rPr>
        <w:t>Consumers treat GLP-1 medications as a shared journey rather than a private medical decision. The public documentation of dose changes, side effects, and weekly weigh-ins creates a peer-support ecosystem that pharmaceutical marketing cannot replicate. This transparency signals that users want community validation and accountability, not just clinical information.</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peer-narrative ecosystem is the primary trust-building mechanism for GLP-1 adoption in India. Brands that enable and amplify authentic user stories will capture first-mover advantage in a market where clinical authority alone is insufficient to overcome cultural resistance to weight loss medication.</w:t>
      </w:r>
    </w:p>
    <w:p>
      <w:pPr>
        <w:pStyle w:val="Heading3"/>
        <w:jc w:val="left"/>
      </w:pPr>
      <w:r>
        <w:rPr>
          <w:rFonts w:ascii="Lato" w:hAnsi="Lato"/>
          <w:b/>
          <w:color w:val="1E3A5F"/>
          <w:sz w:val="26"/>
        </w:rPr>
        <w:t>Recommendation</w:t>
      </w:r>
    </w:p>
    <w:p>
      <w:pPr>
        <w:spacing w:after="120" w:before="0"/>
      </w:pPr>
      <w:r>
        <w:rPr>
          <w:rFonts w:ascii="Lato" w:hAnsi="Lato"/>
          <w:b w:val="0"/>
          <w:i w:val="0"/>
          <w:sz w:val="22"/>
        </w:rPr>
        <w:t>Build a platform or community feature that facilitates structured journey-sharing (weekly updates, milestone tracking) for GLP-1 users in India. Partner with early Indian adopters (like the Himani from India Mounjaro chronicle seen across Instagram) as authentic ambassadors rather than paid influencers.</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structured survey among Indian GLP-1 users to quantify the role of peer narratives vs. doctor recommendations in adoption decisions. Track whether journey-sharing correlates with medication adherence.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 xml:space="preserve">"I think I’m mostly **Vata-Pitta** - light, active mind with some fiery focus. Still learning and tuning in, but grounding routines have helped a lot 🌿  </w:t>
        <w:br/>
        <w:t xml:space="preserve">  </w:t>
        <w:br/>
        <w:t>It’s like your body’s natural blueprint in Ayurveda - made up of **Vata**, **Pitta**, and **Kapha**. Each person has a mix, and knowing yours helps with food, habits, and balance. I’m still learning, but it’s been super eye-opening 🌿"</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"So happy the patent is set to expire in 2026. Which means we will see low cost generic semaglutide by 2027."</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"Well here i dont agree. Its a life saving drug for many. Please dont post it as a cosmetic option. Its only prescribed to ppl with morbid obesity and insulin resistance. I understand mis use happens. But still the benefits are far greater for ppl who actually need it. Lets not vilify a drug"</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04. Medical Science &amp; GLP-1 Education</w:t>
      </w:r>
    </w:p>
    <w:p>
      <w:pPr>
        <w:spacing w:after="160"/>
      </w:pPr>
      <w:r>
        <w:rPr>
          <w:rFonts w:ascii="Lato" w:hAnsi="Lato"/>
          <w:b w:val="0"/>
          <w:i w:val="0"/>
          <w:color w:val="6B7280"/>
          <w:sz w:val="18"/>
        </w:rPr>
        <w:t>n=460</w:t>
      </w:r>
      <w:r>
        <w:rPr>
          <w:rFonts w:ascii="Lato" w:hAnsi="Lato"/>
          <w:b w:val="0"/>
          <w:i w:val="0"/>
          <w:color w:val="374151"/>
          <w:sz w:val="18"/>
        </w:rPr>
        <w:t xml:space="preserve">  |  Confidence: </w:t>
      </w:r>
      <w:r>
        <w:rPr>
          <w:rFonts w:ascii="Lato" w:hAnsi="Lato"/>
          <w:b/>
          <w:i w:val="0"/>
          <w:color w:val="D97706"/>
          <w:sz w:val="18"/>
        </w:rPr>
        <w:t>70% (Medium)</w:t>
      </w:r>
      <w:r>
        <w:rPr>
          <w:rFonts w:ascii="Lato" w:hAnsi="Lato"/>
          <w:b w:val="0"/>
          <w:i w:val="0"/>
          <w:color w:val="374151"/>
          <w:sz w:val="18"/>
        </w:rPr>
        <w:t xml:space="preserve">  |  Signal: </w:t>
      </w:r>
      <w:r>
        <w:rPr>
          <w:rFonts w:ascii="Lato" w:hAnsi="Lato"/>
          <w:b/>
          <w:i w:val="0"/>
          <w:color w:val="374151"/>
          <w:sz w:val="18"/>
        </w:rPr>
        <w:t>58% (Moderate)</w:t>
      </w:r>
      <w:r>
        <w:rPr>
          <w:rFonts w:ascii="Lato" w:hAnsi="Lato"/>
          <w:b w:val="0"/>
          <w:i w:val="0"/>
          <w:color w:val="6B7280"/>
          <w:sz w:val="18"/>
        </w:rPr>
        <w:t xml:space="preserve">  |  25.6% of Dataset</w:t>
      </w:r>
      <w:r>
        <w:rPr>
          <w:rFonts w:ascii="Lato" w:hAnsi="Lato"/>
          <w:b w:val="0"/>
          <w:i w:val="0"/>
          <w:color w:val="6B7280"/>
          <w:sz w:val="18"/>
        </w:rPr>
        <w:t xml:space="preserve">  |  NSS: </w:t>
      </w:r>
      <w:r>
        <w:rPr>
          <w:rFonts w:ascii="Lato" w:hAnsi="Lato"/>
          <w:b/>
          <w:i w:val="0"/>
          <w:color w:val="059669"/>
          <w:sz w:val="18"/>
        </w:rPr>
        <w:t>+23%</w:t>
      </w:r>
    </w:p>
    <w:p>
      <w:pPr>
        <w:jc w:val="center"/>
      </w:pPr>
      <w:r>
        <w:drawing>
          <wp:inline xmlns:a="http://schemas.openxmlformats.org/drawingml/2006/main" xmlns:pic="http://schemas.openxmlformats.org/drawingml/2006/picture">
            <wp:extent cx="3474720" cy="3547185"/>
            <wp:docPr id="10" name="Picture 10"/>
            <wp:cNvGraphicFramePr>
              <a:graphicFrameLocks noChangeAspect="1"/>
            </wp:cNvGraphicFramePr>
            <a:graphic>
              <a:graphicData uri="http://schemas.openxmlformats.org/drawingml/2006/picture">
                <pic:pic>
                  <pic:nvPicPr>
                    <pic:cNvPr id="0" name="chart_radar_INS_010.png"/>
                    <pic:cNvPicPr/>
                  </pic:nvPicPr>
                  <pic:blipFill>
                    <a:blip r:embed="rId18"/>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Medical Science &amp; GLP-1 Education</w:t>
      </w:r>
    </w:p>
    <w:p>
      <w:pPr>
        <w:pStyle w:val="Heading3"/>
        <w:jc w:val="left"/>
      </w:pPr>
      <w:r>
        <w:rPr>
          <w:rFonts w:ascii="Lato" w:hAnsi="Lato"/>
          <w:b/>
          <w:color w:val="1E3A5F"/>
          <w:sz w:val="26"/>
        </w:rPr>
        <w:t>What the Data Shows</w:t>
      </w:r>
    </w:p>
    <w:p>
      <w:pPr>
        <w:spacing w:after="120" w:before="0"/>
      </w:pPr>
      <w:r>
        <w:rPr>
          <w:rFonts w:ascii="Lato" w:hAnsi="Lato"/>
          <w:b w:val="0"/>
          <w:i w:val="0"/>
          <w:sz w:val="22"/>
        </w:rPr>
        <w:t>Medical science and GLP-1 education content comprises 460 mentions (25.63% prevalence). Content includes doctor-led explanations of GLP-1 mechanisms, clinical trial citations (SELECT trial, cardiovascular benefits), insulin resistance education, and distinctions between diabetes treatment vs. weight loss indication. Indian doctors on Instagram are actively educating about Mounjaro's dual GIP/GLP-1 mechanism.</w:t>
      </w:r>
    </w:p>
    <w:p>
      <w:pPr>
        <w:pStyle w:val="Heading3"/>
        <w:jc w:val="left"/>
      </w:pPr>
      <w:r>
        <w:rPr>
          <w:rFonts w:ascii="Lato" w:hAnsi="Lato"/>
          <w:b/>
          <w:color w:val="1E3A5F"/>
          <w:sz w:val="26"/>
        </w:rPr>
        <w:t>What it Means</w:t>
      </w:r>
    </w:p>
    <w:p>
      <w:pPr>
        <w:spacing w:after="120" w:before="0"/>
      </w:pPr>
      <w:r>
        <w:rPr>
          <w:rFonts w:ascii="Lato" w:hAnsi="Lato"/>
          <w:b w:val="0"/>
          <w:i w:val="0"/>
          <w:sz w:val="22"/>
        </w:rPr>
        <w:t>There is a significant consumer appetite for medical education about GLP-1 mechanisms, but the information landscape is bifurcated: clinical content that is too technical for lay consumers, and influencer content that oversimplifies or misinforms. The gap between these creates confusion - consumers cannot evaluate whether claims like 'Ozempic is basically a starvation diet' or 'GLP-1 medications lose 50% muscle mass' are accurate. Indian medical professionals are stepping into this gap on social media but lack the reach of lifestyle influencers.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medical education gap is a credibility battleground. Whoever controls the narrative about how GLP-1 medications actually work - their mechanisms, their limitations, their proper use - will shape market adoption. Currently, misinformation has a reach advantage over accurate medical content.</w:t>
      </w:r>
    </w:p>
    <w:p>
      <w:pPr>
        <w:pStyle w:val="Heading3"/>
        <w:jc w:val="left"/>
      </w:pPr>
      <w:r>
        <w:rPr>
          <w:rFonts w:ascii="Lato" w:hAnsi="Lato"/>
          <w:b/>
          <w:color w:val="1E3A5F"/>
          <w:sz w:val="26"/>
        </w:rPr>
        <w:t>Recommendation</w:t>
      </w:r>
    </w:p>
    <w:p>
      <w:pPr>
        <w:spacing w:after="120" w:before="0"/>
      </w:pPr>
      <w:r>
        <w:rPr>
          <w:rFonts w:ascii="Lato" w:hAnsi="Lato"/>
          <w:b w:val="0"/>
          <w:i w:val="0"/>
          <w:sz w:val="22"/>
        </w:rPr>
        <w:t>Fund and amplify Indian endocrinologist and obesity medicine specialist content creators. Create a standardized medical education framework in multiple Indian languages that addresses the top 10 consumer misconceptions visible in the data (starvation diet myth, 50% muscle loss claim, lifelong dependency assumption). Distribute through existing healthcare platforms, not just social media.</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a knowledge assessment survey among Indian consumers considering GLP-1 medications to identify the most prevalent misconceptions and their impact on adoption decisions.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"please review the mechanism of action of these medications and its affect on Glucagon/Insulin levels in the human body before making further statements as yours is only partially correct leading  to incorrect assumption."</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 xml:space="preserve">"So… he tested you and determined that you weren’t pregnant? </w:t>
        <w:br/>
        <w:br/>
        <w:t>The initial part about possible pregnancy was a differential diagnosis that he ruled out with evidence"</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"I need help. I want help. I don’t know where to start. But seeing your success gives me hope. I see my doctor soon and will inquire of this. You look amazing. 😍😍😍"</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05. Indian Weight Loss Culture &amp; Desi Diet</w:t>
      </w:r>
    </w:p>
    <w:p>
      <w:pPr>
        <w:spacing w:after="160"/>
      </w:pPr>
      <w:r>
        <w:rPr>
          <w:rFonts w:ascii="Lato" w:hAnsi="Lato"/>
          <w:b w:val="0"/>
          <w:i w:val="0"/>
          <w:color w:val="6B7280"/>
          <w:sz w:val="18"/>
        </w:rPr>
        <w:t>n=400</w:t>
      </w:r>
      <w:r>
        <w:rPr>
          <w:rFonts w:ascii="Lato" w:hAnsi="Lato"/>
          <w:b w:val="0"/>
          <w:i w:val="0"/>
          <w:color w:val="374151"/>
          <w:sz w:val="18"/>
        </w:rPr>
        <w:t xml:space="preserve">  |  Confidence: </w:t>
      </w:r>
      <w:r>
        <w:rPr>
          <w:rFonts w:ascii="Lato" w:hAnsi="Lato"/>
          <w:b/>
          <w:i w:val="0"/>
          <w:color w:val="D97706"/>
          <w:sz w:val="18"/>
        </w:rPr>
        <w:t>68% (Medium)</w:t>
      </w:r>
      <w:r>
        <w:rPr>
          <w:rFonts w:ascii="Lato" w:hAnsi="Lato"/>
          <w:b w:val="0"/>
          <w:i w:val="0"/>
          <w:color w:val="374151"/>
          <w:sz w:val="18"/>
        </w:rPr>
        <w:t xml:space="preserve">  |  Signal: </w:t>
      </w:r>
      <w:r>
        <w:rPr>
          <w:rFonts w:ascii="Lato" w:hAnsi="Lato"/>
          <w:b/>
          <w:i w:val="0"/>
          <w:color w:val="374151"/>
          <w:sz w:val="18"/>
        </w:rPr>
        <w:t>64% (Moderate)</w:t>
      </w:r>
      <w:r>
        <w:rPr>
          <w:rFonts w:ascii="Lato" w:hAnsi="Lato"/>
          <w:b w:val="0"/>
          <w:i w:val="0"/>
          <w:color w:val="6B7280"/>
          <w:sz w:val="18"/>
        </w:rPr>
        <w:t xml:space="preserve">  |  22.3% of Dataset</w:t>
      </w:r>
      <w:r>
        <w:rPr>
          <w:rFonts w:ascii="Lato" w:hAnsi="Lato"/>
          <w:b w:val="0"/>
          <w:i w:val="0"/>
          <w:color w:val="6B7280"/>
          <w:sz w:val="18"/>
        </w:rPr>
        <w:t xml:space="preserve">  |  NSS: </w:t>
      </w:r>
      <w:r>
        <w:rPr>
          <w:rFonts w:ascii="Lato" w:hAnsi="Lato"/>
          <w:b/>
          <w:i w:val="0"/>
          <w:color w:val="059669"/>
          <w:sz w:val="18"/>
        </w:rPr>
        <w:t>+31%</w:t>
      </w:r>
    </w:p>
    <w:p>
      <w:pPr>
        <w:jc w:val="center"/>
      </w:pPr>
      <w:r>
        <w:drawing>
          <wp:inline xmlns:a="http://schemas.openxmlformats.org/drawingml/2006/main" xmlns:pic="http://schemas.openxmlformats.org/drawingml/2006/picture">
            <wp:extent cx="3474720" cy="3547185"/>
            <wp:docPr id="11" name="Picture 11"/>
            <wp:cNvGraphicFramePr>
              <a:graphicFrameLocks noChangeAspect="1"/>
            </wp:cNvGraphicFramePr>
            <a:graphic>
              <a:graphicData uri="http://schemas.openxmlformats.org/drawingml/2006/picture">
                <pic:pic>
                  <pic:nvPicPr>
                    <pic:cNvPr id="0" name="chart_radar_INS_009.png"/>
                    <pic:cNvPicPr/>
                  </pic:nvPicPr>
                  <pic:blipFill>
                    <a:blip r:embed="rId19"/>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Indian Weight Loss Culture &amp; Desi Diet</w:t>
      </w:r>
    </w:p>
    <w:p>
      <w:pPr>
        <w:pStyle w:val="Heading3"/>
        <w:jc w:val="left"/>
      </w:pPr>
      <w:r>
        <w:rPr>
          <w:rFonts w:ascii="Lato" w:hAnsi="Lato"/>
          <w:b/>
          <w:color w:val="1E3A5F"/>
          <w:sz w:val="26"/>
        </w:rPr>
        <w:t>What the Data Shows</w:t>
      </w:r>
    </w:p>
    <w:p>
      <w:pPr>
        <w:spacing w:after="120" w:before="0"/>
      </w:pPr>
      <w:r>
        <w:rPr>
          <w:rFonts w:ascii="Lato" w:hAnsi="Lato"/>
          <w:b w:val="0"/>
          <w:i w:val="0"/>
          <w:sz w:val="22"/>
        </w:rPr>
        <w:t>Indian weight loss culture and desi diet discussions generate 400 mentions (22.28% prevalence). Topics include Indian-specific diet plans (1200-1500 calorie vegetarian plans), protein challenges for vegetarians (paneer, soya chunks, dal, tofu), cultural food practices (ghee, oil content in cooking), and Indian fitness influencers promoting calorie deficit approaches. Content spans English, Hindi, Hinglish, Tamil, Telugu, and Kannada.</w:t>
      </w:r>
    </w:p>
    <w:p>
      <w:pPr>
        <w:pStyle w:val="Heading3"/>
        <w:jc w:val="left"/>
      </w:pPr>
      <w:r>
        <w:rPr>
          <w:rFonts w:ascii="Lato" w:hAnsi="Lato"/>
          <w:b/>
          <w:color w:val="1E3A5F"/>
          <w:sz w:val="26"/>
        </w:rPr>
        <w:t>What it Means</w:t>
      </w:r>
    </w:p>
    <w:p>
      <w:pPr>
        <w:spacing w:after="120" w:before="0"/>
      </w:pPr>
      <w:r>
        <w:rPr>
          <w:rFonts w:ascii="Lato" w:hAnsi="Lato"/>
          <w:b w:val="0"/>
          <w:i w:val="0"/>
          <w:sz w:val="22"/>
        </w:rPr>
        <w:t>Indian weight loss culture is undergoing a protein revolution - consumers are actively trying to increase protein intake within traditional vegetarian frameworks, which were historically optimized for carbohydrates and fats, not protein. This represents a fundamental shift in how Indians think about food, driven by fitness influencers and medical education rather than by pharmaceutical messaging. The challenge is structural: traditional Indian meals average 40-50g protein daily, while weight loss protocols demand 100-150g.</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protein gap in Indian vegetarian diets creates a market opportunity for high-protein Indian food products, supplements, and meal solutions that don't require consumers to abandon their cultural food identity. Companies that solve 'how do I get 30g protein from a traditional Indian breakfast' will capture this demand.</w:t>
      </w:r>
    </w:p>
    <w:p>
      <w:pPr>
        <w:pStyle w:val="Heading3"/>
        <w:jc w:val="left"/>
      </w:pPr>
      <w:r>
        <w:rPr>
          <w:rFonts w:ascii="Lato" w:hAnsi="Lato"/>
          <w:b/>
          <w:color w:val="1E3A5F"/>
          <w:sz w:val="26"/>
        </w:rPr>
        <w:t>Recommendation</w:t>
      </w:r>
    </w:p>
    <w:p>
      <w:pPr>
        <w:spacing w:after="120" w:before="0"/>
      </w:pPr>
      <w:r>
        <w:rPr>
          <w:rFonts w:ascii="Lato" w:hAnsi="Lato"/>
          <w:b w:val="0"/>
          <w:i w:val="0"/>
          <w:sz w:val="22"/>
        </w:rPr>
        <w:t>For the weight loss medication ecosystem: create India-specific nutritional guidance that works within vegetarian and regional food traditions. For food companies: develop high-protein versions of traditional Indian foods (protein-enriched roti, fortified paneer, high-protein dosa batter). Position these as enablers of both natural weight loss and GLP-1 medication success.</w:t>
      </w:r>
    </w:p>
    <w:p>
      <w:pPr>
        <w:pStyle w:val="Heading3"/>
        <w:jc w:val="left"/>
      </w:pPr>
      <w:r>
        <w:rPr>
          <w:rFonts w:ascii="Lato" w:hAnsi="Lato"/>
          <w:b/>
          <w:color w:val="1E3A5F"/>
          <w:sz w:val="26"/>
        </w:rPr>
        <w:t>Further Validation</w:t>
      </w:r>
    </w:p>
    <w:p>
      <w:pPr>
        <w:spacing w:after="120" w:before="0"/>
      </w:pPr>
      <w:r>
        <w:rPr>
          <w:rFonts w:ascii="Lato" w:hAnsi="Lato"/>
          <w:b w:val="0"/>
          <w:i w:val="0"/>
          <w:sz w:val="22"/>
        </w:rPr>
        <w:t>Dietary recall study with Indian weight loss consumers to quantify the actual protein gap and identify the most promising food categories for protein fortification.</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"Meri life badal di Mam ne.. 23 kg weight loss since October 14 n still going strong... Mam I love you...."</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"I currently use EVOO, avocado oil and when I want to splurge on proper desi food then I use ghee :)</w:t>
        <w:br/>
        <w:t>I do a lot of roast veggies but often find that they don’t fill me up ( even though they are very nutritious) :("</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06. Stigma, Shame &amp; Social Judgment</w:t>
      </w:r>
    </w:p>
    <w:p>
      <w:pPr>
        <w:spacing w:after="160"/>
      </w:pPr>
      <w:r>
        <w:rPr>
          <w:rFonts w:ascii="Lato" w:hAnsi="Lato"/>
          <w:b w:val="0"/>
          <w:i w:val="0"/>
          <w:color w:val="6B7280"/>
          <w:sz w:val="18"/>
        </w:rPr>
        <w:t>n=266</w:t>
      </w:r>
      <w:r>
        <w:rPr>
          <w:rFonts w:ascii="Lato" w:hAnsi="Lato"/>
          <w:b w:val="0"/>
          <w:i w:val="0"/>
          <w:color w:val="374151"/>
          <w:sz w:val="18"/>
        </w:rPr>
        <w:t xml:space="preserve">  |  Confidence: </w:t>
      </w:r>
      <w:r>
        <w:rPr>
          <w:rFonts w:ascii="Lato" w:hAnsi="Lato"/>
          <w:b/>
          <w:i w:val="0"/>
          <w:color w:val="D97706"/>
          <w:sz w:val="18"/>
        </w:rPr>
        <w:t>67% (Medium)</w:t>
      </w:r>
      <w:r>
        <w:rPr>
          <w:rFonts w:ascii="Lato" w:hAnsi="Lato"/>
          <w:b w:val="0"/>
          <w:i w:val="0"/>
          <w:color w:val="374151"/>
          <w:sz w:val="18"/>
        </w:rPr>
        <w:t xml:space="preserve">  |  Signal: </w:t>
      </w:r>
      <w:r>
        <w:rPr>
          <w:rFonts w:ascii="Lato" w:hAnsi="Lato"/>
          <w:b/>
          <w:i w:val="0"/>
          <w:color w:val="374151"/>
          <w:sz w:val="18"/>
        </w:rPr>
        <w:t>65% (Moderate)</w:t>
      </w:r>
      <w:r>
        <w:rPr>
          <w:rFonts w:ascii="Lato" w:hAnsi="Lato"/>
          <w:b w:val="0"/>
          <w:i w:val="0"/>
          <w:color w:val="6B7280"/>
          <w:sz w:val="18"/>
        </w:rPr>
        <w:t xml:space="preserve">  |  14.8% of Dataset</w:t>
      </w:r>
      <w:r>
        <w:rPr>
          <w:rFonts w:ascii="Lato" w:hAnsi="Lato"/>
          <w:b w:val="0"/>
          <w:i w:val="0"/>
          <w:color w:val="6B7280"/>
          <w:sz w:val="18"/>
        </w:rPr>
        <w:t xml:space="preserve">  |  NSS: </w:t>
      </w:r>
      <w:r>
        <w:rPr>
          <w:rFonts w:ascii="Lato" w:hAnsi="Lato"/>
          <w:b/>
          <w:i w:val="0"/>
          <w:color w:val="059669"/>
          <w:sz w:val="18"/>
        </w:rPr>
        <w:t>+24%</w:t>
      </w:r>
    </w:p>
    <w:p>
      <w:pPr>
        <w:jc w:val="center"/>
      </w:pPr>
      <w:r>
        <w:drawing>
          <wp:inline xmlns:a="http://schemas.openxmlformats.org/drawingml/2006/main" xmlns:pic="http://schemas.openxmlformats.org/drawingml/2006/picture">
            <wp:extent cx="3474720" cy="3547185"/>
            <wp:docPr id="12" name="Picture 12"/>
            <wp:cNvGraphicFramePr>
              <a:graphicFrameLocks noChangeAspect="1"/>
            </wp:cNvGraphicFramePr>
            <a:graphic>
              <a:graphicData uri="http://schemas.openxmlformats.org/drawingml/2006/picture">
                <pic:pic>
                  <pic:nvPicPr>
                    <pic:cNvPr id="0" name="chart_radar_INS_006.png"/>
                    <pic:cNvPicPr/>
                  </pic:nvPicPr>
                  <pic:blipFill>
                    <a:blip r:embed="rId20"/>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Stigma, Shame &amp; Social Judgment</w:t>
      </w:r>
    </w:p>
    <w:p>
      <w:pPr>
        <w:pStyle w:val="Heading3"/>
        <w:jc w:val="left"/>
      </w:pPr>
      <w:r>
        <w:rPr>
          <w:rFonts w:ascii="Lato" w:hAnsi="Lato"/>
          <w:b/>
          <w:color w:val="1E3A5F"/>
          <w:sz w:val="26"/>
        </w:rPr>
        <w:t>What the Data Shows</w:t>
      </w:r>
    </w:p>
    <w:p>
      <w:pPr>
        <w:spacing w:after="120" w:before="0"/>
      </w:pPr>
      <w:r>
        <w:rPr>
          <w:rFonts w:ascii="Lato" w:hAnsi="Lato"/>
          <w:b w:val="0"/>
          <w:i w:val="0"/>
          <w:sz w:val="22"/>
        </w:rPr>
        <w:t>Stigma and social judgment around weight loss medication generate 266 mentions (14.82% prevalence). The dominant narrative frames GLP-1 use as 'the easy way out,' 'cheating,' and 'lazy.' Counter-narratives position obesity as a disease requiring medical treatment. Indian-specific commentary includes concerns about shortcuts culture ('Sabko shortcuts chahiye, koi workout nahi karna chahta') and framing medication use as a moral failure.</w:t>
      </w:r>
    </w:p>
    <w:p>
      <w:pPr>
        <w:pStyle w:val="Heading3"/>
        <w:jc w:val="left"/>
      </w:pPr>
      <w:r>
        <w:rPr>
          <w:rFonts w:ascii="Lato" w:hAnsi="Lato"/>
          <w:b/>
          <w:color w:val="1E3A5F"/>
          <w:sz w:val="26"/>
        </w:rPr>
        <w:t>What it Means</w:t>
      </w:r>
    </w:p>
    <w:p>
      <w:pPr>
        <w:spacing w:after="120" w:before="0"/>
      </w:pPr>
      <w:r>
        <w:rPr>
          <w:rFonts w:ascii="Lato" w:hAnsi="Lato"/>
          <w:b w:val="0"/>
          <w:i w:val="0"/>
          <w:sz w:val="22"/>
        </w:rPr>
        <w:t>Weight loss medication stigma in India operates at the intersection of three cultural forces: the 'hard work' ethic that equates suffering with deserving results, the Ayurvedic tradition that positions health as a matter of personal discipline, and the social media comparison culture where visible transformation must be 'earned.' This triple stigma is stronger in India than in Western markets, where the medical framing of obesity has more cultural traction.</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Stigma is the primary demand suppressor for GLP-1 medications in India, more significant than cost or access barriers. Consumers who might benefit from medication are deterred by anticipated social judgment. The 'obesity is a disease' messaging that works in Western markets may be insufficient in India where the moral dimension of weight management is deeply ingrained.</w:t>
      </w:r>
    </w:p>
    <w:p>
      <w:pPr>
        <w:pStyle w:val="Heading3"/>
        <w:jc w:val="left"/>
      </w:pPr>
      <w:r>
        <w:rPr>
          <w:rFonts w:ascii="Lato" w:hAnsi="Lato"/>
          <w:b/>
          <w:color w:val="1E3A5F"/>
          <w:sz w:val="26"/>
        </w:rPr>
        <w:t>Recommendation</w:t>
      </w:r>
    </w:p>
    <w:p>
      <w:pPr>
        <w:spacing w:after="120" w:before="0"/>
      </w:pPr>
      <w:r>
        <w:rPr>
          <w:rFonts w:ascii="Lato" w:hAnsi="Lato"/>
          <w:b w:val="0"/>
          <w:i w:val="0"/>
          <w:sz w:val="22"/>
        </w:rPr>
        <w:t>Launch a culturally adapted destigmatization campaign that reframes the conversation from 'shortcuts vs. hard work' to 'all tools for health are valid.' Use the language of the data - consumers themselves are already pushing back on stigma with phrases like 'obesity is a disease, not a personal failure.' Amplify these existing counter-narratives rather than creating new messaging.</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focus groups with Indian consumers to map the specific stigma triggers and test messaging frameworks. Compare stigma intensity across Indian metros vs. tier-2 cities.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"I take ozempic, can cheat occasionally without bad numbers, but you want to avoid fatty foods, they are hard to digest and will make you (more) nauseous and vomit. Learned the hard way."</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"Thank you. I enjoy it more than a gym because I can work out alone and not feel judged, but just wish the instructor seemed a bit more realistic and relatable."</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"But isn't obesity now tagged as BODY POSITIVITY or whatever shizzzz be trending ???"</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07. Natural Alternatives &amp; Anti-Medication Stance</w:t>
      </w:r>
    </w:p>
    <w:p>
      <w:pPr>
        <w:spacing w:after="160"/>
      </w:pPr>
      <w:r>
        <w:rPr>
          <w:rFonts w:ascii="Lato" w:hAnsi="Lato"/>
          <w:b w:val="0"/>
          <w:i w:val="0"/>
          <w:color w:val="6B7280"/>
          <w:sz w:val="18"/>
        </w:rPr>
        <w:t>n=287</w:t>
      </w:r>
      <w:r>
        <w:rPr>
          <w:rFonts w:ascii="Lato" w:hAnsi="Lato"/>
          <w:b w:val="0"/>
          <w:i w:val="0"/>
          <w:color w:val="374151"/>
          <w:sz w:val="18"/>
        </w:rPr>
        <w:t xml:space="preserve">  |  Confidence: </w:t>
      </w:r>
      <w:r>
        <w:rPr>
          <w:rFonts w:ascii="Lato" w:hAnsi="Lato"/>
          <w:b/>
          <w:i w:val="0"/>
          <w:color w:val="D97706"/>
          <w:sz w:val="18"/>
        </w:rPr>
        <w:t>65% (Medium)</w:t>
      </w:r>
      <w:r>
        <w:rPr>
          <w:rFonts w:ascii="Lato" w:hAnsi="Lato"/>
          <w:b w:val="0"/>
          <w:i w:val="0"/>
          <w:color w:val="374151"/>
          <w:sz w:val="18"/>
        </w:rPr>
        <w:t xml:space="preserve">  |  Signal: </w:t>
      </w:r>
      <w:r>
        <w:rPr>
          <w:rFonts w:ascii="Lato" w:hAnsi="Lato"/>
          <w:b/>
          <w:i w:val="0"/>
          <w:color w:val="374151"/>
          <w:sz w:val="18"/>
        </w:rPr>
        <w:t>66% (Moderate)</w:t>
      </w:r>
      <w:r>
        <w:rPr>
          <w:rFonts w:ascii="Lato" w:hAnsi="Lato"/>
          <w:b w:val="0"/>
          <w:i w:val="0"/>
          <w:color w:val="6B7280"/>
          <w:sz w:val="18"/>
        </w:rPr>
        <w:t xml:space="preserve">  |  16.0% of Dataset</w:t>
      </w:r>
      <w:r>
        <w:rPr>
          <w:rFonts w:ascii="Lato" w:hAnsi="Lato"/>
          <w:b w:val="0"/>
          <w:i w:val="0"/>
          <w:color w:val="6B7280"/>
          <w:sz w:val="18"/>
        </w:rPr>
        <w:t xml:space="preserve">  |  NSS: </w:t>
      </w:r>
      <w:r>
        <w:rPr>
          <w:rFonts w:ascii="Lato" w:hAnsi="Lato"/>
          <w:b/>
          <w:i w:val="0"/>
          <w:color w:val="059669"/>
          <w:sz w:val="18"/>
        </w:rPr>
        <w:t>+26%</w:t>
      </w:r>
    </w:p>
    <w:p>
      <w:pPr>
        <w:jc w:val="center"/>
      </w:pPr>
      <w:r>
        <w:drawing>
          <wp:inline xmlns:a="http://schemas.openxmlformats.org/drawingml/2006/main" xmlns:pic="http://schemas.openxmlformats.org/drawingml/2006/picture">
            <wp:extent cx="3474720" cy="3547185"/>
            <wp:docPr id="13" name="Picture 13"/>
            <wp:cNvGraphicFramePr>
              <a:graphicFrameLocks noChangeAspect="1"/>
            </wp:cNvGraphicFramePr>
            <a:graphic>
              <a:graphicData uri="http://schemas.openxmlformats.org/drawingml/2006/picture">
                <pic:pic>
                  <pic:nvPicPr>
                    <pic:cNvPr id="0" name="chart_radar_INS_005.png"/>
                    <pic:cNvPicPr/>
                  </pic:nvPicPr>
                  <pic:blipFill>
                    <a:blip r:embed="rId21"/>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Natural Alternatives &amp; Anti-Medication Stance</w:t>
      </w:r>
    </w:p>
    <w:p>
      <w:pPr>
        <w:pStyle w:val="Heading3"/>
        <w:jc w:val="left"/>
      </w:pPr>
      <w:r>
        <w:rPr>
          <w:rFonts w:ascii="Lato" w:hAnsi="Lato"/>
          <w:b/>
          <w:color w:val="1E3A5F"/>
          <w:sz w:val="26"/>
        </w:rPr>
        <w:t>What the Data Shows</w:t>
      </w:r>
    </w:p>
    <w:p>
      <w:pPr>
        <w:spacing w:after="120" w:before="0"/>
      </w:pPr>
      <w:r>
        <w:rPr>
          <w:rFonts w:ascii="Lato" w:hAnsi="Lato"/>
          <w:b w:val="0"/>
          <w:i w:val="0"/>
          <w:sz w:val="22"/>
        </w:rPr>
        <w:t>Natural alternatives and anti-medication sentiment generate 287 mentions (15.99% prevalence). Content ranges from Ayurvedic weight loss solutions and natural GLP-1 boosters (yerba mate, apple cider vinegar, fiber-rich foods) to fitness influencers explicitly positioning themselves against medication ('Not Ozempic - just diet and exercise'). Natural GLP-1 activation through food is a growing sub-narrative.</w:t>
      </w:r>
    </w:p>
    <w:p>
      <w:pPr>
        <w:pStyle w:val="Heading3"/>
        <w:jc w:val="left"/>
      </w:pPr>
      <w:r>
        <w:rPr>
          <w:rFonts w:ascii="Lato" w:hAnsi="Lato"/>
          <w:b/>
          <w:color w:val="1E3A5F"/>
          <w:sz w:val="26"/>
        </w:rPr>
        <w:t>What it Means</w:t>
      </w:r>
    </w:p>
    <w:p>
      <w:pPr>
        <w:spacing w:after="120" w:before="0"/>
      </w:pPr>
      <w:r>
        <w:rPr>
          <w:rFonts w:ascii="Lato" w:hAnsi="Lato"/>
          <w:b w:val="0"/>
          <w:i w:val="0"/>
          <w:sz w:val="22"/>
        </w:rPr>
        <w:t>The 'natural vs. medication' framing reveals a deep cultural conflict in India between traditional health systems (Ayurveda, naturopathy) and pharmaceutical interventions. Consumers do not view these as complementary - they see them as opposing worldviews. The 'natural GLP-1 booster' content bridges this gap by using pharmaceutical language (GLP-1, receptor, hormone) to validate traditional food choices, suggesting consumers want the science without the medication.</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natural alternatives narrative is both a competitor and an opportunity. It competes by framing medication as unnecessary, but it also educates consumers about GLP-1 mechanisms, creating a funnel from natural interest to pharmaceutical adoption for those who find natural methods insufficient.</w:t>
      </w:r>
    </w:p>
    <w:p>
      <w:pPr>
        <w:pStyle w:val="Heading3"/>
        <w:jc w:val="left"/>
      </w:pPr>
      <w:r>
        <w:rPr>
          <w:rFonts w:ascii="Lato" w:hAnsi="Lato"/>
          <w:b/>
          <w:color w:val="1E3A5F"/>
          <w:sz w:val="26"/>
        </w:rPr>
        <w:t>Recommendation</w:t>
      </w:r>
    </w:p>
    <w:p>
      <w:pPr>
        <w:spacing w:after="120" w:before="0"/>
      </w:pPr>
      <w:r>
        <w:rPr>
          <w:rFonts w:ascii="Lato" w:hAnsi="Lato"/>
          <w:b w:val="0"/>
          <w:i w:val="0"/>
          <w:sz w:val="22"/>
        </w:rPr>
        <w:t>Do not fight the natural alternatives narrative - co-opt it. Position GLP-1 medications as 'when natural approaches are not enough' rather than 'instead of natural approaches.' Create content that acknowledges the value of dietary GLP-1 support while explaining when medical intervention becomes necessary. This respects the Ayurvedic health tradition while establishing medication as a valid escalation path.</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consumer journeys from natural GLP-1 interest to medication adoption to quantify the funnel conversion rate. Conduct qualitative research on how Ayurvedic beliefs influence GLP-1 medication acceptance.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"1. Audit Your Hunger: Identify if you are eating due to "Food Noise" (boredom/stress) or actual physical hunger.</w:t>
        <w:br/>
        <w:br/>
        <w:t>2. Prioritize Protein: Ensure 1g of protein per kg of body weight to maintain muscle mass, the body's natural "fat burner.""</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"Both my parents are ayurvedic Doctors, as long as it wasnt an emergency (like and accident or a heart attack or something for example) I use ayurvedic medicines and it has always worked for me most of the time (even better than modern medicine in some cases), Id say ayurveda shines in treating chronic diseases mostly. If anyone has anything to ask about ayurveda, ill be happy to ask my parents and"</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08. Side Effects &amp; Health Risks</w:t>
      </w:r>
    </w:p>
    <w:p>
      <w:pPr>
        <w:spacing w:after="160"/>
      </w:pPr>
      <w:r>
        <w:rPr>
          <w:rFonts w:ascii="Lato" w:hAnsi="Lato"/>
          <w:b w:val="0"/>
          <w:i w:val="0"/>
          <w:color w:val="6B7280"/>
          <w:sz w:val="18"/>
        </w:rPr>
        <w:t>n=271</w:t>
      </w:r>
      <w:r>
        <w:rPr>
          <w:rFonts w:ascii="Lato" w:hAnsi="Lato"/>
          <w:b w:val="0"/>
          <w:i w:val="0"/>
          <w:color w:val="374151"/>
          <w:sz w:val="18"/>
        </w:rPr>
        <w:t xml:space="preserve">  |  Confidence: </w:t>
      </w:r>
      <w:r>
        <w:rPr>
          <w:rFonts w:ascii="Lato" w:hAnsi="Lato"/>
          <w:b/>
          <w:i w:val="0"/>
          <w:color w:val="D97706"/>
          <w:sz w:val="18"/>
        </w:rPr>
        <w:t>65% (Medium)</w:t>
      </w:r>
      <w:r>
        <w:rPr>
          <w:rFonts w:ascii="Lato" w:hAnsi="Lato"/>
          <w:b w:val="0"/>
          <w:i w:val="0"/>
          <w:color w:val="374151"/>
          <w:sz w:val="18"/>
        </w:rPr>
        <w:t xml:space="preserve">  |  Signal: </w:t>
      </w:r>
      <w:r>
        <w:rPr>
          <w:rFonts w:ascii="Lato" w:hAnsi="Lato"/>
          <w:b/>
          <w:i w:val="0"/>
          <w:color w:val="374151"/>
          <w:sz w:val="18"/>
        </w:rPr>
        <w:t>59% (Moderate)</w:t>
      </w:r>
      <w:r>
        <w:rPr>
          <w:rFonts w:ascii="Lato" w:hAnsi="Lato"/>
          <w:b w:val="0"/>
          <w:i w:val="0"/>
          <w:color w:val="6B7280"/>
          <w:sz w:val="18"/>
        </w:rPr>
        <w:t xml:space="preserve">  |  15.1% of Dataset</w:t>
      </w:r>
      <w:r>
        <w:rPr>
          <w:rFonts w:ascii="Lato" w:hAnsi="Lato"/>
          <w:b w:val="0"/>
          <w:i w:val="0"/>
          <w:color w:val="6B7280"/>
          <w:sz w:val="18"/>
        </w:rPr>
        <w:t xml:space="preserve">  |  NSS: </w:t>
      </w:r>
      <w:r>
        <w:rPr>
          <w:rFonts w:ascii="Lato" w:hAnsi="Lato"/>
          <w:b/>
          <w:i w:val="0"/>
          <w:color w:val="DC2626"/>
          <w:sz w:val="18"/>
        </w:rPr>
        <w:t>-17%</w:t>
      </w:r>
    </w:p>
    <w:p>
      <w:pPr>
        <w:jc w:val="center"/>
      </w:pPr>
      <w:r>
        <w:drawing>
          <wp:inline xmlns:a="http://schemas.openxmlformats.org/drawingml/2006/main" xmlns:pic="http://schemas.openxmlformats.org/drawingml/2006/picture">
            <wp:extent cx="3474720" cy="3547185"/>
            <wp:docPr id="14" name="Picture 14"/>
            <wp:cNvGraphicFramePr>
              <a:graphicFrameLocks noChangeAspect="1"/>
            </wp:cNvGraphicFramePr>
            <a:graphic>
              <a:graphicData uri="http://schemas.openxmlformats.org/drawingml/2006/picture">
                <pic:pic>
                  <pic:nvPicPr>
                    <pic:cNvPr id="0" name="chart_radar_INS_002.png"/>
                    <pic:cNvPicPr/>
                  </pic:nvPicPr>
                  <pic:blipFill>
                    <a:blip r:embed="rId22"/>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Side Effects &amp; Health Risks</w:t>
      </w:r>
    </w:p>
    <w:p>
      <w:pPr>
        <w:pStyle w:val="Heading3"/>
        <w:jc w:val="left"/>
      </w:pPr>
      <w:r>
        <w:rPr>
          <w:rFonts w:ascii="Lato" w:hAnsi="Lato"/>
          <w:b/>
          <w:color w:val="1E3A5F"/>
          <w:sz w:val="26"/>
        </w:rPr>
        <w:t>What the Data Shows</w:t>
      </w:r>
    </w:p>
    <w:p>
      <w:pPr>
        <w:spacing w:after="120" w:before="0"/>
      </w:pPr>
      <w:r>
        <w:rPr>
          <w:rFonts w:ascii="Lato" w:hAnsi="Lato"/>
          <w:b w:val="0"/>
          <w:i w:val="0"/>
          <w:sz w:val="22"/>
        </w:rPr>
        <w:t>Side effects and health risks generate 271 mentions (15.1% prevalence) with strongly negative sentiment (NSS -0.17). The most discussed side effects are gastrointestinal (nausea, vomiting, sulphur burps, diarrhea), followed by cosmetic concerns (Ozempic face, hair loss) and serious risks (muscle loss, pancreatitis, gastroparesis). A subset of consumers report severe adverse experiences including stomach paralysis and inability to eat for months.</w:t>
      </w:r>
    </w:p>
    <w:p>
      <w:pPr>
        <w:pStyle w:val="Heading3"/>
        <w:jc w:val="left"/>
      </w:pPr>
      <w:r>
        <w:rPr>
          <w:rFonts w:ascii="Lato" w:hAnsi="Lato"/>
          <w:b/>
          <w:color w:val="1E3A5F"/>
          <w:sz w:val="26"/>
        </w:rPr>
        <w:t>What it Means</w:t>
      </w:r>
    </w:p>
    <w:p>
      <w:pPr>
        <w:spacing w:after="120" w:before="0"/>
      </w:pPr>
      <w:r>
        <w:rPr>
          <w:rFonts w:ascii="Lato" w:hAnsi="Lato"/>
          <w:b w:val="0"/>
          <w:i w:val="0"/>
          <w:sz w:val="22"/>
        </w:rPr>
        <w:t>Side effect anxiety operates on two distinct levels: manageable GI effects that users accept as a trade-off, and catastrophic risks (muscle wasting, organ damage) that trigger genuine fear. The gap between these two levels is where consumer trust breaks down - users cannot easily distinguish between temporary discomfort and warning signs of serious harm, creating an information vacuum that fear-mongering content exploits.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side effect narrative is the single biggest barrier to GLP-1 adoption in India, amplified by viral horror stories and lack of local clinical data. Without proactive side effect education tailored to Indian consumers, word-of-mouth will continue to be dominated by worst-case scenarios.</w:t>
      </w:r>
    </w:p>
    <w:p>
      <w:pPr>
        <w:pStyle w:val="Heading3"/>
        <w:jc w:val="left"/>
      </w:pPr>
      <w:r>
        <w:rPr>
          <w:rFonts w:ascii="Lato" w:hAnsi="Lato"/>
          <w:b/>
          <w:color w:val="1E3A5F"/>
          <w:sz w:val="26"/>
        </w:rPr>
        <w:t>Recommendation</w:t>
      </w:r>
    </w:p>
    <w:p>
      <w:pPr>
        <w:spacing w:after="120" w:before="0"/>
      </w:pPr>
      <w:r>
        <w:rPr>
          <w:rFonts w:ascii="Lato" w:hAnsi="Lato"/>
          <w:b w:val="0"/>
          <w:i w:val="0"/>
          <w:sz w:val="22"/>
        </w:rPr>
        <w:t>Develop a tiered side effect communication framework that clearly distinguishes between common-and-temporary effects (nausea, sulphur burps - weeks 1-4) versus warning signs requiring medical attention (persistent vomiting, severe abdominal pain). Partner with Indian endocrinologists to create vernacular-language content addressing the specific fears seen in the data.</w:t>
      </w:r>
    </w:p>
    <w:p>
      <w:pPr>
        <w:pStyle w:val="Heading3"/>
        <w:jc w:val="left"/>
      </w:pPr>
      <w:r>
        <w:rPr>
          <w:rFonts w:ascii="Lato" w:hAnsi="Lato"/>
          <w:b/>
          <w:color w:val="1E3A5F"/>
          <w:sz w:val="26"/>
        </w:rPr>
        <w:t>Further Validation</w:t>
      </w:r>
    </w:p>
    <w:p>
      <w:pPr>
        <w:spacing w:after="120" w:before="0"/>
      </w:pPr>
      <w:r>
        <w:rPr>
          <w:rFonts w:ascii="Lato" w:hAnsi="Lato"/>
          <w:b w:val="0"/>
          <w:i w:val="0"/>
          <w:sz w:val="22"/>
        </w:rPr>
        <w:t>Commission a post-market surveillance study with Indian GLP-1 users to establish India-specific side effect incidence rates and duration, as current data is predominantly from Western populations.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 xml:space="preserve">"That’s the point! </w:t>
        <w:br/>
        <w:br/>
        <w:t xml:space="preserve">Also it’s not like life is easy once you’re off it </w:t>
        <w:br/>
        <w:br/>
        <w:t>Horrific side effects</w:t>
        <w:br/>
        <w:br/>
        <w:t>Forget shortage, they bumped the price up for it"</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"Have any of your patients suffered from excruciating leg cramps &amp; spasms. I’m 67 Pcos thyroid issues &amp; menopause. Stopped after 14 months only lost 25 lbs. cramps &amp; muscle loss so quickly after boosted to 60mg by Dr."</w:t>
      </w:r>
      <w:r>
        <w:rPr>
          <w:rFonts w:ascii="Lato" w:hAnsi="Lato"/>
          <w:b w:val="0"/>
          <w:i w:val="0"/>
          <w:color w:val="6B7280"/>
          <w:sz w:val="18"/>
        </w:rPr>
        <w:t xml:space="preserve">  - instagram</w:t>
      </w:r>
    </w:p>
    <w:p>
      <w:pPr>
        <w:spacing w:before="80" w:after="80"/>
        <w:pBdr>
          <w:bottom w:val="single" w:sz="4" w:space="1" w:color="6B7280"/>
        </w:pBdr>
      </w:pPr>
    </w:p>
    <w:p>
      <w:pPr>
        <w:pStyle w:val="Heading2"/>
        <w:jc w:val="left"/>
      </w:pPr>
      <w:r>
        <w:rPr>
          <w:rFonts w:ascii="Lato" w:hAnsi="Lato"/>
          <w:b/>
          <w:color w:val="1E3A5F"/>
          <w:sz w:val="32"/>
        </w:rPr>
        <w:t>09. PCOS, Hormones &amp; Women's Health</w:t>
      </w:r>
    </w:p>
    <w:p>
      <w:pPr>
        <w:spacing w:after="160"/>
      </w:pPr>
      <w:r>
        <w:rPr>
          <w:rFonts w:ascii="Lato" w:hAnsi="Lato"/>
          <w:b w:val="0"/>
          <w:i w:val="0"/>
          <w:color w:val="6B7280"/>
          <w:sz w:val="18"/>
        </w:rPr>
        <w:t>n=288</w:t>
      </w:r>
      <w:r>
        <w:rPr>
          <w:rFonts w:ascii="Lato" w:hAnsi="Lato"/>
          <w:b w:val="0"/>
          <w:i w:val="0"/>
          <w:color w:val="374151"/>
          <w:sz w:val="18"/>
        </w:rPr>
        <w:t xml:space="preserve">  |  Confidence: </w:t>
      </w:r>
      <w:r>
        <w:rPr>
          <w:rFonts w:ascii="Lato" w:hAnsi="Lato"/>
          <w:b/>
          <w:i w:val="0"/>
          <w:color w:val="D97706"/>
          <w:sz w:val="18"/>
        </w:rPr>
        <w:t>65% (Medium)</w:t>
      </w:r>
      <w:r>
        <w:rPr>
          <w:rFonts w:ascii="Lato" w:hAnsi="Lato"/>
          <w:b w:val="0"/>
          <w:i w:val="0"/>
          <w:color w:val="374151"/>
          <w:sz w:val="18"/>
        </w:rPr>
        <w:t xml:space="preserve">  |  Signal: </w:t>
      </w:r>
      <w:r>
        <w:rPr>
          <w:rFonts w:ascii="Lato" w:hAnsi="Lato"/>
          <w:b/>
          <w:i w:val="0"/>
          <w:color w:val="374151"/>
          <w:sz w:val="18"/>
        </w:rPr>
        <w:t>65% (Moderate)</w:t>
      </w:r>
      <w:r>
        <w:rPr>
          <w:rFonts w:ascii="Lato" w:hAnsi="Lato"/>
          <w:b w:val="0"/>
          <w:i w:val="0"/>
          <w:color w:val="6B7280"/>
          <w:sz w:val="18"/>
        </w:rPr>
        <w:t xml:space="preserve">  |  16.0% of Dataset</w:t>
      </w:r>
      <w:r>
        <w:rPr>
          <w:rFonts w:ascii="Lato" w:hAnsi="Lato"/>
          <w:b w:val="0"/>
          <w:i w:val="0"/>
          <w:color w:val="6B7280"/>
          <w:sz w:val="18"/>
        </w:rPr>
        <w:t xml:space="preserve">  |  NSS: </w:t>
      </w:r>
      <w:r>
        <w:rPr>
          <w:rFonts w:ascii="Lato" w:hAnsi="Lato"/>
          <w:b/>
          <w:i w:val="0"/>
          <w:color w:val="059669"/>
          <w:sz w:val="18"/>
        </w:rPr>
        <w:t>+26%</w:t>
      </w:r>
    </w:p>
    <w:p>
      <w:pPr>
        <w:jc w:val="center"/>
      </w:pPr>
      <w:r>
        <w:drawing>
          <wp:inline xmlns:a="http://schemas.openxmlformats.org/drawingml/2006/main" xmlns:pic="http://schemas.openxmlformats.org/drawingml/2006/picture">
            <wp:extent cx="3474720" cy="3547185"/>
            <wp:docPr id="15" name="Picture 15"/>
            <wp:cNvGraphicFramePr>
              <a:graphicFrameLocks noChangeAspect="1"/>
            </wp:cNvGraphicFramePr>
            <a:graphic>
              <a:graphicData uri="http://schemas.openxmlformats.org/drawingml/2006/picture">
                <pic:pic>
                  <pic:nvPicPr>
                    <pic:cNvPr id="0" name="chart_radar_INS_012.png"/>
                    <pic:cNvPicPr/>
                  </pic:nvPicPr>
                  <pic:blipFill>
                    <a:blip r:embed="rId23"/>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PCOS, Hormones &amp; Women's Health</w:t>
      </w:r>
    </w:p>
    <w:p>
      <w:pPr>
        <w:pStyle w:val="Heading3"/>
        <w:jc w:val="left"/>
      </w:pPr>
      <w:r>
        <w:rPr>
          <w:rFonts w:ascii="Lato" w:hAnsi="Lato"/>
          <w:b/>
          <w:color w:val="1E3A5F"/>
          <w:sz w:val="26"/>
        </w:rPr>
        <w:t>What the Data Shows</w:t>
      </w:r>
    </w:p>
    <w:p>
      <w:pPr>
        <w:spacing w:after="120" w:before="0"/>
      </w:pPr>
      <w:r>
        <w:rPr>
          <w:rFonts w:ascii="Lato" w:hAnsi="Lato"/>
          <w:b w:val="0"/>
          <w:i w:val="0"/>
          <w:sz w:val="22"/>
        </w:rPr>
        <w:t>PCOS, hormones, and women's health in the weight loss medication context generate 288 mentions (16.04% prevalence). Indian women with PCOS report particular frustration with weight management, citing hormonal barriers that make traditional diet and exercise insufficient. Mounjaro users with PCOS report secondary benefits including regular periods, reduced inflammation, and improved insulin sensitivity. Postpartum weight loss is another significant sub-narrative.</w:t>
      </w:r>
    </w:p>
    <w:p>
      <w:pPr>
        <w:pStyle w:val="Heading3"/>
        <w:jc w:val="left"/>
      </w:pPr>
      <w:r>
        <w:rPr>
          <w:rFonts w:ascii="Lato" w:hAnsi="Lato"/>
          <w:b/>
          <w:color w:val="1E3A5F"/>
          <w:sz w:val="26"/>
        </w:rPr>
        <w:t>What it Means</w:t>
      </w:r>
    </w:p>
    <w:p>
      <w:pPr>
        <w:spacing w:after="120" w:before="0"/>
      </w:pPr>
      <w:r>
        <w:rPr>
          <w:rFonts w:ascii="Lato" w:hAnsi="Lato"/>
          <w:b w:val="0"/>
          <w:i w:val="0"/>
          <w:sz w:val="22"/>
        </w:rPr>
        <w:t>Indian women with PCOS represent a high-value segment for GLP-1 medications because they experience the dual benefit of weight loss and hormonal normalization. The data shows emotional testimonials from women who regained menstrual regularity after starting Mounjaro - a secondary benefit that is more meaningful to them than the weight loss itself. This segment faces compounded stigma: weight stigma plus reproductive health stigma, making them particularly underserved.</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PCOS segment offers a differentiated value proposition for GLP-1 medications in India that goes beyond cosmetic weight loss to genuine health improvement. Marketing to this segment on the basis of hormonal health rather than weight loss could bypass the stigma barrier entirely and establish a medical legitimacy that benefits the broader market.</w:t>
      </w:r>
    </w:p>
    <w:p>
      <w:pPr>
        <w:pStyle w:val="Heading3"/>
        <w:jc w:val="left"/>
      </w:pPr>
      <w:r>
        <w:rPr>
          <w:rFonts w:ascii="Lato" w:hAnsi="Lato"/>
          <w:b/>
          <w:color w:val="1E3A5F"/>
          <w:sz w:val="26"/>
        </w:rPr>
        <w:t>Recommendation</w:t>
      </w:r>
    </w:p>
    <w:p>
      <w:pPr>
        <w:spacing w:after="120" w:before="0"/>
      </w:pPr>
      <w:r>
        <w:rPr>
          <w:rFonts w:ascii="Lato" w:hAnsi="Lato"/>
          <w:b w:val="0"/>
          <w:i w:val="0"/>
          <w:sz w:val="22"/>
        </w:rPr>
        <w:t>Develop PCOS-specific clinical evidence and marketing for the Indian market. Position GLP-1 medications for PCOS patients as hormonal health tools first, weight management second. Partner with Indian gynecologists and endocrinologists who treat PCOS to create a referral pathway. The data suggests Indian women are already seeking this - make it easy to find.</w:t>
      </w:r>
    </w:p>
    <w:p>
      <w:pPr>
        <w:pStyle w:val="Heading3"/>
        <w:jc w:val="left"/>
      </w:pPr>
      <w:r>
        <w:rPr>
          <w:rFonts w:ascii="Lato" w:hAnsi="Lato"/>
          <w:b/>
          <w:color w:val="1E3A5F"/>
          <w:sz w:val="26"/>
        </w:rPr>
        <w:t>Further Validation</w:t>
      </w:r>
    </w:p>
    <w:p>
      <w:pPr>
        <w:spacing w:after="120" w:before="0"/>
      </w:pPr>
      <w:r>
        <w:rPr>
          <w:rFonts w:ascii="Lato" w:hAnsi="Lato"/>
          <w:b w:val="0"/>
          <w:i w:val="0"/>
          <w:sz w:val="22"/>
        </w:rPr>
        <w:t>Clinical study on GLP-1 outcomes specifically in Indian women with PCOS, measuring hormonal markers alongside weight loss. Qualitative research on how PCOS-related weight stigma differs from general weight stigma in Indian culture.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"While I understand your post, you are missing the point of insulin resistance and fat shaming instead.  I have been thin and fat.  I am a menopausal woman who worked out like crazy and counted every calorie.  I could not lose weight - just kept gaining.  My doctor suggested I try zepbound.  I started to lose immediately.  My blood work is now amazing."</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"Hi there, I’m a nutritionist working with women suffering from PCOS. You can connect with me and have a discussion regarding that. My fees is pretty nominal that won’t be heavy at your budget"</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10. Sustainability &amp; Weight Regain Fears</w:t>
      </w:r>
    </w:p>
    <w:p>
      <w:pPr>
        <w:spacing w:after="160"/>
      </w:pPr>
      <w:r>
        <w:rPr>
          <w:rFonts w:ascii="Lato" w:hAnsi="Lato"/>
          <w:b w:val="0"/>
          <w:i w:val="0"/>
          <w:color w:val="6B7280"/>
          <w:sz w:val="18"/>
        </w:rPr>
        <w:t>n=217</w:t>
      </w:r>
      <w:r>
        <w:rPr>
          <w:rFonts w:ascii="Lato" w:hAnsi="Lato"/>
          <w:b w:val="0"/>
          <w:i w:val="0"/>
          <w:color w:val="374151"/>
          <w:sz w:val="18"/>
        </w:rPr>
        <w:t xml:space="preserve">  |  Confidence: </w:t>
      </w:r>
      <w:r>
        <w:rPr>
          <w:rFonts w:ascii="Lato" w:hAnsi="Lato"/>
          <w:b/>
          <w:i w:val="0"/>
          <w:color w:val="D97706"/>
          <w:sz w:val="18"/>
        </w:rPr>
        <w:t>64% (Medium)</w:t>
      </w:r>
      <w:r>
        <w:rPr>
          <w:rFonts w:ascii="Lato" w:hAnsi="Lato"/>
          <w:b w:val="0"/>
          <w:i w:val="0"/>
          <w:color w:val="374151"/>
          <w:sz w:val="18"/>
        </w:rPr>
        <w:t xml:space="preserve">  |  Signal: </w:t>
      </w:r>
      <w:r>
        <w:rPr>
          <w:rFonts w:ascii="Lato" w:hAnsi="Lato"/>
          <w:b/>
          <w:i w:val="0"/>
          <w:color w:val="374151"/>
          <w:sz w:val="18"/>
        </w:rPr>
        <w:t>70% (Moderate)</w:t>
      </w:r>
      <w:r>
        <w:rPr>
          <w:rFonts w:ascii="Lato" w:hAnsi="Lato"/>
          <w:b w:val="0"/>
          <w:i w:val="0"/>
          <w:color w:val="6B7280"/>
          <w:sz w:val="18"/>
        </w:rPr>
        <w:t xml:space="preserve">  |  12.1% of Dataset</w:t>
      </w:r>
      <w:r>
        <w:rPr>
          <w:rFonts w:ascii="Lato" w:hAnsi="Lato"/>
          <w:b w:val="0"/>
          <w:i w:val="0"/>
          <w:color w:val="6B7280"/>
          <w:sz w:val="18"/>
        </w:rPr>
        <w:t xml:space="preserve">  |  NSS: </w:t>
      </w:r>
      <w:r>
        <w:rPr>
          <w:rFonts w:ascii="Lato" w:hAnsi="Lato"/>
          <w:b/>
          <w:i w:val="0"/>
          <w:color w:val="059669"/>
          <w:sz w:val="18"/>
        </w:rPr>
        <w:t>+25%</w:t>
      </w:r>
    </w:p>
    <w:p>
      <w:pPr>
        <w:jc w:val="center"/>
      </w:pPr>
      <w:r>
        <w:drawing>
          <wp:inline xmlns:a="http://schemas.openxmlformats.org/drawingml/2006/main" xmlns:pic="http://schemas.openxmlformats.org/drawingml/2006/picture">
            <wp:extent cx="3474720" cy="3547185"/>
            <wp:docPr id="16" name="Picture 16"/>
            <wp:cNvGraphicFramePr>
              <a:graphicFrameLocks noChangeAspect="1"/>
            </wp:cNvGraphicFramePr>
            <a:graphic>
              <a:graphicData uri="http://schemas.openxmlformats.org/drawingml/2006/picture">
                <pic:pic>
                  <pic:nvPicPr>
                    <pic:cNvPr id="0" name="chart_radar_INS_008.png"/>
                    <pic:cNvPicPr/>
                  </pic:nvPicPr>
                  <pic:blipFill>
                    <a:blip r:embed="rId24"/>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Sustainability &amp; Weight Regain Fears</w:t>
      </w:r>
    </w:p>
    <w:p>
      <w:pPr>
        <w:pStyle w:val="Heading3"/>
        <w:jc w:val="left"/>
      </w:pPr>
      <w:r>
        <w:rPr>
          <w:rFonts w:ascii="Lato" w:hAnsi="Lato"/>
          <w:b/>
          <w:color w:val="1E3A5F"/>
          <w:sz w:val="26"/>
        </w:rPr>
        <w:t>What the Data Shows</w:t>
      </w:r>
    </w:p>
    <w:p>
      <w:pPr>
        <w:spacing w:after="120" w:before="0"/>
      </w:pPr>
      <w:r>
        <w:rPr>
          <w:rFonts w:ascii="Lato" w:hAnsi="Lato"/>
          <w:b w:val="0"/>
          <w:i w:val="0"/>
          <w:sz w:val="22"/>
        </w:rPr>
        <w:t>Sustainability and weight regain fears generate 217 mentions (12.09% prevalence) with notably negative sentiment (NSS +0.25). The core fear is lifelong medication dependency - consumers ask 'do I have to take this forever?' and cite statistics about weight regain after discontinuation. The 'exit strategy' concept recurs frequently, with consumers wanting to know the plan for coming off medication.</w:t>
      </w:r>
    </w:p>
    <w:p>
      <w:pPr>
        <w:pStyle w:val="Heading3"/>
        <w:jc w:val="left"/>
      </w:pPr>
      <w:r>
        <w:rPr>
          <w:rFonts w:ascii="Lato" w:hAnsi="Lato"/>
          <w:b/>
          <w:color w:val="1E3A5F"/>
          <w:sz w:val="26"/>
        </w:rPr>
        <w:t>What it Means</w:t>
      </w:r>
    </w:p>
    <w:p>
      <w:pPr>
        <w:spacing w:after="120" w:before="0"/>
      </w:pPr>
      <w:r>
        <w:rPr>
          <w:rFonts w:ascii="Lato" w:hAnsi="Lato"/>
          <w:b w:val="0"/>
          <w:i w:val="0"/>
          <w:sz w:val="22"/>
        </w:rPr>
        <w:t>The sustainability concern is not primarily about the medication's biological mechanism - it reflects a deeper anxiety about losing agency over one's own body. Consumers interpret 'you may need to take this long-term' as 'you will never be able to manage your weight independently,' which triggers the same shame-based response as the initial weight struggle. This fear is amplified in India where lifelong medication is culturally associated with chronic illness rather than health optimization.</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sustainability narrative is suppressing trial initiation and causing premature discontinuation. Without addressing this concern directly, the GLP-1 market will see high dropout rates and negative word-of-mouth from consumers who stopped prematurely and regained weight, creating a self-fulfilling prophecy.</w:t>
      </w:r>
    </w:p>
    <w:p>
      <w:pPr>
        <w:pStyle w:val="Heading3"/>
        <w:jc w:val="left"/>
      </w:pPr>
      <w:r>
        <w:rPr>
          <w:rFonts w:ascii="Lato" w:hAnsi="Lato"/>
          <w:b/>
          <w:color w:val="1E3A5F"/>
          <w:sz w:val="26"/>
        </w:rPr>
        <w:t>Recommendation</w:t>
      </w:r>
    </w:p>
    <w:p>
      <w:pPr>
        <w:spacing w:after="120" w:before="0"/>
      </w:pPr>
      <w:r>
        <w:rPr>
          <w:rFonts w:ascii="Lato" w:hAnsi="Lato"/>
          <w:b w:val="0"/>
          <w:i w:val="0"/>
          <w:sz w:val="22"/>
        </w:rPr>
        <w:t>Reframe the long-term narrative from 'lifelong dependency' to 'health management tool with exit options.' Develop and communicate structured tapering protocols and lifestyle transition plans. Highlight success stories of consumers who maintained weight loss after tapering - the data shows these exist but are drowned out by regain stories.</w:t>
      </w:r>
    </w:p>
    <w:p>
      <w:pPr>
        <w:pStyle w:val="Heading3"/>
        <w:jc w:val="left"/>
      </w:pPr>
      <w:r>
        <w:rPr>
          <w:rFonts w:ascii="Lato" w:hAnsi="Lato"/>
          <w:b/>
          <w:color w:val="1E3A5F"/>
          <w:sz w:val="26"/>
        </w:rPr>
        <w:t>Further Validation</w:t>
      </w:r>
    </w:p>
    <w:p>
      <w:pPr>
        <w:spacing w:after="120" w:before="0"/>
      </w:pPr>
      <w:r>
        <w:rPr>
          <w:rFonts w:ascii="Lato" w:hAnsi="Lato"/>
          <w:b w:val="0"/>
          <w:i w:val="0"/>
          <w:sz w:val="22"/>
        </w:rPr>
        <w:t>Longitudinal study tracking Indian GLP-1 users at 6, 12, and 24 months post-discontinuation to establish India-specific regain rates and identify factors predicting successful maintenance.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"Food structure, portions, and sequencing absolutely matter. Glycemic response is highly individual, so personalization and sustainability make the biggest difference long term."</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"I lost 76lbs in 7 months. It turned the light switch back on in my metabolism… metabolic syndrome of menopause, gone… diabetes… gone… harmful visceral fat gone… inflammation gone… at 55 I’m the healthiest I’ve been since my 20’s. I was so against glps at first until nothing else would help me in the vicious cycle of perimenopause to menopause symptoms, and the havoc my body was going through. I th"</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 xml:space="preserve">"Yes I have a few patients who have started to gain their weight back. They had stopped once they had reached their goal weight or costs privately were quite prohibitive. </w:t>
        <w:br/>
        <w:br/>
        <w:t>You chat to them, and quite a few of them hadn’t made any conscious dietary changes…they were eating less of the shit."</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11. Obesity Epidemic &amp; Systemic Food Issues</w:t>
      </w:r>
    </w:p>
    <w:p>
      <w:pPr>
        <w:spacing w:after="160"/>
      </w:pPr>
      <w:r>
        <w:rPr>
          <w:rFonts w:ascii="Lato" w:hAnsi="Lato"/>
          <w:b w:val="0"/>
          <w:i w:val="0"/>
          <w:color w:val="6B7280"/>
          <w:sz w:val="18"/>
        </w:rPr>
        <w:t>n=103</w:t>
      </w:r>
      <w:r>
        <w:rPr>
          <w:rFonts w:ascii="Lato" w:hAnsi="Lato"/>
          <w:b w:val="0"/>
          <w:i w:val="0"/>
          <w:color w:val="374151"/>
          <w:sz w:val="18"/>
        </w:rPr>
        <w:t xml:space="preserve">  |  Confidence: </w:t>
      </w:r>
      <w:r>
        <w:rPr>
          <w:rFonts w:ascii="Lato" w:hAnsi="Lato"/>
          <w:b/>
          <w:i w:val="0"/>
          <w:color w:val="D97706"/>
          <w:sz w:val="18"/>
        </w:rPr>
        <w:t>61% (Medium)</w:t>
      </w:r>
      <w:r>
        <w:rPr>
          <w:rFonts w:ascii="Lato" w:hAnsi="Lato"/>
          <w:b w:val="0"/>
          <w:i w:val="0"/>
          <w:color w:val="374151"/>
          <w:sz w:val="18"/>
        </w:rPr>
        <w:t xml:space="preserve">  |  Signal: </w:t>
      </w:r>
      <w:r>
        <w:rPr>
          <w:rFonts w:ascii="Lato" w:hAnsi="Lato"/>
          <w:b/>
          <w:i w:val="0"/>
          <w:color w:val="374151"/>
          <w:sz w:val="18"/>
        </w:rPr>
        <w:t>45% (Weak)</w:t>
      </w:r>
      <w:r>
        <w:rPr>
          <w:rFonts w:ascii="Lato" w:hAnsi="Lato"/>
          <w:b w:val="0"/>
          <w:i w:val="0"/>
          <w:color w:val="6B7280"/>
          <w:sz w:val="18"/>
        </w:rPr>
        <w:t xml:space="preserve">  |  5.7% of Dataset</w:t>
      </w:r>
      <w:r>
        <w:rPr>
          <w:rFonts w:ascii="Lato" w:hAnsi="Lato"/>
          <w:b w:val="0"/>
          <w:i w:val="0"/>
          <w:color w:val="6B7280"/>
          <w:sz w:val="18"/>
        </w:rPr>
        <w:t xml:space="preserve">  |  NSS: </w:t>
      </w:r>
      <w:r>
        <w:rPr>
          <w:rFonts w:ascii="Lato" w:hAnsi="Lato"/>
          <w:b/>
          <w:i w:val="0"/>
          <w:color w:val="059669"/>
          <w:sz w:val="18"/>
        </w:rPr>
        <w:t>+16%</w:t>
      </w:r>
    </w:p>
    <w:p>
      <w:pPr>
        <w:jc w:val="center"/>
      </w:pPr>
      <w:r>
        <w:drawing>
          <wp:inline xmlns:a="http://schemas.openxmlformats.org/drawingml/2006/main" xmlns:pic="http://schemas.openxmlformats.org/drawingml/2006/picture">
            <wp:extent cx="3474720" cy="3547185"/>
            <wp:docPr id="17" name="Picture 17"/>
            <wp:cNvGraphicFramePr>
              <a:graphicFrameLocks noChangeAspect="1"/>
            </wp:cNvGraphicFramePr>
            <a:graphic>
              <a:graphicData uri="http://schemas.openxmlformats.org/drawingml/2006/picture">
                <pic:pic>
                  <pic:nvPicPr>
                    <pic:cNvPr id="0" name="chart_radar_INS_011.png"/>
                    <pic:cNvPicPr/>
                  </pic:nvPicPr>
                  <pic:blipFill>
                    <a:blip r:embed="rId25"/>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Obesity Epidemic &amp; Systemic Food Issues</w:t>
      </w:r>
    </w:p>
    <w:p>
      <w:pPr>
        <w:pStyle w:val="Heading3"/>
        <w:jc w:val="left"/>
      </w:pPr>
      <w:r>
        <w:rPr>
          <w:rFonts w:ascii="Lato" w:hAnsi="Lato"/>
          <w:b/>
          <w:color w:val="1E3A5F"/>
          <w:sz w:val="26"/>
        </w:rPr>
        <w:t>What the Data Shows</w:t>
      </w:r>
    </w:p>
    <w:p>
      <w:pPr>
        <w:spacing w:after="120" w:before="0"/>
      </w:pPr>
      <w:r>
        <w:rPr>
          <w:rFonts w:ascii="Lato" w:hAnsi="Lato"/>
          <w:b w:val="0"/>
          <w:i w:val="0"/>
          <w:sz w:val="22"/>
        </w:rPr>
        <w:t>Systemic obesity and food industry discussion generates 103 mentions (5.74% prevalence). Narratives include ultra-processed food as the root cause of obesity, pharmaceutical companies profiting from the disease they indirectly created, and geopolitical framing (comparison of global obesity rates). A notable sub-narrative positions GLP-1 drugs as 'necessary tools against diseases inflicted upon us' by the food industry.</w:t>
      </w:r>
    </w:p>
    <w:p>
      <w:pPr>
        <w:pStyle w:val="Heading3"/>
        <w:jc w:val="left"/>
      </w:pPr>
      <w:r>
        <w:rPr>
          <w:rFonts w:ascii="Lato" w:hAnsi="Lato"/>
          <w:b/>
          <w:color w:val="1E3A5F"/>
          <w:sz w:val="26"/>
        </w:rPr>
        <w:t>What it Means</w:t>
      </w:r>
    </w:p>
    <w:p>
      <w:pPr>
        <w:spacing w:after="120" w:before="0"/>
      </w:pPr>
      <w:r>
        <w:rPr>
          <w:rFonts w:ascii="Lato" w:hAnsi="Lato"/>
          <w:b w:val="0"/>
          <w:i w:val="0"/>
          <w:sz w:val="22"/>
        </w:rPr>
        <w:t>A growing consumer segment views the obesity-medication relationship through a systemic lens: the food industry creates the problem, the pharmaceutical industry sells the solution, and individuals are caught in between. This framing, while politically charged, reflects genuine consumer frustration with feeling unable to manage weight through willpower alone in a food environment designed to override satiety signals. The narrative legitimizes medication use by removing individual blame.</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systemic framing can be leveraged to destigmatize medication use - if obesity is caused by environmental factors rather than personal failure, then medication is a rational response rather than a moral shortcut. However, this narrative also carries anti-pharma sentiment that could backfire if consumers perceive drug companies as profiteering from a problem they benefit from perpetuating.</w:t>
      </w:r>
    </w:p>
    <w:p>
      <w:pPr>
        <w:pStyle w:val="Heading3"/>
        <w:jc w:val="left"/>
      </w:pPr>
      <w:r>
        <w:rPr>
          <w:rFonts w:ascii="Lato" w:hAnsi="Lato"/>
          <w:b/>
          <w:color w:val="1E3A5F"/>
          <w:sz w:val="26"/>
        </w:rPr>
        <w:t>Recommendation</w:t>
      </w:r>
    </w:p>
    <w:p>
      <w:pPr>
        <w:spacing w:after="120" w:before="0"/>
      </w:pPr>
      <w:r>
        <w:rPr>
          <w:rFonts w:ascii="Lato" w:hAnsi="Lato"/>
          <w:b w:val="0"/>
          <w:i w:val="0"/>
          <w:sz w:val="22"/>
        </w:rPr>
        <w:t>Align messaging with the systemic framing where appropriate - acknowledge that modern food environments make weight management genuinely difficult for many people, and position medication as one of several legitimate tools for health. Avoid any messaging that implies weight is purely a matter of personal responsibility, as this directly contradicts the consumer narrative and will generate backlash.</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the systemic obesity narrative over time to determine if it is growing or stable. Assess whether this framing differentially impacts medication acceptance across socioeconomic segments in India.</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"What about the side effects from big pharma drugs????? I’m sure there’s not nearly as many or perhaps 0 from lifestyle methods"</w:t>
      </w:r>
      <w:r>
        <w:rPr>
          <w:rFonts w:ascii="Lato" w:hAnsi="Lato"/>
          <w:b w:val="0"/>
          <w:i w:val="0"/>
          <w:color w:val="6B7280"/>
          <w:sz w:val="18"/>
        </w:rPr>
        <w:t xml:space="preserve">  - instagram</w:t>
      </w:r>
    </w:p>
    <w:p>
      <w:pPr>
        <w:spacing w:before="80" w:after="80"/>
        <w:ind w:left="680" w:right="680"/>
      </w:pPr>
      <w:r>
        <w:rPr>
          <w:rFonts w:ascii="Lato" w:hAnsi="Lato"/>
          <w:b w:val="0"/>
          <w:i/>
          <w:color w:val="374151"/>
          <w:sz w:val="20"/>
        </w:rPr>
        <w:t xml:space="preserve">"I would say if you're going for medicine or medicine like branches ofcourse visit the hospital and look at the setup they have, patient load, infrastructure etc. </w:t>
        <w:br/>
        <w:t>Most DNBs are corporate and they do invest in good infrastructure atleast. Depends on setup"</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12. Celebrity &amp; Bollywood Ozempic Speculation</w:t>
      </w:r>
    </w:p>
    <w:p>
      <w:pPr>
        <w:spacing w:after="160"/>
      </w:pPr>
      <w:r>
        <w:rPr>
          <w:rFonts w:ascii="Lato" w:hAnsi="Lato"/>
          <w:b w:val="0"/>
          <w:i w:val="0"/>
          <w:color w:val="6B7280"/>
          <w:sz w:val="18"/>
        </w:rPr>
        <w:t>n=115</w:t>
      </w:r>
      <w:r>
        <w:rPr>
          <w:rFonts w:ascii="Lato" w:hAnsi="Lato"/>
          <w:b w:val="0"/>
          <w:i w:val="0"/>
          <w:color w:val="374151"/>
          <w:sz w:val="18"/>
        </w:rPr>
        <w:t xml:space="preserve">  |  Confidence: </w:t>
      </w:r>
      <w:r>
        <w:rPr>
          <w:rFonts w:ascii="Lato" w:hAnsi="Lato"/>
          <w:b/>
          <w:i w:val="0"/>
          <w:color w:val="D97706"/>
          <w:sz w:val="18"/>
        </w:rPr>
        <w:t>60% (Medium)</w:t>
      </w:r>
      <w:r>
        <w:rPr>
          <w:rFonts w:ascii="Lato" w:hAnsi="Lato"/>
          <w:b w:val="0"/>
          <w:i w:val="0"/>
          <w:color w:val="374151"/>
          <w:sz w:val="18"/>
        </w:rPr>
        <w:t xml:space="preserve">  |  Signal: </w:t>
      </w:r>
      <w:r>
        <w:rPr>
          <w:rFonts w:ascii="Lato" w:hAnsi="Lato"/>
          <w:b/>
          <w:i w:val="0"/>
          <w:color w:val="374151"/>
          <w:sz w:val="18"/>
        </w:rPr>
        <w:t>61% (Moderate)</w:t>
      </w:r>
      <w:r>
        <w:rPr>
          <w:rFonts w:ascii="Lato" w:hAnsi="Lato"/>
          <w:b w:val="0"/>
          <w:i w:val="0"/>
          <w:color w:val="6B7280"/>
          <w:sz w:val="18"/>
        </w:rPr>
        <w:t xml:space="preserve">  |  6.4% of Dataset</w:t>
      </w:r>
      <w:r>
        <w:rPr>
          <w:rFonts w:ascii="Lato" w:hAnsi="Lato"/>
          <w:b w:val="0"/>
          <w:i w:val="0"/>
          <w:color w:val="6B7280"/>
          <w:sz w:val="18"/>
        </w:rPr>
        <w:t xml:space="preserve">  |  NSS: </w:t>
      </w:r>
      <w:r>
        <w:rPr>
          <w:rFonts w:ascii="Lato" w:hAnsi="Lato"/>
          <w:b/>
          <w:i w:val="0"/>
          <w:color w:val="059669"/>
          <w:sz w:val="18"/>
        </w:rPr>
        <w:t>+15%</w:t>
      </w:r>
    </w:p>
    <w:p>
      <w:pPr>
        <w:jc w:val="center"/>
      </w:pPr>
      <w:r>
        <w:drawing>
          <wp:inline xmlns:a="http://schemas.openxmlformats.org/drawingml/2006/main" xmlns:pic="http://schemas.openxmlformats.org/drawingml/2006/picture">
            <wp:extent cx="3474720" cy="3547185"/>
            <wp:docPr id="18" name="Picture 18"/>
            <wp:cNvGraphicFramePr>
              <a:graphicFrameLocks noChangeAspect="1"/>
            </wp:cNvGraphicFramePr>
            <a:graphic>
              <a:graphicData uri="http://schemas.openxmlformats.org/drawingml/2006/picture">
                <pic:pic>
                  <pic:nvPicPr>
                    <pic:cNvPr id="0" name="chart_radar_INS_004.png"/>
                    <pic:cNvPicPr/>
                  </pic:nvPicPr>
                  <pic:blipFill>
                    <a:blip r:embed="rId26"/>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Celebrity &amp; Bollywood Ozempic Speculation</w:t>
      </w:r>
    </w:p>
    <w:p>
      <w:pPr>
        <w:pStyle w:val="Heading3"/>
        <w:jc w:val="left"/>
      </w:pPr>
      <w:r>
        <w:rPr>
          <w:rFonts w:ascii="Lato" w:hAnsi="Lato"/>
          <w:b/>
          <w:color w:val="1E3A5F"/>
          <w:sz w:val="26"/>
        </w:rPr>
        <w:t>What the Data Shows</w:t>
      </w:r>
    </w:p>
    <w:p>
      <w:pPr>
        <w:spacing w:after="120" w:before="0"/>
      </w:pPr>
      <w:r>
        <w:rPr>
          <w:rFonts w:ascii="Lato" w:hAnsi="Lato"/>
          <w:b w:val="0"/>
          <w:i w:val="0"/>
          <w:sz w:val="22"/>
        </w:rPr>
        <w:t>Celebrity and Bollywood Ozempic speculation generates 115 mentions (6.41% prevalence). Consumers actively speculate about whether celebrities including Kapil Sharma, Karan Johar, Kusha Kapila, Sara Ali Khan, Bhumi Pednekar, and others used Ozempic for their weight loss transformations. The conversation is marked by frustration that celebrities do not acknowledge medication use.</w:t>
      </w:r>
    </w:p>
    <w:p>
      <w:pPr>
        <w:pStyle w:val="Heading3"/>
        <w:jc w:val="left"/>
      </w:pPr>
      <w:r>
        <w:rPr>
          <w:rFonts w:ascii="Lato" w:hAnsi="Lato"/>
          <w:b/>
          <w:color w:val="1E3A5F"/>
          <w:sz w:val="26"/>
        </w:rPr>
        <w:t>What it Means</w:t>
      </w:r>
    </w:p>
    <w:p>
      <w:pPr>
        <w:spacing w:after="120" w:before="0"/>
      </w:pPr>
      <w:r>
        <w:rPr>
          <w:rFonts w:ascii="Lato" w:hAnsi="Lato"/>
          <w:b w:val="0"/>
          <w:i w:val="0"/>
          <w:sz w:val="22"/>
        </w:rPr>
        <w:t>Bollywood serves as the primary cultural amplifier for GLP-1 awareness in India, but through a lens of suspicion rather than endorsement. Indian consumers interpret celebrity weight loss through an Ozempic-first lens - any rapid transformation is assumed to be medication-assisted. The refusal of celebrities to acknowledge this creates a credibility gap that fuels the stigma narrative and positions medication use as something to hide.</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celebrity silence strategy is backfiring - it reinforces medication stigma and creates an adversarial relationship between consumers and public figures. A single high-profile Indian celebrity openly discussing their GLP-1 journey could shift the conversation from shame to acceptance, similar to Oprah Winfrey's impact in the US market.</w:t>
      </w:r>
    </w:p>
    <w:p>
      <w:pPr>
        <w:pStyle w:val="Heading3"/>
        <w:jc w:val="left"/>
      </w:pPr>
      <w:r>
        <w:rPr>
          <w:rFonts w:ascii="Lato" w:hAnsi="Lato"/>
          <w:b/>
          <w:color w:val="1E3A5F"/>
          <w:sz w:val="26"/>
        </w:rPr>
        <w:t>Recommendation</w:t>
      </w:r>
    </w:p>
    <w:p>
      <w:pPr>
        <w:spacing w:after="120" w:before="0"/>
      </w:pPr>
      <w:r>
        <w:rPr>
          <w:rFonts w:ascii="Lato" w:hAnsi="Lato"/>
          <w:b w:val="0"/>
          <w:i w:val="0"/>
          <w:sz w:val="22"/>
        </w:rPr>
        <w:t>Identify and engage with Indian public figures who have been transparent about their health journeys (the data shows Kusha Kapila's weight loss video resonated positively). Develop a celebrity partnership strategy focused on destigmatization rather than endorsement - the goal is normalization, not promotion.</w:t>
      </w:r>
    </w:p>
    <w:p>
      <w:pPr>
        <w:pStyle w:val="Heading3"/>
        <w:jc w:val="left"/>
      </w:pPr>
      <w:r>
        <w:rPr>
          <w:rFonts w:ascii="Lato" w:hAnsi="Lato"/>
          <w:b/>
          <w:color w:val="1E3A5F"/>
          <w:sz w:val="26"/>
        </w:rPr>
        <w:t>Further Validation</w:t>
      </w:r>
    </w:p>
    <w:p>
      <w:pPr>
        <w:spacing w:after="120" w:before="0"/>
      </w:pPr>
      <w:r>
        <w:rPr>
          <w:rFonts w:ascii="Lato" w:hAnsi="Lato"/>
          <w:b w:val="0"/>
          <w:i w:val="0"/>
          <w:sz w:val="22"/>
        </w:rPr>
        <w:t>Sentiment analysis of consumer responses to celebrity weight loss disclosures vs. denials to quantify the trust impact of transparency. Compare Indian vs. US consumer attitudes toward celebrity GLP-1 use.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"If I am not wrong, insulin resistance is the major factor in PCOS/PCOD. I didn’t realize drugs like Ozempic, Wegovy and Mounjaro would be effective for PCOS. I was listening to a podcast in which Prashant Desai, was the guest, mentioned this and he also said that many people are considering renaming PCOS to something like Insulin resistance Syndrome. From your experience, did you find ozempic help"</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 xml:space="preserve">"Yeah I'm so confused about the downvotes. I don't think people read past the title tbh. I'm not agreeing with the theory, I just wanted to discuss it. </w:t>
        <w:br/>
        <w:br/>
        <w:t>Personally, even though I'm sticking with my IF and CICO, I find it really fascinating to think of how many factors play into our health"</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"I take Ozempic for diabetes and I am also obese so weight loss is the bonus. I do at times have to wait for my script due to shortage. With the media hyping up the weight loss and celebrity aspect, it is understandable that people put two and two together but end up with 3. I believe that those with diabetes should be prioritised but I don't agree that people should be bullied or stigmatized if th"</w:t>
      </w:r>
      <w:r>
        <w:rPr>
          <w:rFonts w:ascii="Lato" w:hAnsi="Lato"/>
          <w:b w:val="0"/>
          <w:i w:val="0"/>
          <w:color w:val="6B7280"/>
          <w:sz w:val="18"/>
        </w:rPr>
        <w:t xml:space="preserve">  - instagram</w:t>
      </w:r>
    </w:p>
    <w:p>
      <w:r>
        <w:br w:type="page"/>
      </w:r>
    </w:p>
    <w:p>
      <w:pPr>
        <w:pStyle w:val="Heading1"/>
        <w:jc w:val="left"/>
      </w:pPr>
      <w:r>
        <w:rPr>
          <w:rFonts w:ascii="Lato" w:hAnsi="Lato"/>
          <w:b/>
          <w:color w:val="1E3A5F"/>
          <w:sz w:val="44"/>
        </w:rPr>
        <w:t>Brand Health Score</w:t>
      </w:r>
    </w:p>
    <w:p>
      <w:pPr>
        <w:spacing w:after="160"/>
      </w:pPr>
      <w:r>
        <w:rPr>
          <w:rFonts w:ascii="Lato" w:hAnsi="Lato"/>
          <w:b/>
          <w:i w:val="0"/>
          <w:color w:val="1E3A5F"/>
          <w:sz w:val="26"/>
        </w:rPr>
        <w:t xml:space="preserve">Overall Brand Health Score: </w:t>
      </w:r>
      <w:r>
        <w:rPr>
          <w:rFonts w:ascii="Lato" w:hAnsi="Lato"/>
          <w:b/>
          <w:i w:val="0"/>
          <w:color w:val="D97706"/>
          <w:sz w:val="40"/>
        </w:rPr>
        <w:t>69/100</w:t>
      </w:r>
    </w:p>
    <w:p>
      <w:pPr>
        <w:spacing w:after="120" w:before="0"/>
      </w:pPr>
      <w:r>
        <w:rPr>
          <w:rFonts w:ascii="Lato" w:hAnsi="Lato"/>
          <w:b w:val="0"/>
          <w:i w:val="0"/>
          <w:sz w:val="22"/>
        </w:rPr>
        <w:t>Brand Health Score is a composite index built from five data-driven components. No subjective weighting is applied - all inputs are derived from the collected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Component</w:t>
            </w:r>
          </w:p>
        </w:tc>
        <w:tc>
          <w:tcPr>
            <w:tcW w:type="dxa" w:w="3135"/>
            <w:shd w:val="clear" w:color="auto" w:fill="1E3A5F"/>
          </w:tcPr>
          <w:p>
            <w:pPr>
              <w:spacing w:before="60" w:after="60"/>
            </w:pPr>
            <w:r/>
            <w:r>
              <w:rPr>
                <w:rFonts w:ascii="Lato" w:hAnsi="Lato"/>
                <w:b/>
                <w:i w:val="0"/>
                <w:color w:val="FFFFFF"/>
                <w:sz w:val="20"/>
              </w:rPr>
              <w:t>Score</w:t>
            </w:r>
          </w:p>
        </w:tc>
        <w:tc>
          <w:tcPr>
            <w:tcW w:type="dxa" w:w="3135"/>
            <w:shd w:val="clear" w:color="auto" w:fill="1E3A5F"/>
          </w:tcPr>
          <w:p>
            <w:pPr>
              <w:spacing w:before="60" w:after="60"/>
            </w:pPr>
            <w:r/>
            <w:r>
              <w:rPr>
                <w:rFonts w:ascii="Lato" w:hAnsi="Lato"/>
                <w:b/>
                <w:i w:val="0"/>
                <w:color w:val="FFFFFF"/>
                <w:sz w:val="20"/>
              </w:rPr>
              <w:t>Methodology</w:t>
            </w:r>
          </w:p>
        </w:tc>
      </w:tr>
      <w:tr>
        <w:tc>
          <w:tcPr>
            <w:tcW w:type="dxa" w:w="3135"/>
          </w:tcPr>
          <w:p>
            <w:r>
              <w:t>Sentiment Component (30%)</w:t>
            </w:r>
          </w:p>
        </w:tc>
        <w:tc>
          <w:tcPr>
            <w:tcW w:type="dxa" w:w="3135"/>
          </w:tcPr>
          <w:p>
            <w:r>
              <w:rPr>
                <w:rFonts w:ascii="Lato" w:hAnsi="Lato"/>
                <w:b/>
                <w:i w:val="0"/>
                <w:color w:val="D97706"/>
                <w:sz w:val="22"/>
              </w:rPr>
              <w:t>59.7</w:t>
            </w:r>
          </w:p>
        </w:tc>
        <w:tc>
          <w:tcPr>
            <w:tcW w:type="dxa" w:w="3135"/>
          </w:tcPr>
          <w:p>
            <w:r>
              <w:t>Derived from NSS across all items. Reflects the ratio of positive to negative consumer language.</w:t>
            </w:r>
          </w:p>
        </w:tc>
      </w:tr>
      <w:tr>
        <w:tc>
          <w:tcPr>
            <w:tcW w:type="dxa" w:w="3135"/>
          </w:tcPr>
          <w:p>
            <w:r>
              <w:t>Engagement Component (25%)</w:t>
            </w:r>
          </w:p>
        </w:tc>
        <w:tc>
          <w:tcPr>
            <w:tcW w:type="dxa" w:w="3135"/>
          </w:tcPr>
          <w:p>
            <w:r>
              <w:rPr>
                <w:rFonts w:ascii="Lato" w:hAnsi="Lato"/>
                <w:b/>
                <w:i w:val="0"/>
                <w:color w:val="059669"/>
                <w:sz w:val="22"/>
              </w:rPr>
              <w:t>99.4</w:t>
            </w:r>
          </w:p>
        </w:tc>
        <w:tc>
          <w:tcPr>
            <w:tcW w:type="dxa" w:w="3135"/>
          </w:tcPr>
          <w:p>
            <w:r>
              <w:t>Average engagement (upvotes, likes, comments) normalised to platform benchmarks.</w:t>
            </w:r>
          </w:p>
        </w:tc>
      </w:tr>
      <w:tr>
        <w:tc>
          <w:tcPr>
            <w:tcW w:type="dxa" w:w="3135"/>
          </w:tcPr>
          <w:p>
            <w:r>
              <w:t>Advocacy Component (20%)</w:t>
            </w:r>
          </w:p>
        </w:tc>
        <w:tc>
          <w:tcPr>
            <w:tcW w:type="dxa" w:w="3135"/>
          </w:tcPr>
          <w:p>
            <w:r>
              <w:rPr>
                <w:rFonts w:ascii="Lato" w:hAnsi="Lato"/>
                <w:b/>
                <w:i w:val="0"/>
                <w:color w:val="DC2626"/>
                <w:sz w:val="22"/>
              </w:rPr>
              <w:t>46.4</w:t>
            </w:r>
          </w:p>
        </w:tc>
        <w:tc>
          <w:tcPr>
            <w:tcW w:type="dxa" w:w="3135"/>
          </w:tcPr>
          <w:p>
            <w:r>
              <w:t>Proportion of items containing explicit recommendation or repurchase intent language.</w:t>
            </w:r>
          </w:p>
        </w:tc>
      </w:tr>
      <w:tr>
        <w:tc>
          <w:tcPr>
            <w:tcW w:type="dxa" w:w="3135"/>
          </w:tcPr>
          <w:p>
            <w:r>
              <w:t>Resilience Component (15%)</w:t>
            </w:r>
          </w:p>
        </w:tc>
        <w:tc>
          <w:tcPr>
            <w:tcW w:type="dxa" w:w="3135"/>
          </w:tcPr>
          <w:p>
            <w:r>
              <w:rPr>
                <w:rFonts w:ascii="Lato" w:hAnsi="Lato"/>
                <w:b/>
                <w:i w:val="0"/>
                <w:color w:val="059669"/>
                <w:sz w:val="22"/>
              </w:rPr>
              <w:t>89.3</w:t>
            </w:r>
          </w:p>
        </w:tc>
        <w:tc>
          <w:tcPr>
            <w:tcW w:type="dxa" w:w="3135"/>
          </w:tcPr>
          <w:p>
            <w:r>
              <w:t>Sentiment consistency across platforms and time periods.</w:t>
            </w:r>
          </w:p>
        </w:tc>
      </w:tr>
      <w:tr>
        <w:tc>
          <w:tcPr>
            <w:tcW w:type="dxa" w:w="3135"/>
          </w:tcPr>
          <w:p>
            <w:r>
              <w:t>Conversation Component (10%)</w:t>
            </w:r>
          </w:p>
        </w:tc>
        <w:tc>
          <w:tcPr>
            <w:tcW w:type="dxa" w:w="3135"/>
          </w:tcPr>
          <w:p>
            <w:r>
              <w:rPr>
                <w:rFonts w:ascii="Lato" w:hAnsi="Lato"/>
                <w:b/>
                <w:i w:val="0"/>
                <w:color w:val="DC2626"/>
                <w:sz w:val="22"/>
              </w:rPr>
              <w:t>32.6</w:t>
            </w:r>
          </w:p>
        </w:tc>
        <w:tc>
          <w:tcPr>
            <w:tcW w:type="dxa" w:w="3135"/>
          </w:tcPr>
          <w:p>
            <w:r>
              <w:t>Volume and depth of organic brand conversation (non-promotional threads).</w:t>
            </w:r>
          </w:p>
        </w:tc>
      </w:tr>
    </w:tbl>
    <w:p>
      <w:pPr>
        <w:spacing w:before="280" w:after="120"/>
      </w:pPr>
      <w:r>
        <w:rPr>
          <w:rFonts w:ascii="Lato" w:hAnsi="Lato"/>
          <w:b/>
          <w:i w:val="0"/>
          <w:color w:val="1E3A5F"/>
          <w:sz w:val="22"/>
        </w:rPr>
        <w:t xml:space="preserve">Note: </w:t>
      </w:r>
      <w:r>
        <w:rPr>
          <w:rFonts w:ascii="Lato" w:hAnsi="Lato"/>
          <w:b w:val="0"/>
          <w:i w:val="0"/>
          <w:color w:val="374151"/>
          <w:sz w:val="22"/>
        </w:rPr>
        <w:t>The Conversation Component (33/100) is the lowest-scoring factor. This reflects that most brand mentions occur in reaction to advertising, campaigns, and celebrity content rather than unprompted consumer-initiated discussion. Organic brand conversation is thin relative to engagement volume - a pattern consistent with a brand consumers transact with rather than one they actively champion.</w:t>
      </w:r>
    </w:p>
    <w:p>
      <w:r>
        <w:br w:type="page"/>
      </w:r>
    </w:p>
    <w:p>
      <w:pPr>
        <w:pStyle w:val="Heading1"/>
        <w:jc w:val="left"/>
      </w:pPr>
      <w:r>
        <w:rPr>
          <w:rFonts w:ascii="Lato" w:hAnsi="Lato"/>
          <w:b/>
          <w:color w:val="1E3A5F"/>
          <w:sz w:val="44"/>
        </w:rPr>
        <w:t>Methodology</w:t>
      </w:r>
    </w:p>
    <w:p>
      <w:pPr>
        <w:pStyle w:val="Heading2"/>
        <w:jc w:val="left"/>
      </w:pPr>
      <w:r>
        <w:rPr>
          <w:rFonts w:ascii="Lato" w:hAnsi="Lato"/>
          <w:b/>
          <w:color w:val="1E3A5F"/>
          <w:sz w:val="32"/>
        </w:rPr>
        <w:t>Pipeline Overview</w:t>
      </w:r>
    </w:p>
    <w:p>
      <w:pPr>
        <w:pStyle w:val="ListBullet"/>
        <w:spacing w:after="80"/>
      </w:pPr>
      <w:r>
        <w:rPr>
          <w:rFonts w:ascii="Lato" w:hAnsi="Lato"/>
          <w:b/>
          <w:i w:val="0"/>
          <w:color w:val="1E3A5F"/>
          <w:sz w:val="22"/>
        </w:rPr>
        <w:t xml:space="preserve">Stage 0 - Brief </w:t>
      </w:r>
      <w:r>
        <w:rPr>
          <w:rFonts w:ascii="Lato" w:hAnsi="Lato"/>
          <w:b w:val="0"/>
          <w:i w:val="0"/>
          <w:sz w:val="22"/>
        </w:rPr>
        <w:t>Structured research brief defines brand, competitors, geography, business objectives, and keyword seed list.</w:t>
      </w:r>
    </w:p>
    <w:p>
      <w:pPr>
        <w:pStyle w:val="ListBullet"/>
        <w:spacing w:after="80"/>
      </w:pPr>
      <w:r>
        <w:rPr>
          <w:rFonts w:ascii="Lato" w:hAnsi="Lato"/>
          <w:b/>
          <w:i w:val="0"/>
          <w:color w:val="1E3A5F"/>
          <w:sz w:val="22"/>
        </w:rPr>
        <w:t xml:space="preserve">Stage 1 - Collect </w:t>
      </w:r>
      <w:r>
        <w:rPr>
          <w:rFonts w:ascii="Lato" w:hAnsi="Lato"/>
          <w:b w:val="0"/>
          <w:i w:val="0"/>
          <w:sz w:val="22"/>
        </w:rPr>
        <w:t>Automated collection across Instagram, Reddit, Youtube. Engagement-minimum filters applied at collection time.</w:t>
      </w:r>
    </w:p>
    <w:p>
      <w:pPr>
        <w:pStyle w:val="ListBullet"/>
        <w:spacing w:after="80"/>
      </w:pPr>
      <w:r>
        <w:rPr>
          <w:rFonts w:ascii="Lato" w:hAnsi="Lato"/>
          <w:b/>
          <w:i w:val="0"/>
          <w:color w:val="1E3A5F"/>
          <w:sz w:val="22"/>
        </w:rPr>
        <w:t xml:space="preserve">Stage 2 - Normalize </w:t>
      </w:r>
      <w:r>
        <w:rPr>
          <w:rFonts w:ascii="Lato" w:hAnsi="Lato"/>
          <w:b w:val="0"/>
          <w:i w:val="0"/>
          <w:sz w:val="22"/>
        </w:rPr>
        <w:t>Thread-level deduplication (comments capped per thread). Deterministic SHA-256 item IDs prevent re-collection of duplicates across runs.</w:t>
      </w:r>
    </w:p>
    <w:p>
      <w:pPr>
        <w:pStyle w:val="ListBullet"/>
        <w:spacing w:after="80"/>
      </w:pPr>
      <w:r>
        <w:rPr>
          <w:rFonts w:ascii="Lato" w:hAnsi="Lato"/>
          <w:b/>
          <w:i w:val="0"/>
          <w:color w:val="1E3A5F"/>
          <w:sz w:val="22"/>
        </w:rPr>
        <w:t xml:space="preserve">Stage 3 - Filter </w:t>
      </w:r>
      <w:r>
        <w:rPr>
          <w:rFonts w:ascii="Lato" w:hAnsi="Lato"/>
          <w:b w:val="0"/>
          <w:i w:val="0"/>
          <w:sz w:val="22"/>
        </w:rPr>
        <w:t>LLM relevance classification (claude-sonnet-4-20250514). Each item classified as relevant/irrelevant with a reason. Multilingual support enabled.</w:t>
      </w:r>
    </w:p>
    <w:p>
      <w:pPr>
        <w:pStyle w:val="ListBullet"/>
        <w:spacing w:after="80"/>
      </w:pPr>
      <w:r>
        <w:rPr>
          <w:rFonts w:ascii="Lato" w:hAnsi="Lato"/>
          <w:b/>
          <w:i w:val="0"/>
          <w:color w:val="1E3A5F"/>
          <w:sz w:val="22"/>
        </w:rPr>
        <w:t xml:space="preserve">Stage 4 - Analyze </w:t>
      </w:r>
      <w:r>
        <w:rPr>
          <w:rFonts w:ascii="Lato" w:hAnsi="Lato"/>
          <w:b w:val="0"/>
          <w:i w:val="0"/>
          <w:sz w:val="22"/>
        </w:rPr>
        <w:t>Sentiment (positive/negative/neutral/mixed) + Plutchik 8-emotion classification in a single LLM call. ABSA: per-aspect sentiment extracted. Two-pass theme extraction: (a) discovery on stratified sample to identify candidate themes; (b) full-corpus mapping of all items to themes in batches.</w:t>
      </w:r>
    </w:p>
    <w:p>
      <w:pPr>
        <w:pStyle w:val="ListBullet"/>
        <w:spacing w:after="80"/>
      </w:pPr>
      <w:r>
        <w:rPr>
          <w:rFonts w:ascii="Lato" w:hAnsi="Lato"/>
          <w:b/>
          <w:i w:val="0"/>
          <w:color w:val="1E3A5F"/>
          <w:sz w:val="22"/>
        </w:rPr>
        <w:t xml:space="preserve">Stage 5 - Synthesize </w:t>
      </w:r>
      <w:r>
        <w:rPr>
          <w:rFonts w:ascii="Lato" w:hAnsi="Lato"/>
          <w:b w:val="0"/>
          <w:i w:val="0"/>
          <w:sz w:val="22"/>
        </w:rPr>
        <w:t>One insight per theme, mandated by prompt. Insight structure: Observation - Insight - Implication - Recommendation - Further Validation.</w:t>
      </w:r>
    </w:p>
    <w:p>
      <w:pPr>
        <w:pStyle w:val="ListBullet"/>
        <w:spacing w:after="80"/>
      </w:pPr>
      <w:r>
        <w:rPr>
          <w:rFonts w:ascii="Lato" w:hAnsi="Lato"/>
          <w:b/>
          <w:i w:val="0"/>
          <w:color w:val="1E3A5F"/>
          <w:sz w:val="22"/>
        </w:rPr>
        <w:t xml:space="preserve">Stage 6 - Score </w:t>
      </w:r>
      <w:r>
        <w:rPr>
          <w:rFonts w:ascii="Lato" w:hAnsi="Lato"/>
          <w:b w:val="0"/>
          <w:i w:val="0"/>
          <w:sz w:val="22"/>
        </w:rPr>
        <w:t>Fully data-driven scoring. Confidence: 5 factors (sample size, source diversity, temporal consistency, internal agreement, data recency). Signal Strength: 4 factors (prevalence, engagement, sentiment intensity, conversation depth). Brand Health Score: 5 components.</w:t>
      </w:r>
    </w:p>
    <w:p>
      <w:pPr>
        <w:pStyle w:val="ListBullet"/>
        <w:spacing w:after="80"/>
      </w:pPr>
      <w:r>
        <w:rPr>
          <w:rFonts w:ascii="Lato" w:hAnsi="Lato"/>
          <w:b/>
          <w:i w:val="0"/>
          <w:color w:val="1E3A5F"/>
          <w:sz w:val="22"/>
        </w:rPr>
        <w:t xml:space="preserve">Stage 7 - Report </w:t>
      </w:r>
      <w:r>
        <w:rPr>
          <w:rFonts w:ascii="Lato" w:hAnsi="Lato"/>
          <w:b w:val="0"/>
          <w:i w:val="0"/>
          <w:sz w:val="22"/>
        </w:rPr>
        <w:t>Google Doc-compatible DOCX with inline charts, block-quoted verbatims, and full data tables.</w:t>
      </w:r>
    </w:p>
    <w:p>
      <w:pPr>
        <w:pStyle w:val="Heading2"/>
        <w:jc w:val="left"/>
      </w:pPr>
      <w:r>
        <w:rPr>
          <w:rFonts w:ascii="Lato" w:hAnsi="Lato"/>
          <w:b/>
          <w:color w:val="1E3A5F"/>
          <w:sz w:val="32"/>
        </w:rPr>
        <w:t>Scoring Formulas</w:t>
      </w:r>
    </w:p>
    <w:p>
      <w:pPr>
        <w:pStyle w:val="Heading3"/>
        <w:jc w:val="left"/>
      </w:pPr>
      <w:r>
        <w:rPr>
          <w:rFonts w:ascii="Lato" w:hAnsi="Lato"/>
          <w:b/>
          <w:color w:val="1E3A5F"/>
          <w:sz w:val="26"/>
        </w:rPr>
        <w:t>Confidence Score</w:t>
      </w:r>
    </w:p>
    <w:p>
      <w:pPr>
        <w:spacing w:after="120" w:before="0"/>
      </w:pPr>
      <w:r>
        <w:rPr>
          <w:rFonts w:ascii="Lato" w:hAnsi="Lato"/>
          <w:b w:val="0"/>
          <w:i w:val="0"/>
          <w:sz w:val="22"/>
        </w:rPr>
        <w:t>Confidence = (sample_size x 0.25) + (source_diversity x 0.25) + (temporal_consistency x 0.15) + (internal_agreement x 0.2) + (data_recency x 0.15)</w:t>
      </w:r>
    </w:p>
    <w:p>
      <w:pPr>
        <w:pStyle w:val="Heading3"/>
        <w:jc w:val="left"/>
      </w:pPr>
      <w:r>
        <w:rPr>
          <w:rFonts w:ascii="Lato" w:hAnsi="Lato"/>
          <w:b/>
          <w:color w:val="1E3A5F"/>
          <w:sz w:val="26"/>
        </w:rPr>
        <w:t>Signal Strength Score</w:t>
      </w:r>
    </w:p>
    <w:p>
      <w:pPr>
        <w:spacing w:after="120" w:before="0"/>
      </w:pPr>
      <w:r>
        <w:rPr>
          <w:rFonts w:ascii="Lato" w:hAnsi="Lato"/>
          <w:b w:val="0"/>
          <w:i w:val="0"/>
          <w:sz w:val="22"/>
        </w:rPr>
        <w:t>Signal = (prevalence x 0.35) + (engagement x 0.3) + (sentiment_intensity x 0.2) + (conversation_depth x 0.15)</w:t>
      </w:r>
    </w:p>
    <w:p>
      <w:pPr>
        <w:pStyle w:val="Heading3"/>
        <w:jc w:val="left"/>
      </w:pPr>
      <w:r>
        <w:rPr>
          <w:rFonts w:ascii="Lato" w:hAnsi="Lato"/>
          <w:b/>
          <w:color w:val="1E3A5F"/>
          <w:sz w:val="26"/>
        </w:rPr>
        <w:t>Net Sentiment Score (NSS)</w:t>
      </w:r>
    </w:p>
    <w:p>
      <w:pPr>
        <w:spacing w:after="120" w:before="0"/>
      </w:pPr>
      <w:r>
        <w:rPr>
          <w:rFonts w:ascii="Lato" w:hAnsi="Lato"/>
          <w:b w:val="0"/>
          <w:i w:val="0"/>
          <w:sz w:val="22"/>
        </w:rPr>
        <w:t>NSS = (positive_count - negative_count) / total_count. Range -1.0 to +1.0. Industry standard: Brandwatch, Sprinklr, YouGov.</w:t>
      </w:r>
    </w:p>
    <w:p>
      <w:pPr>
        <w:pStyle w:val="Heading2"/>
        <w:jc w:val="left"/>
      </w:pPr>
      <w:r>
        <w:rPr>
          <w:rFonts w:ascii="Lato" w:hAnsi="Lato"/>
          <w:b/>
          <w:color w:val="1E3A5F"/>
          <w:sz w:val="32"/>
        </w:rPr>
        <w:t>Quality Gates</w:t>
      </w:r>
    </w:p>
    <w:p>
      <w:pPr>
        <w:pStyle w:val="ListBullet"/>
        <w:spacing w:after="80"/>
      </w:pPr>
      <w:r>
        <w:rPr>
          <w:rFonts w:ascii="Lato" w:hAnsi="Lato"/>
          <w:b w:val="0"/>
          <w:i w:val="0"/>
          <w:sz w:val="22"/>
        </w:rPr>
        <w:t>Grounded (≥3 sources cited)</w:t>
      </w:r>
    </w:p>
    <w:p>
      <w:pPr>
        <w:pStyle w:val="ListBullet"/>
        <w:spacing w:after="80"/>
      </w:pPr>
      <w:r>
        <w:rPr>
          <w:rFonts w:ascii="Lato" w:hAnsi="Lato"/>
          <w:b w:val="0"/>
          <w:i w:val="0"/>
          <w:sz w:val="22"/>
        </w:rPr>
        <w:t>Non-obvious (not derivable from common knowledge)</w:t>
      </w:r>
    </w:p>
    <w:p>
      <w:pPr>
        <w:pStyle w:val="ListBullet"/>
        <w:spacing w:after="80"/>
      </w:pPr>
      <w:r>
        <w:rPr>
          <w:rFonts w:ascii="Lato" w:hAnsi="Lato"/>
          <w:b w:val="0"/>
          <w:i w:val="0"/>
          <w:sz w:val="22"/>
        </w:rPr>
        <w:t>Actionable (leads to a concrete business decision)</w:t>
      </w:r>
    </w:p>
    <w:p>
      <w:pPr>
        <w:pStyle w:val="ListBullet"/>
        <w:spacing w:after="80"/>
      </w:pPr>
      <w:r>
        <w:rPr>
          <w:rFonts w:ascii="Lato" w:hAnsi="Lato"/>
          <w:b w:val="0"/>
          <w:i w:val="0"/>
          <w:sz w:val="22"/>
        </w:rPr>
        <w:t>Specific (not vague platitude)</w:t>
      </w:r>
    </w:p>
    <w:p>
      <w:pPr>
        <w:pStyle w:val="ListBullet"/>
        <w:spacing w:after="80"/>
      </w:pPr>
      <w:r>
        <w:rPr>
          <w:rFonts w:ascii="Lato" w:hAnsi="Lato"/>
          <w:b w:val="0"/>
          <w:i w:val="0"/>
          <w:sz w:val="22"/>
        </w:rPr>
        <w:t>Falsifiable (could be proven wrong with additional data)</w:t>
      </w:r>
    </w:p>
    <w:p>
      <w:r>
        <w:br w:type="page"/>
      </w:r>
    </w:p>
    <w:p>
      <w:pPr>
        <w:pStyle w:val="Heading1"/>
        <w:jc w:val="left"/>
      </w:pPr>
      <w:r>
        <w:rPr>
          <w:rFonts w:ascii="Lato" w:hAnsi="Lato"/>
          <w:b/>
          <w:color w:val="1E3A5F"/>
          <w:sz w:val="44"/>
        </w:rPr>
        <w:t>Data Provenance</w:t>
      </w:r>
    </w:p>
    <w:p>
      <w:pPr>
        <w:spacing w:after="120" w:before="0"/>
      </w:pPr>
      <w:r>
        <w:rPr>
          <w:rFonts w:ascii="Lato" w:hAnsi="Lato"/>
          <w:b w:val="0"/>
          <w:i w:val="0"/>
          <w:sz w:val="22"/>
        </w:rPr>
        <w:t>All data is sourced from publicly available online conversations. No personally identifiable information (PII) is stored or reported.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spacing w:before="60" w:after="60"/>
            </w:pPr>
            <w:r/>
            <w:r>
              <w:rPr>
                <w:rFonts w:ascii="Lato" w:hAnsi="Lato"/>
                <w:b/>
                <w:i w:val="0"/>
                <w:color w:val="FFFFFF"/>
                <w:sz w:val="20"/>
              </w:rPr>
              <w:t>Source</w:t>
            </w:r>
          </w:p>
        </w:tc>
        <w:tc>
          <w:tcPr>
            <w:tcW w:type="dxa" w:w="2351"/>
            <w:shd w:val="clear" w:color="auto" w:fill="1E3A5F"/>
          </w:tcPr>
          <w:p>
            <w:pPr>
              <w:spacing w:before="60" w:after="60"/>
            </w:pPr>
            <w:r/>
            <w:r>
              <w:rPr>
                <w:rFonts w:ascii="Lato" w:hAnsi="Lato"/>
                <w:b/>
                <w:i w:val="0"/>
                <w:color w:val="FFFFFF"/>
                <w:sz w:val="20"/>
              </w:rPr>
              <w:t>Content Type</w:t>
            </w:r>
          </w:p>
        </w:tc>
        <w:tc>
          <w:tcPr>
            <w:tcW w:type="dxa" w:w="2351"/>
            <w:shd w:val="clear" w:color="auto" w:fill="1E3A5F"/>
          </w:tcPr>
          <w:p>
            <w:pPr>
              <w:spacing w:before="60" w:after="60"/>
            </w:pPr>
            <w:r/>
            <w:r>
              <w:rPr>
                <w:rFonts w:ascii="Lato" w:hAnsi="Lato"/>
                <w:b/>
                <w:i w:val="0"/>
                <w:color w:val="FFFFFF"/>
                <w:sz w:val="20"/>
              </w:rPr>
              <w:t>Access Method</w:t>
            </w:r>
          </w:p>
        </w:tc>
        <w:tc>
          <w:tcPr>
            <w:tcW w:type="dxa" w:w="2351"/>
            <w:shd w:val="clear" w:color="auto" w:fill="1E3A5F"/>
          </w:tcPr>
          <w:p>
            <w:pPr>
              <w:spacing w:before="60" w:after="60"/>
            </w:pPr>
            <w:r/>
            <w:r>
              <w:rPr>
                <w:rFonts w:ascii="Lato" w:hAnsi="Lato"/>
                <w:b/>
                <w:i w:val="0"/>
                <w:color w:val="FFFFFF"/>
                <w:sz w:val="20"/>
              </w:rPr>
              <w:t>Items in Corpus</w:t>
            </w:r>
          </w:p>
        </w:tc>
      </w:tr>
      <w:tr>
        <w:tc>
          <w:tcPr>
            <w:tcW w:type="dxa" w:w="2351"/>
          </w:tcPr>
          <w:p>
            <w:r>
              <w:t>Reddit</w:t>
            </w:r>
          </w:p>
        </w:tc>
        <w:tc>
          <w:tcPr>
            <w:tcW w:type="dxa" w:w="2351"/>
          </w:tcPr>
          <w:p>
            <w:r>
              <w:t>Forum discussions, comments</w:t>
            </w:r>
          </w:p>
        </w:tc>
        <w:tc>
          <w:tcPr>
            <w:tcW w:type="dxa" w:w="2351"/>
          </w:tcPr>
          <w:p>
            <w:r>
              <w:t>Public JSON API</w:t>
            </w:r>
          </w:p>
        </w:tc>
        <w:tc>
          <w:tcPr>
            <w:tcW w:type="dxa" w:w="2351"/>
          </w:tcPr>
          <w:p>
            <w:r>
              <w:t>928</w:t>
            </w:r>
          </w:p>
        </w:tc>
      </w:tr>
      <w:tr>
        <w:tc>
          <w:tcPr>
            <w:tcW w:type="dxa" w:w="2351"/>
          </w:tcPr>
          <w:p>
            <w:r>
              <w:t>Instagram</w:t>
            </w:r>
          </w:p>
        </w:tc>
        <w:tc>
          <w:tcPr>
            <w:tcW w:type="dxa" w:w="2351"/>
          </w:tcPr>
          <w:p>
            <w:r>
              <w:t>Posts, reels, comments</w:t>
            </w:r>
          </w:p>
        </w:tc>
        <w:tc>
          <w:tcPr>
            <w:tcW w:type="dxa" w:w="2351"/>
          </w:tcPr>
          <w:p>
            <w:r>
              <w:t>Platform API / external collection</w:t>
            </w:r>
          </w:p>
        </w:tc>
        <w:tc>
          <w:tcPr>
            <w:tcW w:type="dxa" w:w="2351"/>
          </w:tcPr>
          <w:p>
            <w:r>
              <w:t>737</w:t>
            </w:r>
          </w:p>
        </w:tc>
      </w:tr>
      <w:tr>
        <w:tc>
          <w:tcPr>
            <w:tcW w:type="dxa" w:w="2351"/>
          </w:tcPr>
          <w:p>
            <w:r>
              <w:t>YouTube</w:t>
            </w:r>
          </w:p>
        </w:tc>
        <w:tc>
          <w:tcPr>
            <w:tcW w:type="dxa" w:w="2351"/>
          </w:tcPr>
          <w:p>
            <w:r>
              <w:t>Video descriptions, comments</w:t>
            </w:r>
          </w:p>
        </w:tc>
        <w:tc>
          <w:tcPr>
            <w:tcW w:type="dxa" w:w="2351"/>
          </w:tcPr>
          <w:p>
            <w:r>
              <w:t>YouTube Data API v3</w:t>
            </w:r>
          </w:p>
        </w:tc>
        <w:tc>
          <w:tcPr>
            <w:tcW w:type="dxa" w:w="2351"/>
          </w:tcPr>
          <w:p>
            <w:r>
              <w:t>147</w:t>
            </w:r>
          </w:p>
        </w:tc>
      </w:tr>
    </w:tbl>
    <w:p>
      <w:pPr>
        <w:spacing w:after="120" w:before="0"/>
      </w:pPr>
      <w:r>
        <w:rPr>
          <w:rFonts w:ascii="Lato" w:hAnsi="Lato"/>
          <w:b w:val="0"/>
          <w:i w:val="0"/>
          <w:sz w:val="22"/>
        </w:rPr>
        <w:t>Corpus composition: 771 posts and 1,041 comments. Each comment is treated as an independent item linked to its parent post for thread-level analysis.</w:t>
      </w:r>
    </w:p>
    <w:p>
      <w:pPr>
        <w:pStyle w:val="Heading2"/>
        <w:jc w:val="left"/>
      </w:pPr>
      <w:r>
        <w:rPr>
          <w:rFonts w:ascii="Lato" w:hAnsi="Lato"/>
          <w:b/>
          <w:color w:val="1E3A5F"/>
          <w:sz w:val="32"/>
        </w:rPr>
        <w:t>Geographic Coverage</w:t>
      </w:r>
    </w:p>
    <w:p>
      <w:pPr>
        <w:spacing w:after="120" w:before="0"/>
      </w:pPr>
      <w:r>
        <w:rPr>
          <w:rFonts w:ascii="Lato" w:hAnsi="Lato"/>
          <w:b w:val="0"/>
          <w:i w:val="0"/>
          <w:sz w:val="22"/>
        </w:rPr>
        <w:t>Primary: India. Content selected and filtered for relevance to the India market context. Items originating from other geographies are retained where they contribute relevant consumer perspective (e.g., diaspora experiences, cross-market comparisons).</w:t>
      </w:r>
    </w:p>
    <w:p>
      <w:pPr>
        <w:pStyle w:val="Heading2"/>
        <w:jc w:val="left"/>
      </w:pPr>
      <w:r>
        <w:rPr>
          <w:rFonts w:ascii="Lato" w:hAnsi="Lato"/>
          <w:b/>
          <w:color w:val="1E3A5F"/>
          <w:sz w:val="32"/>
        </w:rPr>
        <w:t>Temporal Coverage</w:t>
      </w:r>
    </w:p>
    <w:p>
      <w:pPr>
        <w:spacing w:after="120" w:before="0"/>
      </w:pPr>
      <w:r>
        <w:rPr>
          <w:rFonts w:ascii="Lato" w:hAnsi="Lato"/>
          <w:b w:val="0"/>
          <w:i w:val="0"/>
          <w:sz w:val="22"/>
        </w:rPr>
        <w:t>Data range: Mar 2024 - Feb 2026 (24 months). Items span the full collection period with no temporal exclusion applied at normalization.</w:t>
      </w:r>
    </w:p>
    <w:p>
      <w:pPr>
        <w:pStyle w:val="Heading2"/>
        <w:jc w:val="left"/>
      </w:pPr>
      <w:r>
        <w:rPr>
          <w:rFonts w:ascii="Lato" w:hAnsi="Lato"/>
          <w:b/>
          <w:color w:val="1E3A5F"/>
          <w:sz w:val="32"/>
        </w:rPr>
        <w:t>Demographic Accuracy</w:t>
      </w:r>
    </w:p>
    <w:p>
      <w:pPr>
        <w:spacing w:after="120" w:before="0"/>
      </w:pPr>
      <w:r>
        <w:rPr>
          <w:rFonts w:ascii="Lato" w:hAnsi="Lato"/>
          <w:b w:val="0"/>
          <w:i w:val="0"/>
          <w:sz w:val="22"/>
        </w:rPr>
        <w:t>This methodology explicitly documents platform-level composition so that interpretation accounts for known biases: Instagram skews female, urban, and 18-34 with strong influencer and health-creator content that shapes but does not represent consumer opinion; Reddit skews male, urban, and 18-34; YouTube is more balanced across gender but skews younger audiences; creator content dominates over consumer discussion. These biases are documented rather than hidden. For verified demographic breakdowns, commission a structured survey targeted to the same research questions, using this report's insights as the stimulus.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